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000" w:firstRow="0" w:lastRow="0" w:firstColumn="0" w:lastColumn="0" w:noHBand="0" w:noVBand="0"/>
      </w:tblPr>
      <w:tblGrid>
        <w:gridCol w:w="1030"/>
        <w:gridCol w:w="246"/>
        <w:gridCol w:w="344"/>
        <w:gridCol w:w="2350"/>
        <w:gridCol w:w="3402"/>
        <w:gridCol w:w="1988"/>
      </w:tblGrid>
      <w:tr w:rsidR="008F364A" w14:paraId="25C79D4E" w14:textId="77777777" w:rsidTr="008D18FC">
        <w:trPr>
          <w:trHeight w:val="248"/>
        </w:trPr>
        <w:tc>
          <w:tcPr>
            <w:tcW w:w="7372" w:type="dxa"/>
            <w:gridSpan w:val="5"/>
          </w:tcPr>
          <w:p w14:paraId="26A6B5C2" w14:textId="606E2B00" w:rsidR="008F364A" w:rsidRPr="00742C08" w:rsidRDefault="00742C08" w:rsidP="00742C08">
            <w:pPr>
              <w:pStyle w:val="zSoquijdatRepertorie"/>
              <w:rPr>
                <w:rFonts w:cs="Arial"/>
              </w:rPr>
            </w:pPr>
            <w:r>
              <w:rPr>
                <w:rFonts w:cs="Arial"/>
              </w:rPr>
              <w:t>R. c. Benbouhoud</w:t>
            </w:r>
          </w:p>
        </w:tc>
        <w:tc>
          <w:tcPr>
            <w:tcW w:w="1988" w:type="dxa"/>
          </w:tcPr>
          <w:p w14:paraId="649791F7" w14:textId="42B8158B" w:rsidR="008F364A" w:rsidRPr="00652A0D" w:rsidRDefault="00652A0D" w:rsidP="00652A0D">
            <w:pPr>
              <w:pStyle w:val="zSoquijdatRefNeutre"/>
              <w:jc w:val="right"/>
              <w:rPr>
                <w:rFonts w:cs="Arial"/>
              </w:rPr>
            </w:pPr>
            <w:r w:rsidRPr="00652A0D">
              <w:rPr>
                <w:rFonts w:cs="Arial"/>
              </w:rPr>
              <w:t>2026 QCCA 632</w:t>
            </w:r>
          </w:p>
        </w:tc>
      </w:tr>
      <w:tr w:rsidR="008F364A" w14:paraId="3E7F8C2C" w14:textId="77777777" w:rsidTr="008D18FC">
        <w:trPr>
          <w:trHeight w:val="247"/>
        </w:trPr>
        <w:tc>
          <w:tcPr>
            <w:tcW w:w="9360" w:type="dxa"/>
            <w:gridSpan w:val="6"/>
          </w:tcPr>
          <w:p w14:paraId="75EA7460" w14:textId="77777777" w:rsidR="008F364A" w:rsidRDefault="00740A17">
            <w:pPr>
              <w:pStyle w:val="zSoquijlblCour"/>
            </w:pPr>
            <w:r>
              <w:t>COUR D’APPEL</w:t>
            </w:r>
          </w:p>
        </w:tc>
      </w:tr>
      <w:tr w:rsidR="008F364A" w14:paraId="05526004" w14:textId="77777777" w:rsidTr="008D18FC">
        <w:trPr>
          <w:trHeight w:val="540"/>
        </w:trPr>
        <w:tc>
          <w:tcPr>
            <w:tcW w:w="9360" w:type="dxa"/>
            <w:gridSpan w:val="6"/>
          </w:tcPr>
          <w:p w14:paraId="3E315338" w14:textId="77777777" w:rsidR="008F364A" w:rsidRDefault="008F364A">
            <w:pPr>
              <w:pStyle w:val="zSoquijdatDivision"/>
            </w:pPr>
          </w:p>
        </w:tc>
      </w:tr>
      <w:tr w:rsidR="008F364A" w14:paraId="08502753" w14:textId="77777777" w:rsidTr="008D18FC">
        <w:tc>
          <w:tcPr>
            <w:tcW w:w="9360" w:type="dxa"/>
            <w:gridSpan w:val="6"/>
          </w:tcPr>
          <w:p w14:paraId="443A36AB" w14:textId="0692E49F" w:rsidR="008F364A" w:rsidRDefault="00107212">
            <w:pPr>
              <w:pStyle w:val="zSoquijlblPays"/>
            </w:pPr>
            <w:r>
              <w:t>C</w:t>
            </w:r>
            <w:r w:rsidR="00740A17">
              <w:t>ANADA</w:t>
            </w:r>
          </w:p>
        </w:tc>
      </w:tr>
      <w:tr w:rsidR="008F364A" w14:paraId="7B54C69B" w14:textId="77777777" w:rsidTr="008D18FC">
        <w:tc>
          <w:tcPr>
            <w:tcW w:w="9360" w:type="dxa"/>
            <w:gridSpan w:val="6"/>
          </w:tcPr>
          <w:p w14:paraId="06014F88" w14:textId="77777777" w:rsidR="008F364A" w:rsidRDefault="00740A17">
            <w:pPr>
              <w:pStyle w:val="zSoquijlblProvince"/>
            </w:pPr>
            <w:r>
              <w:t>PROVINCE DE QUÉBEC</w:t>
            </w:r>
          </w:p>
        </w:tc>
      </w:tr>
      <w:tr w:rsidR="008F364A" w14:paraId="07D268C6" w14:textId="77777777" w:rsidTr="00AE1B6D">
        <w:tc>
          <w:tcPr>
            <w:tcW w:w="1276" w:type="dxa"/>
            <w:gridSpan w:val="2"/>
          </w:tcPr>
          <w:p w14:paraId="7E541CF8" w14:textId="77777777" w:rsidR="008F364A" w:rsidRDefault="008E5E9D">
            <w:pPr>
              <w:pStyle w:val="zSoquijlblGreffe"/>
            </w:pPr>
            <w:r w:rsidRPr="008E5E9D">
              <w:t>SIÈGE</w:t>
            </w:r>
            <w:r w:rsidR="00740A17">
              <w:t xml:space="preserve"> DE</w:t>
            </w:r>
          </w:p>
          <w:p w14:paraId="7BE84F40" w14:textId="77777777" w:rsidR="008F364A" w:rsidRDefault="008F364A">
            <w:pPr>
              <w:pStyle w:val="zSoquijlblGreffe"/>
            </w:pPr>
          </w:p>
        </w:tc>
        <w:tc>
          <w:tcPr>
            <w:tcW w:w="8084" w:type="dxa"/>
            <w:gridSpan w:val="4"/>
          </w:tcPr>
          <w:p w14:paraId="1A353F84" w14:textId="264ED226" w:rsidR="008F364A" w:rsidRDefault="004D126E" w:rsidP="00AE1B6D">
            <w:pPr>
              <w:pStyle w:val="zSoquijdatGreffe"/>
              <w:ind w:left="-22"/>
            </w:pPr>
            <w:bookmarkStart w:id="0" w:name="NomGreffe"/>
            <w:r>
              <w:t>MONTRÉAL</w:t>
            </w:r>
            <w:bookmarkEnd w:id="0"/>
          </w:p>
        </w:tc>
      </w:tr>
      <w:tr w:rsidR="008F364A" w14:paraId="1ADC3FBC" w14:textId="77777777" w:rsidTr="008D18FC">
        <w:tc>
          <w:tcPr>
            <w:tcW w:w="1030" w:type="dxa"/>
          </w:tcPr>
          <w:p w14:paraId="2E0A21CA" w14:textId="77777777" w:rsidR="008F364A" w:rsidRDefault="00740A17">
            <w:pPr>
              <w:pStyle w:val="zSoquijlblNoDossier"/>
            </w:pPr>
            <w:r>
              <w:t>N° :</w:t>
            </w:r>
          </w:p>
        </w:tc>
        <w:tc>
          <w:tcPr>
            <w:tcW w:w="8330" w:type="dxa"/>
            <w:gridSpan w:val="5"/>
          </w:tcPr>
          <w:p w14:paraId="55BEFC27" w14:textId="215A702E" w:rsidR="008F364A" w:rsidRDefault="004D126E">
            <w:pPr>
              <w:pStyle w:val="zSoquijdatNoDossier"/>
            </w:pPr>
            <w:bookmarkStart w:id="1" w:name="NoDossier"/>
            <w:r>
              <w:t>500-10-700232-257</w:t>
            </w:r>
            <w:bookmarkEnd w:id="1"/>
          </w:p>
        </w:tc>
      </w:tr>
      <w:tr w:rsidR="004D126E" w14:paraId="28F4A055" w14:textId="77777777" w:rsidTr="008D18FC">
        <w:tc>
          <w:tcPr>
            <w:tcW w:w="9360" w:type="dxa"/>
            <w:gridSpan w:val="6"/>
          </w:tcPr>
          <w:p w14:paraId="4A8344D6" w14:textId="4BB7A782" w:rsidR="004D126E" w:rsidRDefault="004D126E" w:rsidP="004D126E">
            <w:pPr>
              <w:pStyle w:val="zSoquijdatNoDossierAnt"/>
            </w:pPr>
            <w:r>
              <w:t>(540-01-104582-229)</w:t>
            </w:r>
          </w:p>
        </w:tc>
      </w:tr>
      <w:tr w:rsidR="008F364A" w14:paraId="3C5A39EE" w14:textId="77777777" w:rsidTr="008D18FC">
        <w:tc>
          <w:tcPr>
            <w:tcW w:w="9360" w:type="dxa"/>
            <w:gridSpan w:val="6"/>
          </w:tcPr>
          <w:p w14:paraId="0E85C16D" w14:textId="77777777" w:rsidR="008F364A" w:rsidRDefault="008F364A"/>
        </w:tc>
      </w:tr>
      <w:tr w:rsidR="008F364A" w14:paraId="2156D7DB" w14:textId="77777777" w:rsidTr="008D18FC">
        <w:tc>
          <w:tcPr>
            <w:tcW w:w="1030" w:type="dxa"/>
          </w:tcPr>
          <w:p w14:paraId="6C6D364D" w14:textId="77777777" w:rsidR="008F364A" w:rsidRDefault="00740A17">
            <w:pPr>
              <w:pStyle w:val="zSoquijlblDateJugement"/>
            </w:pPr>
            <w:r>
              <w:t>DATE :</w:t>
            </w:r>
          </w:p>
        </w:tc>
        <w:tc>
          <w:tcPr>
            <w:tcW w:w="8330" w:type="dxa"/>
            <w:gridSpan w:val="5"/>
          </w:tcPr>
          <w:p w14:paraId="34C915D2" w14:textId="5676F77A" w:rsidR="008F364A" w:rsidRDefault="007D0F5E">
            <w:pPr>
              <w:pStyle w:val="zSoquijdatDateJugement"/>
            </w:pPr>
            <w:r>
              <w:t xml:space="preserve"> </w:t>
            </w:r>
            <w:r w:rsidR="00A1428B">
              <w:t>8 mai 2026</w:t>
            </w:r>
          </w:p>
        </w:tc>
      </w:tr>
      <w:tr w:rsidR="008F364A" w14:paraId="73193E94" w14:textId="77777777" w:rsidTr="008D18FC">
        <w:tc>
          <w:tcPr>
            <w:tcW w:w="9360" w:type="dxa"/>
            <w:gridSpan w:val="6"/>
            <w:tcBorders>
              <w:bottom w:val="single" w:sz="8" w:space="0" w:color="auto"/>
            </w:tcBorders>
          </w:tcPr>
          <w:p w14:paraId="1BA3B9BD" w14:textId="77777777" w:rsidR="008F364A" w:rsidRDefault="008F364A"/>
        </w:tc>
      </w:tr>
      <w:tr w:rsidR="008F364A" w14:paraId="7410D952" w14:textId="77777777" w:rsidTr="008D18FC">
        <w:tc>
          <w:tcPr>
            <w:tcW w:w="9360" w:type="dxa"/>
            <w:gridSpan w:val="6"/>
            <w:tcBorders>
              <w:top w:val="single" w:sz="8" w:space="0" w:color="auto"/>
            </w:tcBorders>
          </w:tcPr>
          <w:p w14:paraId="2A82B970" w14:textId="77777777" w:rsidR="008F364A" w:rsidRDefault="008F364A"/>
        </w:tc>
      </w:tr>
      <w:tr w:rsidR="008F364A" w:rsidRPr="00A1428B" w14:paraId="436EE8F9" w14:textId="77777777" w:rsidTr="008D18FC">
        <w:tc>
          <w:tcPr>
            <w:tcW w:w="1620" w:type="dxa"/>
            <w:gridSpan w:val="3"/>
          </w:tcPr>
          <w:p w14:paraId="456E249C" w14:textId="77777777" w:rsidR="008F364A" w:rsidRDefault="00B70485" w:rsidP="00423DF1">
            <w:pPr>
              <w:pStyle w:val="zSoquijlblJuge"/>
              <w:ind w:right="-142"/>
            </w:pPr>
            <w:bookmarkStart w:id="2" w:name="FORMATION"/>
            <w:r>
              <w:t>FORMATION</w:t>
            </w:r>
            <w:r w:rsidR="00B513C9">
              <w:t> </w:t>
            </w:r>
            <w:r w:rsidR="00740A17">
              <w:t>:</w:t>
            </w:r>
            <w:bookmarkEnd w:id="2"/>
          </w:p>
        </w:tc>
        <w:tc>
          <w:tcPr>
            <w:tcW w:w="2350" w:type="dxa"/>
          </w:tcPr>
          <w:p w14:paraId="2D7F5E66" w14:textId="77777777" w:rsidR="008F364A" w:rsidRDefault="00740A17">
            <w:pPr>
              <w:pStyle w:val="zSoquijdatQteJuge"/>
            </w:pPr>
            <w:bookmarkStart w:id="3" w:name="Honorables"/>
            <w:r>
              <w:t>LES HONORABLES</w:t>
            </w:r>
            <w:bookmarkEnd w:id="3"/>
          </w:p>
        </w:tc>
        <w:tc>
          <w:tcPr>
            <w:tcW w:w="5390" w:type="dxa"/>
            <w:gridSpan w:val="2"/>
          </w:tcPr>
          <w:p w14:paraId="0A552DD9" w14:textId="3C851A5D" w:rsidR="008F364A" w:rsidRDefault="004D126E">
            <w:pPr>
              <w:pStyle w:val="zSoquijdatJuge"/>
            </w:pPr>
            <w:bookmarkStart w:id="4" w:name="NomJuge1"/>
            <w:r>
              <w:t>MARTIN VAUCLAIR, J.C.A.</w:t>
            </w:r>
            <w:bookmarkEnd w:id="4"/>
          </w:p>
          <w:p w14:paraId="00CC998E" w14:textId="1C779A27" w:rsidR="008F364A" w:rsidRPr="004D126E" w:rsidRDefault="004D126E">
            <w:pPr>
              <w:pStyle w:val="zSoquijdatJuge"/>
              <w:rPr>
                <w:lang w:val="en-CA"/>
              </w:rPr>
            </w:pPr>
            <w:bookmarkStart w:id="5" w:name="NomJuge2"/>
            <w:r w:rsidRPr="004D126E">
              <w:rPr>
                <w:lang w:val="en-CA"/>
              </w:rPr>
              <w:t>MARK SCHRAGER, J.C.A.</w:t>
            </w:r>
            <w:bookmarkEnd w:id="5"/>
          </w:p>
          <w:p w14:paraId="2C2C881F" w14:textId="40B5F6BD" w:rsidR="005A78BF" w:rsidRDefault="004D126E" w:rsidP="004D126E">
            <w:pPr>
              <w:pStyle w:val="zSoquijdatJuge"/>
              <w:rPr>
                <w:lang w:val="de-DE"/>
              </w:rPr>
            </w:pPr>
            <w:bookmarkStart w:id="6" w:name="_Hlt520513784"/>
            <w:bookmarkStart w:id="7" w:name="NomJuge3"/>
            <w:bookmarkEnd w:id="6"/>
            <w:r w:rsidRPr="004D126E">
              <w:rPr>
                <w:lang w:val="en-CA"/>
              </w:rPr>
              <w:t>STEPHEN W. HAMILTON, J.C.A.</w:t>
            </w:r>
            <w:bookmarkEnd w:id="7"/>
          </w:p>
        </w:tc>
      </w:tr>
      <w:tr w:rsidR="008F364A" w:rsidRPr="00A1428B" w14:paraId="5BCC898E" w14:textId="77777777" w:rsidTr="008D18FC">
        <w:tc>
          <w:tcPr>
            <w:tcW w:w="9360" w:type="dxa"/>
            <w:gridSpan w:val="6"/>
            <w:tcBorders>
              <w:bottom w:val="single" w:sz="8" w:space="0" w:color="auto"/>
            </w:tcBorders>
          </w:tcPr>
          <w:p w14:paraId="10EC7EE3" w14:textId="77777777" w:rsidR="008F364A" w:rsidRDefault="008F364A">
            <w:pPr>
              <w:rPr>
                <w:lang w:val="de-DE"/>
              </w:rPr>
            </w:pPr>
          </w:p>
        </w:tc>
      </w:tr>
      <w:tr w:rsidR="008F364A" w:rsidRPr="00A1428B" w14:paraId="52CF7926" w14:textId="77777777" w:rsidTr="008D18FC">
        <w:tc>
          <w:tcPr>
            <w:tcW w:w="9360" w:type="dxa"/>
            <w:gridSpan w:val="6"/>
          </w:tcPr>
          <w:p w14:paraId="50C5E42D" w14:textId="77777777" w:rsidR="008F364A" w:rsidRDefault="008F364A">
            <w:pPr>
              <w:pStyle w:val="zSoquijlblTitrePartie"/>
              <w:rPr>
                <w:lang w:val="de-DE"/>
              </w:rPr>
            </w:pPr>
          </w:p>
        </w:tc>
      </w:tr>
      <w:tr w:rsidR="008F364A" w14:paraId="2AF57DA6" w14:textId="77777777" w:rsidTr="008D18FC">
        <w:tc>
          <w:tcPr>
            <w:tcW w:w="9360" w:type="dxa"/>
            <w:gridSpan w:val="6"/>
          </w:tcPr>
          <w:p w14:paraId="7C6788BC" w14:textId="050742DC" w:rsidR="008F364A" w:rsidRDefault="004D126E">
            <w:pPr>
              <w:pStyle w:val="zSoquijdatNomPartieDem"/>
              <w:rPr>
                <w:lang w:val="de-DE"/>
              </w:rPr>
            </w:pPr>
            <w:r>
              <w:t>SA MAJESTÉ LE ROI</w:t>
            </w:r>
          </w:p>
        </w:tc>
      </w:tr>
      <w:tr w:rsidR="008F364A" w14:paraId="48EA3C76" w14:textId="77777777" w:rsidTr="008D18FC">
        <w:tc>
          <w:tcPr>
            <w:tcW w:w="9360" w:type="dxa"/>
            <w:gridSpan w:val="6"/>
          </w:tcPr>
          <w:p w14:paraId="26E20BC5" w14:textId="2CEB4B93" w:rsidR="008F364A" w:rsidRDefault="004D126E">
            <w:pPr>
              <w:pStyle w:val="zSoquijdatQtePartieDem"/>
              <w:rPr>
                <w:lang w:val="de-DE"/>
              </w:rPr>
            </w:pPr>
            <w:r>
              <w:t>APPELANT – poursuivant</w:t>
            </w:r>
          </w:p>
        </w:tc>
      </w:tr>
      <w:tr w:rsidR="008F364A" w14:paraId="728A140F" w14:textId="77777777" w:rsidTr="008D18FC">
        <w:tc>
          <w:tcPr>
            <w:tcW w:w="9360" w:type="dxa"/>
            <w:gridSpan w:val="6"/>
          </w:tcPr>
          <w:p w14:paraId="5D1E6809" w14:textId="77777777" w:rsidR="008F364A" w:rsidRDefault="00740A17">
            <w:pPr>
              <w:pStyle w:val="zSoquijlblLienParties"/>
              <w:rPr>
                <w:lang w:val="en-CA"/>
              </w:rPr>
            </w:pPr>
            <w:r>
              <w:rPr>
                <w:lang w:val="en-CA"/>
              </w:rPr>
              <w:t>c.</w:t>
            </w:r>
          </w:p>
        </w:tc>
      </w:tr>
      <w:tr w:rsidR="008F364A" w14:paraId="7A0A1F85" w14:textId="77777777" w:rsidTr="008D18FC">
        <w:tc>
          <w:tcPr>
            <w:tcW w:w="9360" w:type="dxa"/>
            <w:gridSpan w:val="6"/>
          </w:tcPr>
          <w:p w14:paraId="363067C7" w14:textId="77777777" w:rsidR="008F364A" w:rsidRDefault="008F364A">
            <w:pPr>
              <w:rPr>
                <w:lang w:val="en-CA"/>
              </w:rPr>
            </w:pPr>
          </w:p>
        </w:tc>
      </w:tr>
      <w:tr w:rsidR="008F364A" w14:paraId="46012479" w14:textId="77777777" w:rsidTr="008D18FC">
        <w:tc>
          <w:tcPr>
            <w:tcW w:w="9360" w:type="dxa"/>
            <w:gridSpan w:val="6"/>
          </w:tcPr>
          <w:p w14:paraId="71683689" w14:textId="63E3B2B9" w:rsidR="008F364A" w:rsidRDefault="004D126E">
            <w:pPr>
              <w:pStyle w:val="zSoquijdatNomPartieDef"/>
              <w:rPr>
                <w:lang w:val="en-CA"/>
              </w:rPr>
            </w:pPr>
            <w:r>
              <w:t>HAJAR BENBOUHOUD</w:t>
            </w:r>
          </w:p>
        </w:tc>
      </w:tr>
      <w:tr w:rsidR="008F364A" w14:paraId="3A0DCC70" w14:textId="77777777" w:rsidTr="008D18FC">
        <w:tc>
          <w:tcPr>
            <w:tcW w:w="9360" w:type="dxa"/>
            <w:gridSpan w:val="6"/>
          </w:tcPr>
          <w:p w14:paraId="34E115CB" w14:textId="69FCFA9D" w:rsidR="008F364A" w:rsidRDefault="004D126E">
            <w:pPr>
              <w:pStyle w:val="zSoquijdatQtePartieDef"/>
              <w:rPr>
                <w:lang w:val="en-CA"/>
              </w:rPr>
            </w:pPr>
            <w:r>
              <w:t>INTIMÉ</w:t>
            </w:r>
            <w:r w:rsidR="005864DC">
              <w:t>E</w:t>
            </w:r>
            <w:r>
              <w:t xml:space="preserve"> – accusé</w:t>
            </w:r>
            <w:r w:rsidR="005864DC">
              <w:t>e</w:t>
            </w:r>
          </w:p>
        </w:tc>
      </w:tr>
      <w:tr w:rsidR="008F364A" w14:paraId="4FE6FACE" w14:textId="77777777" w:rsidTr="008D18FC">
        <w:tc>
          <w:tcPr>
            <w:tcW w:w="9360" w:type="dxa"/>
            <w:gridSpan w:val="6"/>
          </w:tcPr>
          <w:p w14:paraId="3E68A74D" w14:textId="77777777" w:rsidR="008F364A" w:rsidRDefault="008F364A">
            <w:pPr>
              <w:rPr>
                <w:lang w:val="en-CA"/>
              </w:rPr>
            </w:pPr>
          </w:p>
        </w:tc>
      </w:tr>
      <w:tr w:rsidR="008F364A" w14:paraId="41EE4D61" w14:textId="77777777" w:rsidTr="008D18FC">
        <w:tc>
          <w:tcPr>
            <w:tcW w:w="9360" w:type="dxa"/>
            <w:gridSpan w:val="6"/>
            <w:tcBorders>
              <w:top w:val="single" w:sz="8" w:space="0" w:color="auto"/>
            </w:tcBorders>
          </w:tcPr>
          <w:p w14:paraId="6B3095C3" w14:textId="77777777" w:rsidR="008F364A" w:rsidRDefault="008F364A" w:rsidP="0085588A">
            <w:pPr>
              <w:rPr>
                <w:lang w:val="en-CA"/>
              </w:rPr>
            </w:pPr>
            <w:bookmarkStart w:id="8" w:name="Arret"/>
          </w:p>
        </w:tc>
      </w:tr>
      <w:tr w:rsidR="008F364A" w14:paraId="2B3236BB" w14:textId="77777777" w:rsidTr="008D18FC">
        <w:tc>
          <w:tcPr>
            <w:tcW w:w="9360" w:type="dxa"/>
            <w:gridSpan w:val="6"/>
          </w:tcPr>
          <w:p w14:paraId="6E1B5FAC" w14:textId="4618F6A9" w:rsidR="008F364A" w:rsidRDefault="004D126E" w:rsidP="0085588A">
            <w:pPr>
              <w:pStyle w:val="zSoquijlblTypeDocument"/>
            </w:pPr>
            <w:bookmarkStart w:id="9" w:name="TitreDocument"/>
            <w:r>
              <w:t>ARRÊT</w:t>
            </w:r>
            <w:bookmarkEnd w:id="9"/>
          </w:p>
        </w:tc>
      </w:tr>
      <w:tr w:rsidR="008F364A" w14:paraId="4F767177" w14:textId="77777777" w:rsidTr="008D18FC">
        <w:tc>
          <w:tcPr>
            <w:tcW w:w="9360" w:type="dxa"/>
            <w:gridSpan w:val="6"/>
            <w:tcBorders>
              <w:bottom w:val="single" w:sz="8" w:space="0" w:color="auto"/>
            </w:tcBorders>
          </w:tcPr>
          <w:p w14:paraId="406A777B" w14:textId="77777777" w:rsidR="008F364A" w:rsidRDefault="008F364A" w:rsidP="0085588A"/>
        </w:tc>
      </w:tr>
      <w:tr w:rsidR="008F364A" w14:paraId="27AC0F70" w14:textId="77777777" w:rsidTr="008D18FC">
        <w:tc>
          <w:tcPr>
            <w:tcW w:w="9360" w:type="dxa"/>
            <w:gridSpan w:val="6"/>
            <w:tcBorders>
              <w:top w:val="single" w:sz="8" w:space="0" w:color="auto"/>
            </w:tcBorders>
          </w:tcPr>
          <w:p w14:paraId="0DEBBC86" w14:textId="77777777" w:rsidR="008F364A" w:rsidRDefault="008F364A" w:rsidP="0085588A"/>
        </w:tc>
      </w:tr>
    </w:tbl>
    <w:p w14:paraId="008D5131" w14:textId="1B6B7F5E" w:rsidR="00386953" w:rsidRPr="003E203C" w:rsidRDefault="00386953" w:rsidP="0085588A">
      <w:pPr>
        <w:pStyle w:val="Paragraphe"/>
        <w:spacing w:before="240" w:after="240" w:line="280" w:lineRule="exact"/>
      </w:pPr>
      <w:r>
        <w:t xml:space="preserve">Le ministère public </w:t>
      </w:r>
      <w:r w:rsidRPr="003E203C">
        <w:t xml:space="preserve">se pourvoit contre une peine prononcée le </w:t>
      </w:r>
      <w:r>
        <w:t>21</w:t>
      </w:r>
      <w:r w:rsidR="006F5137">
        <w:t> </w:t>
      </w:r>
      <w:r>
        <w:t>mai</w:t>
      </w:r>
      <w:r w:rsidR="006F5137">
        <w:t> </w:t>
      </w:r>
      <w:r>
        <w:t>2025</w:t>
      </w:r>
      <w:r w:rsidRPr="003E203C">
        <w:t xml:space="preserve"> par l’honorable Simon</w:t>
      </w:r>
      <w:r w:rsidR="00F75E1B">
        <w:t> </w:t>
      </w:r>
      <w:r w:rsidRPr="003E203C">
        <w:t>B.</w:t>
      </w:r>
      <w:r w:rsidR="00F75E1B">
        <w:t> </w:t>
      </w:r>
      <w:r w:rsidRPr="003E203C">
        <w:t xml:space="preserve">Dolci de </w:t>
      </w:r>
      <w:r>
        <w:t>la Cour du Québec</w:t>
      </w:r>
      <w:r w:rsidRPr="003E203C">
        <w:t xml:space="preserve">, </w:t>
      </w:r>
      <w:r w:rsidR="00514F40">
        <w:t xml:space="preserve">chambre criminelle et pénale, </w:t>
      </w:r>
      <w:r w:rsidRPr="003E203C">
        <w:t xml:space="preserve">district de </w:t>
      </w:r>
      <w:r>
        <w:t>Laval</w:t>
      </w:r>
      <w:r w:rsidRPr="003E203C">
        <w:t xml:space="preserve">, laquelle </w:t>
      </w:r>
      <w:r>
        <w:t>absout conditionnellement l’intimée accompagnée d’</w:t>
      </w:r>
      <w:r w:rsidRPr="00474636">
        <w:t>une ordonnance de probation de deux</w:t>
      </w:r>
      <w:r w:rsidR="006F5137">
        <w:t> </w:t>
      </w:r>
      <w:r w:rsidRPr="00474636">
        <w:t xml:space="preserve">ans, assortie de </w:t>
      </w:r>
      <w:r>
        <w:t xml:space="preserve">plusieurs </w:t>
      </w:r>
      <w:r w:rsidRPr="00474636">
        <w:t>obligation</w:t>
      </w:r>
      <w:r>
        <w:t>s.</w:t>
      </w:r>
    </w:p>
    <w:p w14:paraId="450CD61B" w14:textId="77777777" w:rsidR="0085588A" w:rsidRDefault="0085588A">
      <w:pPr>
        <w:spacing w:line="240" w:lineRule="auto"/>
        <w:rPr>
          <w:kern w:val="28"/>
        </w:rPr>
      </w:pPr>
      <w:r>
        <w:br w:type="page"/>
      </w:r>
    </w:p>
    <w:p w14:paraId="0ED8FC5B" w14:textId="23E28B75" w:rsidR="008F364A" w:rsidRPr="000562B2" w:rsidRDefault="00386953" w:rsidP="0085588A">
      <w:pPr>
        <w:pStyle w:val="Paragraphe"/>
        <w:spacing w:line="280" w:lineRule="exact"/>
      </w:pPr>
      <w:r>
        <w:lastRenderedPageBreak/>
        <w:t xml:space="preserve">Pour les motifs du juge Vauclair, auxquels souscrivent les juges </w:t>
      </w:r>
      <w:r w:rsidR="000562B2">
        <w:t>Schrager</w:t>
      </w:r>
      <w:r>
        <w:t xml:space="preserve"> et </w:t>
      </w:r>
      <w:r w:rsidR="000562B2">
        <w:t>Hamilton</w:t>
      </w:r>
      <w:r>
        <w:t xml:space="preserve">, </w:t>
      </w:r>
      <w:r w:rsidRPr="000F60F9">
        <w:rPr>
          <w:b/>
        </w:rPr>
        <w:t>LA COUR :</w:t>
      </w:r>
    </w:p>
    <w:p w14:paraId="6DF35661" w14:textId="10068BD8" w:rsidR="000562B2" w:rsidRDefault="000562B2" w:rsidP="0085588A">
      <w:pPr>
        <w:pStyle w:val="Paragraphe"/>
        <w:spacing w:line="280" w:lineRule="exact"/>
      </w:pPr>
      <w:r>
        <w:rPr>
          <w:b/>
        </w:rPr>
        <w:t xml:space="preserve">REJETTE </w:t>
      </w:r>
      <w:r>
        <w:rPr>
          <w:bCs/>
        </w:rPr>
        <w:t>l’appel.</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F364A" w14:paraId="3979239C" w14:textId="77777777" w:rsidTr="003E3239">
        <w:trPr>
          <w:trHeight w:val="576"/>
        </w:trPr>
        <w:tc>
          <w:tcPr>
            <w:tcW w:w="9362" w:type="dxa"/>
            <w:gridSpan w:val="3"/>
            <w:tcBorders>
              <w:top w:val="nil"/>
              <w:bottom w:val="nil"/>
            </w:tcBorders>
          </w:tcPr>
          <w:p w14:paraId="3555D92B" w14:textId="77777777" w:rsidR="008F364A" w:rsidRDefault="008F364A" w:rsidP="0085588A">
            <w:pPr>
              <w:keepNext/>
            </w:pPr>
          </w:p>
        </w:tc>
      </w:tr>
      <w:tr w:rsidR="008F364A" w14:paraId="6AAE367E" w14:textId="77777777" w:rsidTr="00117914">
        <w:trPr>
          <w:trHeight w:val="283"/>
        </w:trPr>
        <w:tc>
          <w:tcPr>
            <w:tcW w:w="4682" w:type="dxa"/>
            <w:gridSpan w:val="2"/>
            <w:tcBorders>
              <w:top w:val="nil"/>
              <w:bottom w:val="nil"/>
            </w:tcBorders>
          </w:tcPr>
          <w:p w14:paraId="7757DB1B" w14:textId="77777777" w:rsidR="008F364A" w:rsidRDefault="008F364A" w:rsidP="0085588A">
            <w:pPr>
              <w:keepNext/>
            </w:pPr>
          </w:p>
        </w:tc>
        <w:tc>
          <w:tcPr>
            <w:tcW w:w="4680" w:type="dxa"/>
            <w:tcBorders>
              <w:top w:val="nil"/>
              <w:bottom w:val="single" w:sz="8" w:space="0" w:color="auto"/>
            </w:tcBorders>
          </w:tcPr>
          <w:p w14:paraId="007D86EF" w14:textId="77777777" w:rsidR="008F364A" w:rsidRDefault="008F364A" w:rsidP="0085588A">
            <w:pPr>
              <w:keepNext/>
            </w:pPr>
          </w:p>
        </w:tc>
      </w:tr>
      <w:tr w:rsidR="008F364A" w14:paraId="4EC0B6AC" w14:textId="77777777" w:rsidTr="00117914">
        <w:trPr>
          <w:trHeight w:val="283"/>
        </w:trPr>
        <w:tc>
          <w:tcPr>
            <w:tcW w:w="4682" w:type="dxa"/>
            <w:gridSpan w:val="2"/>
            <w:tcBorders>
              <w:top w:val="nil"/>
            </w:tcBorders>
          </w:tcPr>
          <w:p w14:paraId="386D7E67" w14:textId="77777777" w:rsidR="008F364A" w:rsidRDefault="008F364A" w:rsidP="0085588A">
            <w:pPr>
              <w:keepNext/>
            </w:pPr>
          </w:p>
        </w:tc>
        <w:tc>
          <w:tcPr>
            <w:tcW w:w="4680" w:type="dxa"/>
            <w:tcBorders>
              <w:top w:val="single" w:sz="8" w:space="0" w:color="auto"/>
            </w:tcBorders>
          </w:tcPr>
          <w:p w14:paraId="5B9719AC" w14:textId="194D503C" w:rsidR="008F364A" w:rsidRDefault="007D0F5E" w:rsidP="0085588A">
            <w:r>
              <w:t>MARTIN VAUCLAIR, J.C.A.</w:t>
            </w:r>
          </w:p>
        </w:tc>
      </w:tr>
      <w:tr w:rsidR="008F364A" w14:paraId="006041E0" w14:textId="77777777" w:rsidTr="00117914">
        <w:trPr>
          <w:trHeight w:val="283"/>
        </w:trPr>
        <w:tc>
          <w:tcPr>
            <w:tcW w:w="4682" w:type="dxa"/>
            <w:gridSpan w:val="2"/>
            <w:tcBorders>
              <w:top w:val="nil"/>
            </w:tcBorders>
          </w:tcPr>
          <w:p w14:paraId="522CC07F" w14:textId="77777777" w:rsidR="008F364A" w:rsidRDefault="008F364A" w:rsidP="0085588A">
            <w:pPr>
              <w:keepNext/>
            </w:pPr>
            <w:bookmarkStart w:id="10" w:name="Signature2"/>
          </w:p>
        </w:tc>
        <w:tc>
          <w:tcPr>
            <w:tcW w:w="4680" w:type="dxa"/>
            <w:tcBorders>
              <w:top w:val="nil"/>
            </w:tcBorders>
          </w:tcPr>
          <w:p w14:paraId="19E1A414" w14:textId="77777777" w:rsidR="008F364A" w:rsidRDefault="008F364A" w:rsidP="0085588A">
            <w:pPr>
              <w:keepNext/>
            </w:pPr>
          </w:p>
        </w:tc>
      </w:tr>
      <w:tr w:rsidR="008F364A" w14:paraId="6F8CBE81" w14:textId="77777777" w:rsidTr="00117914">
        <w:trPr>
          <w:trHeight w:val="283"/>
        </w:trPr>
        <w:tc>
          <w:tcPr>
            <w:tcW w:w="4682" w:type="dxa"/>
            <w:gridSpan w:val="2"/>
            <w:tcBorders>
              <w:top w:val="nil"/>
              <w:bottom w:val="nil"/>
            </w:tcBorders>
          </w:tcPr>
          <w:p w14:paraId="07CBE11B" w14:textId="77777777" w:rsidR="008F364A" w:rsidRDefault="008F364A" w:rsidP="0085588A">
            <w:pPr>
              <w:keepNext/>
            </w:pPr>
          </w:p>
        </w:tc>
        <w:tc>
          <w:tcPr>
            <w:tcW w:w="4680" w:type="dxa"/>
            <w:tcBorders>
              <w:top w:val="nil"/>
              <w:bottom w:val="single" w:sz="8" w:space="0" w:color="auto"/>
            </w:tcBorders>
          </w:tcPr>
          <w:p w14:paraId="33877B2A" w14:textId="77777777" w:rsidR="008F364A" w:rsidRDefault="008F364A" w:rsidP="0085588A">
            <w:pPr>
              <w:keepNext/>
            </w:pPr>
          </w:p>
        </w:tc>
      </w:tr>
      <w:tr w:rsidR="008F364A" w:rsidRPr="00EA240E" w14:paraId="0DC540B6" w14:textId="77777777" w:rsidTr="00117914">
        <w:trPr>
          <w:trHeight w:val="283"/>
        </w:trPr>
        <w:tc>
          <w:tcPr>
            <w:tcW w:w="4682" w:type="dxa"/>
            <w:gridSpan w:val="2"/>
            <w:tcBorders>
              <w:top w:val="nil"/>
            </w:tcBorders>
          </w:tcPr>
          <w:p w14:paraId="05755E07" w14:textId="77777777" w:rsidR="008F364A" w:rsidRDefault="008F364A" w:rsidP="0085588A">
            <w:pPr>
              <w:keepNext/>
            </w:pPr>
          </w:p>
        </w:tc>
        <w:tc>
          <w:tcPr>
            <w:tcW w:w="4680" w:type="dxa"/>
            <w:tcBorders>
              <w:top w:val="single" w:sz="8" w:space="0" w:color="auto"/>
            </w:tcBorders>
          </w:tcPr>
          <w:p w14:paraId="02A4F7DB" w14:textId="4FDF3F9D" w:rsidR="008F364A" w:rsidRPr="004D126E" w:rsidRDefault="007D0F5E" w:rsidP="0085588A">
            <w:pPr>
              <w:keepNext/>
              <w:rPr>
                <w:lang w:val="en-CA"/>
              </w:rPr>
            </w:pPr>
            <w:r>
              <w:t>MARK SCHRAGER, J.C.A.</w:t>
            </w:r>
          </w:p>
        </w:tc>
      </w:tr>
      <w:tr w:rsidR="008F364A" w:rsidRPr="00EA240E" w14:paraId="099ACDE7" w14:textId="77777777" w:rsidTr="00117914">
        <w:trPr>
          <w:trHeight w:val="283"/>
        </w:trPr>
        <w:tc>
          <w:tcPr>
            <w:tcW w:w="4682" w:type="dxa"/>
            <w:gridSpan w:val="2"/>
            <w:tcBorders>
              <w:top w:val="nil"/>
            </w:tcBorders>
          </w:tcPr>
          <w:p w14:paraId="635049C7" w14:textId="77777777" w:rsidR="008F364A" w:rsidRPr="004D126E" w:rsidRDefault="008F364A" w:rsidP="0085588A">
            <w:pPr>
              <w:keepNext/>
              <w:rPr>
                <w:lang w:val="en-CA"/>
              </w:rPr>
            </w:pPr>
            <w:bookmarkStart w:id="11" w:name="Signature3"/>
            <w:bookmarkEnd w:id="10"/>
          </w:p>
        </w:tc>
        <w:tc>
          <w:tcPr>
            <w:tcW w:w="4680" w:type="dxa"/>
            <w:tcBorders>
              <w:top w:val="nil"/>
            </w:tcBorders>
          </w:tcPr>
          <w:p w14:paraId="1A2B48F6" w14:textId="77777777" w:rsidR="008F364A" w:rsidRPr="004D126E" w:rsidRDefault="008F364A" w:rsidP="0085588A">
            <w:pPr>
              <w:keepNext/>
              <w:rPr>
                <w:lang w:val="en-CA"/>
              </w:rPr>
            </w:pPr>
          </w:p>
        </w:tc>
      </w:tr>
      <w:tr w:rsidR="008F364A" w:rsidRPr="00EA240E" w14:paraId="7F67A0CB" w14:textId="77777777" w:rsidTr="00117914">
        <w:trPr>
          <w:trHeight w:val="283"/>
        </w:trPr>
        <w:tc>
          <w:tcPr>
            <w:tcW w:w="4682" w:type="dxa"/>
            <w:gridSpan w:val="2"/>
            <w:tcBorders>
              <w:top w:val="nil"/>
              <w:bottom w:val="nil"/>
            </w:tcBorders>
          </w:tcPr>
          <w:p w14:paraId="12D9C3CE" w14:textId="77777777" w:rsidR="008F364A" w:rsidRPr="004D126E" w:rsidRDefault="008F364A" w:rsidP="0085588A">
            <w:pPr>
              <w:keepNext/>
              <w:rPr>
                <w:lang w:val="en-CA"/>
              </w:rPr>
            </w:pPr>
          </w:p>
        </w:tc>
        <w:tc>
          <w:tcPr>
            <w:tcW w:w="4680" w:type="dxa"/>
            <w:tcBorders>
              <w:top w:val="nil"/>
              <w:bottom w:val="single" w:sz="8" w:space="0" w:color="auto"/>
            </w:tcBorders>
          </w:tcPr>
          <w:p w14:paraId="473961BE" w14:textId="77777777" w:rsidR="008F364A" w:rsidRPr="004D126E" w:rsidRDefault="008F364A" w:rsidP="0085588A">
            <w:pPr>
              <w:keepNext/>
              <w:rPr>
                <w:lang w:val="en-CA"/>
              </w:rPr>
            </w:pPr>
          </w:p>
        </w:tc>
      </w:tr>
      <w:tr w:rsidR="008F364A" w:rsidRPr="00EA240E" w14:paraId="141D80BF" w14:textId="77777777" w:rsidTr="00117914">
        <w:trPr>
          <w:trHeight w:val="283"/>
        </w:trPr>
        <w:tc>
          <w:tcPr>
            <w:tcW w:w="4682" w:type="dxa"/>
            <w:gridSpan w:val="2"/>
            <w:tcBorders>
              <w:top w:val="nil"/>
            </w:tcBorders>
          </w:tcPr>
          <w:p w14:paraId="459085BB" w14:textId="77777777" w:rsidR="008F364A" w:rsidRPr="004D126E" w:rsidRDefault="008F364A" w:rsidP="0085588A">
            <w:pPr>
              <w:keepNext/>
              <w:rPr>
                <w:lang w:val="en-CA"/>
              </w:rPr>
            </w:pPr>
          </w:p>
        </w:tc>
        <w:tc>
          <w:tcPr>
            <w:tcW w:w="4680" w:type="dxa"/>
            <w:tcBorders>
              <w:top w:val="single" w:sz="8" w:space="0" w:color="auto"/>
            </w:tcBorders>
          </w:tcPr>
          <w:p w14:paraId="546725AF" w14:textId="66A477B8" w:rsidR="008F364A" w:rsidRPr="004D126E" w:rsidRDefault="007D0F5E" w:rsidP="0085588A">
            <w:pPr>
              <w:keepNext/>
              <w:rPr>
                <w:lang w:val="en-CA"/>
              </w:rPr>
            </w:pPr>
            <w:r>
              <w:t>STEPHEN W. HAMILTON, J.C.A.</w:t>
            </w:r>
          </w:p>
        </w:tc>
      </w:tr>
      <w:bookmarkEnd w:id="11"/>
      <w:tr w:rsidR="005A78BF" w:rsidRPr="00EA240E" w14:paraId="3F63F0E0" w14:textId="77777777" w:rsidTr="004D126E">
        <w:tc>
          <w:tcPr>
            <w:tcW w:w="9362" w:type="dxa"/>
            <w:gridSpan w:val="3"/>
            <w:tcBorders>
              <w:bottom w:val="nil"/>
            </w:tcBorders>
          </w:tcPr>
          <w:p w14:paraId="5DCA9285" w14:textId="77777777" w:rsidR="005A78BF" w:rsidRDefault="005A78BF" w:rsidP="0085588A">
            <w:pPr>
              <w:rPr>
                <w:lang w:val="en-CA"/>
              </w:rPr>
            </w:pPr>
          </w:p>
        </w:tc>
      </w:tr>
      <w:tr w:rsidR="005A78BF" w14:paraId="7DF9AD73" w14:textId="77777777" w:rsidTr="004D126E">
        <w:tc>
          <w:tcPr>
            <w:tcW w:w="9362" w:type="dxa"/>
            <w:gridSpan w:val="3"/>
            <w:tcBorders>
              <w:top w:val="nil"/>
            </w:tcBorders>
          </w:tcPr>
          <w:p w14:paraId="781CA52D" w14:textId="509957F6" w:rsidR="005A78BF" w:rsidRDefault="004D126E" w:rsidP="0085588A">
            <w:pPr>
              <w:pStyle w:val="zSoquijdatNomProcureurDem"/>
              <w:rPr>
                <w:lang w:val="en-CA"/>
              </w:rPr>
            </w:pPr>
            <w:r>
              <w:t xml:space="preserve">Me </w:t>
            </w:r>
            <w:r w:rsidR="00355FBD">
              <w:t>E</w:t>
            </w:r>
            <w:r>
              <w:t>ric Bernier</w:t>
            </w:r>
          </w:p>
        </w:tc>
      </w:tr>
      <w:tr w:rsidR="005A78BF" w14:paraId="40FCC697" w14:textId="77777777" w:rsidTr="00423DF1">
        <w:tc>
          <w:tcPr>
            <w:tcW w:w="9362" w:type="dxa"/>
            <w:gridSpan w:val="3"/>
          </w:tcPr>
          <w:p w14:paraId="6E800997" w14:textId="212A233D" w:rsidR="005A78BF" w:rsidRPr="004D126E" w:rsidRDefault="004D126E" w:rsidP="0085588A">
            <w:pPr>
              <w:pStyle w:val="zSoquijdatCabinetProcureurDem"/>
            </w:pPr>
            <w:r>
              <w:t>DIRECTEUR DES POURSUITES CRIMINELLES ET PÉNALES</w:t>
            </w:r>
          </w:p>
        </w:tc>
      </w:tr>
      <w:tr w:rsidR="005A78BF" w14:paraId="16EC6772" w14:textId="77777777" w:rsidTr="00423DF1">
        <w:tc>
          <w:tcPr>
            <w:tcW w:w="9362" w:type="dxa"/>
            <w:gridSpan w:val="3"/>
          </w:tcPr>
          <w:p w14:paraId="3C5B5583" w14:textId="36DAA447" w:rsidR="005A78BF" w:rsidRDefault="004D126E" w:rsidP="0085588A">
            <w:pPr>
              <w:pStyle w:val="zSoquijlblProcureurDem"/>
              <w:rPr>
                <w:lang w:val="en-CA"/>
              </w:rPr>
            </w:pPr>
            <w:r>
              <w:t>Pour l’appelant</w:t>
            </w:r>
          </w:p>
        </w:tc>
      </w:tr>
      <w:tr w:rsidR="005A78BF" w14:paraId="4427232B" w14:textId="77777777" w:rsidTr="00423DF1">
        <w:tc>
          <w:tcPr>
            <w:tcW w:w="9362" w:type="dxa"/>
            <w:gridSpan w:val="3"/>
          </w:tcPr>
          <w:p w14:paraId="064946A0" w14:textId="77777777" w:rsidR="005A78BF" w:rsidRDefault="005A78BF" w:rsidP="0085588A">
            <w:pPr>
              <w:rPr>
                <w:lang w:val="en-CA"/>
              </w:rPr>
            </w:pPr>
          </w:p>
        </w:tc>
      </w:tr>
      <w:tr w:rsidR="005A78BF" w14:paraId="5397B1BE" w14:textId="77777777" w:rsidTr="00423DF1">
        <w:tc>
          <w:tcPr>
            <w:tcW w:w="9362" w:type="dxa"/>
            <w:gridSpan w:val="3"/>
          </w:tcPr>
          <w:p w14:paraId="2C7D078F" w14:textId="7749229C" w:rsidR="005A78BF" w:rsidRDefault="00500A95" w:rsidP="0085588A">
            <w:pPr>
              <w:pStyle w:val="zSoquijdatNomProcureurDef"/>
              <w:rPr>
                <w:lang w:val="en-CA"/>
              </w:rPr>
            </w:pPr>
            <w:r>
              <w:t>Me Véronique Robert-Blanchard</w:t>
            </w:r>
          </w:p>
        </w:tc>
      </w:tr>
      <w:tr w:rsidR="005A78BF" w14:paraId="3843A9E3" w14:textId="77777777" w:rsidTr="00423DF1">
        <w:tc>
          <w:tcPr>
            <w:tcW w:w="9362" w:type="dxa"/>
            <w:gridSpan w:val="3"/>
          </w:tcPr>
          <w:p w14:paraId="1ADA0021" w14:textId="5F48034A" w:rsidR="005A78BF" w:rsidRDefault="00500A95" w:rsidP="0085588A">
            <w:pPr>
              <w:pStyle w:val="zSoquijlblProcureurDef"/>
              <w:rPr>
                <w:lang w:val="en-CA"/>
              </w:rPr>
            </w:pPr>
            <w:r>
              <w:t>ROY ROBERT AVOCATS</w:t>
            </w:r>
          </w:p>
        </w:tc>
      </w:tr>
      <w:tr w:rsidR="00381A5B" w14:paraId="741EFB50" w14:textId="77777777" w:rsidTr="00423DF1">
        <w:tc>
          <w:tcPr>
            <w:tcW w:w="9362" w:type="dxa"/>
            <w:gridSpan w:val="3"/>
          </w:tcPr>
          <w:p w14:paraId="70331E51" w14:textId="07E64E00" w:rsidR="00381A5B" w:rsidRDefault="00381A5B" w:rsidP="0085588A">
            <w:pPr>
              <w:pStyle w:val="zSoquijlblProcureurDef"/>
            </w:pPr>
            <w:r>
              <w:t>Pour l’intimée</w:t>
            </w:r>
          </w:p>
        </w:tc>
      </w:tr>
      <w:tr w:rsidR="005A78BF" w14:paraId="251DB9DC" w14:textId="77777777" w:rsidTr="00423DF1">
        <w:tc>
          <w:tcPr>
            <w:tcW w:w="9362" w:type="dxa"/>
            <w:gridSpan w:val="3"/>
          </w:tcPr>
          <w:p w14:paraId="16D93046" w14:textId="77777777" w:rsidR="005A78BF" w:rsidRDefault="005A78BF" w:rsidP="0085588A">
            <w:pPr>
              <w:rPr>
                <w:lang w:val="en-CA"/>
              </w:rPr>
            </w:pPr>
          </w:p>
        </w:tc>
      </w:tr>
      <w:tr w:rsidR="005A78BF" w14:paraId="7EF2F3A6" w14:textId="77777777" w:rsidTr="00423DF1">
        <w:tc>
          <w:tcPr>
            <w:tcW w:w="1997" w:type="dxa"/>
          </w:tcPr>
          <w:p w14:paraId="006FEAE4" w14:textId="77777777" w:rsidR="005A78BF" w:rsidRDefault="005A78BF" w:rsidP="0085588A">
            <w:pPr>
              <w:pStyle w:val="zSoquijlblDateAudience"/>
            </w:pPr>
            <w:r>
              <w:t>Date d’audience :</w:t>
            </w:r>
          </w:p>
        </w:tc>
        <w:tc>
          <w:tcPr>
            <w:tcW w:w="7365" w:type="dxa"/>
            <w:gridSpan w:val="2"/>
          </w:tcPr>
          <w:p w14:paraId="6092E89F" w14:textId="25281758" w:rsidR="005A78BF" w:rsidRDefault="004D126E" w:rsidP="0085588A">
            <w:pPr>
              <w:pStyle w:val="zSoquijdatDateAudience"/>
            </w:pPr>
            <w:r>
              <w:t>12 décembre 2025</w:t>
            </w:r>
          </w:p>
        </w:tc>
      </w:tr>
    </w:tbl>
    <w:p w14:paraId="6C225159" w14:textId="77777777" w:rsidR="00E56098" w:rsidRPr="0068390D" w:rsidRDefault="00E56098" w:rsidP="0085588A">
      <w:pPr>
        <w:sectPr w:rsidR="00E56098" w:rsidRPr="0068390D" w:rsidSect="00E56098">
          <w:headerReference w:type="default" r:id="rId8"/>
          <w:pgSz w:w="12242" w:h="15842" w:code="1"/>
          <w:pgMar w:top="1440" w:right="1008" w:bottom="1440" w:left="1872" w:header="1440" w:footer="792" w:gutter="0"/>
          <w:cols w:space="720"/>
          <w:formProt w:val="0"/>
          <w:titlePg/>
        </w:sectPr>
      </w:pPr>
      <w:bookmarkStart w:id="12" w:name="Opinion"/>
      <w:bookmarkEnd w:id="8"/>
    </w:p>
    <w:tbl>
      <w:tblPr>
        <w:tblW w:w="0" w:type="auto"/>
        <w:tblLayout w:type="fixed"/>
        <w:tblCellMar>
          <w:left w:w="0" w:type="dxa"/>
          <w:right w:w="0" w:type="dxa"/>
        </w:tblCellMar>
        <w:tblLook w:val="0000" w:firstRow="0" w:lastRow="0" w:firstColumn="0" w:lastColumn="0" w:noHBand="0" w:noVBand="0"/>
      </w:tblPr>
      <w:tblGrid>
        <w:gridCol w:w="9360"/>
      </w:tblGrid>
      <w:tr w:rsidR="00E56098" w:rsidRPr="0068390D" w14:paraId="601BB39D" w14:textId="77777777" w:rsidTr="007D7B37">
        <w:tc>
          <w:tcPr>
            <w:tcW w:w="9360" w:type="dxa"/>
            <w:tcBorders>
              <w:bottom w:val="single" w:sz="8" w:space="0" w:color="auto"/>
            </w:tcBorders>
          </w:tcPr>
          <w:p w14:paraId="07A856EF" w14:textId="5B6954B4" w:rsidR="00E56098" w:rsidRPr="0068390D" w:rsidRDefault="00E56098" w:rsidP="0085588A">
            <w:r w:rsidRPr="0068390D">
              <w:br w:type="page"/>
            </w:r>
          </w:p>
        </w:tc>
      </w:tr>
      <w:tr w:rsidR="00E56098" w:rsidRPr="0068390D" w14:paraId="549CE1C3" w14:textId="77777777" w:rsidTr="007D7B37">
        <w:tc>
          <w:tcPr>
            <w:tcW w:w="9360" w:type="dxa"/>
            <w:tcBorders>
              <w:top w:val="single" w:sz="8" w:space="0" w:color="auto"/>
            </w:tcBorders>
          </w:tcPr>
          <w:p w14:paraId="21C66EFF" w14:textId="77777777" w:rsidR="00E56098" w:rsidRPr="0068390D" w:rsidRDefault="00E56098" w:rsidP="0085588A"/>
        </w:tc>
      </w:tr>
      <w:tr w:rsidR="00E56098" w:rsidRPr="0068390D" w14:paraId="5726063D" w14:textId="77777777" w:rsidTr="007D7B37">
        <w:tc>
          <w:tcPr>
            <w:tcW w:w="9360" w:type="dxa"/>
          </w:tcPr>
          <w:p w14:paraId="218DC75D" w14:textId="77777777" w:rsidR="00E56098" w:rsidRPr="0068390D" w:rsidRDefault="00E56098" w:rsidP="0085588A">
            <w:pPr>
              <w:pStyle w:val="zSoquijlblOpinionJuge"/>
            </w:pPr>
            <w:bookmarkStart w:id="13" w:name="MotifJuge1"/>
            <w:r w:rsidRPr="0068390D">
              <w:t>MOTIFS DU JUGE</w:t>
            </w:r>
            <w:bookmarkEnd w:id="13"/>
            <w:r w:rsidRPr="0068390D">
              <w:t xml:space="preserve"> VAUCLAIR</w:t>
            </w:r>
          </w:p>
        </w:tc>
      </w:tr>
      <w:tr w:rsidR="00E56098" w:rsidRPr="0068390D" w14:paraId="2E85737E" w14:textId="77777777" w:rsidTr="007D7B37">
        <w:tc>
          <w:tcPr>
            <w:tcW w:w="9360" w:type="dxa"/>
            <w:tcBorders>
              <w:bottom w:val="single" w:sz="8" w:space="0" w:color="auto"/>
            </w:tcBorders>
          </w:tcPr>
          <w:p w14:paraId="68CA28A0" w14:textId="77777777" w:rsidR="00E56098" w:rsidRPr="0068390D" w:rsidRDefault="00E56098" w:rsidP="0085588A"/>
        </w:tc>
      </w:tr>
      <w:tr w:rsidR="00E56098" w:rsidRPr="0068390D" w14:paraId="0415FE7B" w14:textId="77777777" w:rsidTr="007D7B37">
        <w:tc>
          <w:tcPr>
            <w:tcW w:w="9360" w:type="dxa"/>
            <w:tcBorders>
              <w:top w:val="single" w:sz="8" w:space="0" w:color="auto"/>
            </w:tcBorders>
          </w:tcPr>
          <w:p w14:paraId="50AC7BCB" w14:textId="77777777" w:rsidR="00E56098" w:rsidRPr="0068390D" w:rsidRDefault="00E56098" w:rsidP="0085588A"/>
        </w:tc>
      </w:tr>
    </w:tbl>
    <w:p w14:paraId="5AD05F17" w14:textId="08024846" w:rsidR="00E56098" w:rsidRPr="0068390D" w:rsidRDefault="00E56098" w:rsidP="0085588A">
      <w:pPr>
        <w:pStyle w:val="Paragraphe"/>
        <w:spacing w:line="280" w:lineRule="exact"/>
      </w:pPr>
      <w:r w:rsidRPr="0068390D">
        <w:t>Le ministère public estime que l’absolution conditionnelle accompagnée d’une ordonnance de probation de 2</w:t>
      </w:r>
      <w:r w:rsidR="00992836">
        <w:t> </w:t>
      </w:r>
      <w:r w:rsidRPr="0068390D">
        <w:t>ans, assortie de l’obligation d’effectuer 240 heures de travaux communautaires en plus de rembourser une somme de 4</w:t>
      </w:r>
      <w:r w:rsidR="00992836">
        <w:t> </w:t>
      </w:r>
      <w:r w:rsidRPr="0068390D">
        <w:t xml:space="preserve">015 $, n’est pas </w:t>
      </w:r>
      <w:r w:rsidRPr="0068390D">
        <w:rPr>
          <w:rFonts w:cs="Arial"/>
          <w:szCs w:val="24"/>
          <w:lang w:eastAsia="en-US"/>
        </w:rPr>
        <w:t xml:space="preserve">la peine indiquée compte tenu de l’infraction de vol envers des personnes âgées et vulnérables, de même que d’autres infractions constatées au même moment. </w:t>
      </w:r>
      <w:r w:rsidRPr="0068390D">
        <w:t>(</w:t>
      </w:r>
      <w:r w:rsidRPr="0068390D">
        <w:rPr>
          <w:i/>
          <w:iCs/>
        </w:rPr>
        <w:t>R.</w:t>
      </w:r>
      <w:r w:rsidR="00992836">
        <w:rPr>
          <w:i/>
          <w:iCs/>
        </w:rPr>
        <w:t> </w:t>
      </w:r>
      <w:r w:rsidRPr="0068390D">
        <w:rPr>
          <w:i/>
          <w:iCs/>
        </w:rPr>
        <w:t>c.</w:t>
      </w:r>
      <w:r w:rsidR="00992836">
        <w:rPr>
          <w:i/>
          <w:iCs/>
        </w:rPr>
        <w:t> </w:t>
      </w:r>
      <w:r w:rsidRPr="0068390D">
        <w:rPr>
          <w:i/>
          <w:iCs/>
        </w:rPr>
        <w:t>Benbouhoud</w:t>
      </w:r>
      <w:r w:rsidRPr="0068390D">
        <w:t>, 2025</w:t>
      </w:r>
      <w:r w:rsidR="00EF3E76">
        <w:t> </w:t>
      </w:r>
      <w:r w:rsidRPr="0068390D">
        <w:t>QCCQ</w:t>
      </w:r>
      <w:r w:rsidR="00EF3E76">
        <w:t> </w:t>
      </w:r>
      <w:r w:rsidRPr="0068390D">
        <w:t>2519).</w:t>
      </w:r>
    </w:p>
    <w:p w14:paraId="06DCEE38" w14:textId="77777777" w:rsidR="00E56098" w:rsidRDefault="00E56098" w:rsidP="0085588A">
      <w:pPr>
        <w:pStyle w:val="JgtParagraphe"/>
        <w:numPr>
          <w:ilvl w:val="0"/>
          <w:numId w:val="18"/>
        </w:numPr>
        <w:spacing w:line="280" w:lineRule="exact"/>
        <w:rPr>
          <w:color w:val="auto"/>
        </w:rPr>
      </w:pPr>
      <w:r w:rsidRPr="0068390D">
        <w:rPr>
          <w:color w:val="auto"/>
        </w:rPr>
        <w:t xml:space="preserve">La tâche de déterminer la peine est un exercice hautement individualisé et délicat qui commande la déférence. Dans la présente affaire, le juge inflige une peine qu’il estime appropriée au crime </w:t>
      </w:r>
      <w:r w:rsidRPr="0068390D">
        <w:rPr>
          <w:i/>
          <w:iCs/>
          <w:color w:val="auto"/>
        </w:rPr>
        <w:t>et</w:t>
      </w:r>
      <w:r w:rsidRPr="0068390D">
        <w:rPr>
          <w:color w:val="auto"/>
        </w:rPr>
        <w:t xml:space="preserve"> à la délinquante.</w:t>
      </w:r>
    </w:p>
    <w:p w14:paraId="64AB8D4B" w14:textId="03097034" w:rsidR="00E56098" w:rsidRPr="0068390D" w:rsidRDefault="00E56098" w:rsidP="0085588A">
      <w:pPr>
        <w:pStyle w:val="JgtParagraphe"/>
        <w:numPr>
          <w:ilvl w:val="0"/>
          <w:numId w:val="18"/>
        </w:numPr>
        <w:spacing w:line="280" w:lineRule="exact"/>
        <w:rPr>
          <w:color w:val="auto"/>
        </w:rPr>
      </w:pPr>
      <w:r w:rsidRPr="0068390D">
        <w:rPr>
          <w:color w:val="auto"/>
        </w:rPr>
        <w:t xml:space="preserve">Une cour d’appel peut intervenir si l’analyse du juge de la peine est entachée d’une erreur de droit ou de principe qui a un impact déterminant sur la peine infligée : </w:t>
      </w:r>
      <w:r w:rsidRPr="0068390D">
        <w:rPr>
          <w:i/>
          <w:iCs/>
          <w:color w:val="auto"/>
        </w:rPr>
        <w:t>R. c. Lacasse</w:t>
      </w:r>
      <w:r w:rsidRPr="0068390D">
        <w:rPr>
          <w:color w:val="auto"/>
        </w:rPr>
        <w:t>, 2015 CSC 64, par.</w:t>
      </w:r>
      <w:r w:rsidR="00992836">
        <w:rPr>
          <w:color w:val="auto"/>
        </w:rPr>
        <w:t> </w:t>
      </w:r>
      <w:r w:rsidRPr="0068390D">
        <w:rPr>
          <w:color w:val="auto"/>
        </w:rPr>
        <w:t>43. Elle peut aussi intervenir si la peine est</w:t>
      </w:r>
      <w:r w:rsidRPr="0068390D">
        <w:rPr>
          <w:rStyle w:val="apple-converted-space"/>
          <w:color w:val="auto"/>
        </w:rPr>
        <w:t> </w:t>
      </w:r>
      <w:r w:rsidRPr="0068390D">
        <w:rPr>
          <w:color w:val="auto"/>
        </w:rPr>
        <w:t>manifestement non indiquée, un « seuil très élevé que doivent respecter les cours d’appel », c’est-à-dire que la peine doit s’écarter de manière déraisonnable du principe fondamental de la proportionnalité, soit d’être «</w:t>
      </w:r>
      <w:r w:rsidR="00992836">
        <w:rPr>
          <w:color w:val="auto"/>
        </w:rPr>
        <w:t> </w:t>
      </w:r>
      <w:r w:rsidRPr="0068390D">
        <w:rPr>
          <w:color w:val="auto"/>
        </w:rPr>
        <w:t>proportionnelle à la gravité de l’infraction et au degré de responsabilité du délinquant</w:t>
      </w:r>
      <w:r w:rsidR="00992836">
        <w:rPr>
          <w:color w:val="auto"/>
        </w:rPr>
        <w:t> </w:t>
      </w:r>
      <w:r w:rsidRPr="0068390D">
        <w:rPr>
          <w:color w:val="auto"/>
        </w:rPr>
        <w:t xml:space="preserve">» ainsi que des autres objectifs de la peine : </w:t>
      </w:r>
      <w:r w:rsidRPr="0068390D">
        <w:rPr>
          <w:i/>
          <w:iCs/>
          <w:color w:val="auto"/>
        </w:rPr>
        <w:t>R. c. Lacasse</w:t>
      </w:r>
      <w:r w:rsidRPr="0068390D">
        <w:rPr>
          <w:color w:val="auto"/>
        </w:rPr>
        <w:t>, 2015 CSC 64, par.</w:t>
      </w:r>
      <w:r w:rsidR="00992836">
        <w:rPr>
          <w:color w:val="auto"/>
        </w:rPr>
        <w:t> </w:t>
      </w:r>
      <w:r w:rsidRPr="0068390D">
        <w:rPr>
          <w:color w:val="auto"/>
        </w:rPr>
        <w:t>52-54.</w:t>
      </w:r>
    </w:p>
    <w:p w14:paraId="245863DE" w14:textId="67707147" w:rsidR="00E56098" w:rsidRDefault="00E56098" w:rsidP="0085588A">
      <w:pPr>
        <w:pStyle w:val="JgtParagraphe"/>
        <w:numPr>
          <w:ilvl w:val="0"/>
          <w:numId w:val="18"/>
        </w:numPr>
        <w:spacing w:line="280" w:lineRule="exact"/>
        <w:rPr>
          <w:color w:val="auto"/>
        </w:rPr>
      </w:pPr>
      <w:r w:rsidRPr="0068390D">
        <w:rPr>
          <w:color w:val="auto"/>
        </w:rPr>
        <w:t xml:space="preserve">Cependant, une cour d’appel ne peut intervenir uniquement en raison de « son désaccord avec la peine infligée » et ainsi substituer son opinion à celle du juge de la peine : </w:t>
      </w:r>
      <w:r w:rsidRPr="0068390D">
        <w:rPr>
          <w:i/>
          <w:iCs/>
          <w:color w:val="auto"/>
        </w:rPr>
        <w:t>R. c. McDonnell</w:t>
      </w:r>
      <w:r w:rsidRPr="0068390D">
        <w:rPr>
          <w:color w:val="auto"/>
        </w:rPr>
        <w:t>, [1997] 1 R.C.S. 948, par.</w:t>
      </w:r>
      <w:r w:rsidR="00992836">
        <w:rPr>
          <w:color w:val="auto"/>
        </w:rPr>
        <w:t> </w:t>
      </w:r>
      <w:r w:rsidRPr="0068390D">
        <w:rPr>
          <w:color w:val="auto"/>
        </w:rPr>
        <w:t>27, 46.</w:t>
      </w:r>
    </w:p>
    <w:p w14:paraId="6DFC0B85" w14:textId="77777777" w:rsidR="00E56098" w:rsidRDefault="00E56098" w:rsidP="0085588A">
      <w:pPr>
        <w:pStyle w:val="JgtParagraphe"/>
        <w:numPr>
          <w:ilvl w:val="0"/>
          <w:numId w:val="18"/>
        </w:numPr>
        <w:spacing w:line="280" w:lineRule="exact"/>
        <w:rPr>
          <w:color w:val="auto"/>
        </w:rPr>
      </w:pPr>
      <w:r w:rsidRPr="0068390D">
        <w:rPr>
          <w:color w:val="auto"/>
        </w:rPr>
        <w:t>Pour les motifs qui suivent, je conclus que le juge a soupesé tous les aspects du dossier pour déterminer la peine et que l’appelant ne démontre aucune erreur autorisant l’intervention d’une cour d’appel. La Cour ne peut pas simplement substituer son opinion et infliger une peine différente.</w:t>
      </w:r>
    </w:p>
    <w:p w14:paraId="7952DF47" w14:textId="77777777" w:rsidR="00E56098" w:rsidRPr="0068390D" w:rsidRDefault="00E56098" w:rsidP="0085588A">
      <w:pPr>
        <w:pStyle w:val="JgtPositionniv1"/>
        <w:spacing w:line="280" w:lineRule="exact"/>
      </w:pPr>
      <w:r w:rsidRPr="0068390D">
        <w:t>La décision</w:t>
      </w:r>
    </w:p>
    <w:p w14:paraId="7B4CB1A2" w14:textId="48357247" w:rsidR="00E56098" w:rsidRDefault="00E56098" w:rsidP="0085588A">
      <w:pPr>
        <w:pStyle w:val="JgtParagraphe"/>
        <w:numPr>
          <w:ilvl w:val="0"/>
          <w:numId w:val="18"/>
        </w:numPr>
        <w:spacing w:line="280" w:lineRule="exact"/>
        <w:rPr>
          <w:color w:val="auto"/>
        </w:rPr>
      </w:pPr>
      <w:r w:rsidRPr="0068390D">
        <w:rPr>
          <w:color w:val="auto"/>
        </w:rPr>
        <w:t>Le juge accepte le plaidoyer de culpabilité de l’intimé</w:t>
      </w:r>
      <w:r>
        <w:rPr>
          <w:color w:val="auto"/>
        </w:rPr>
        <w:t>e</w:t>
      </w:r>
      <w:r w:rsidRPr="0068390D">
        <w:rPr>
          <w:color w:val="auto"/>
        </w:rPr>
        <w:t xml:space="preserve"> « à un complot dans le but de commettre des vols et d’avoir volé une somme d’argent considérable à l’égard de 11</w:t>
      </w:r>
      <w:r w:rsidR="00992836">
        <w:rPr>
          <w:color w:val="auto"/>
        </w:rPr>
        <w:t> </w:t>
      </w:r>
      <w:r w:rsidRPr="0068390D">
        <w:rPr>
          <w:color w:val="auto"/>
        </w:rPr>
        <w:t xml:space="preserve">personnes âgées pendant le mois de juillet 2021 » </w:t>
      </w:r>
      <w:r w:rsidRPr="0068390D">
        <w:rPr>
          <w:i/>
          <w:iCs/>
          <w:color w:val="auto"/>
        </w:rPr>
        <w:t>R. c. Benbouhoud</w:t>
      </w:r>
      <w:r w:rsidRPr="0068390D">
        <w:rPr>
          <w:color w:val="auto"/>
        </w:rPr>
        <w:t>, 2025 QCCQ 2519, par.</w:t>
      </w:r>
      <w:r w:rsidR="00992836">
        <w:rPr>
          <w:color w:val="auto"/>
        </w:rPr>
        <w:t> </w:t>
      </w:r>
      <w:r w:rsidRPr="0068390D">
        <w:rPr>
          <w:color w:val="auto"/>
        </w:rPr>
        <w:t>1.</w:t>
      </w:r>
    </w:p>
    <w:p w14:paraId="48478405" w14:textId="53F1A6D1" w:rsidR="00E56098" w:rsidRDefault="00E56098" w:rsidP="0085588A">
      <w:pPr>
        <w:pStyle w:val="JgtParagraphe"/>
        <w:numPr>
          <w:ilvl w:val="0"/>
          <w:numId w:val="18"/>
        </w:numPr>
        <w:spacing w:line="280" w:lineRule="exact"/>
        <w:rPr>
          <w:color w:val="auto"/>
        </w:rPr>
      </w:pPr>
      <w:r w:rsidRPr="0068390D">
        <w:rPr>
          <w:color w:val="auto"/>
        </w:rPr>
        <w:t>L’intimée est arrêtée le 30</w:t>
      </w:r>
      <w:r w:rsidR="00992836">
        <w:rPr>
          <w:color w:val="auto"/>
        </w:rPr>
        <w:t> </w:t>
      </w:r>
      <w:r w:rsidRPr="0068390D">
        <w:rPr>
          <w:color w:val="auto"/>
        </w:rPr>
        <w:t>juillet</w:t>
      </w:r>
      <w:r w:rsidR="00992836">
        <w:rPr>
          <w:color w:val="auto"/>
        </w:rPr>
        <w:t> </w:t>
      </w:r>
      <w:r w:rsidRPr="0068390D">
        <w:rPr>
          <w:color w:val="auto"/>
        </w:rPr>
        <w:t>2021, alors qu’elle se présente chez sa dernière victime. Outre sa participation au complot, elle admet au juge la possession d’armes prohibées sans permis, soit une arme à impulsion électrique et une bonbonne de poivre, ainsi que 24</w:t>
      </w:r>
      <w:r w:rsidR="00992836">
        <w:rPr>
          <w:color w:val="auto"/>
        </w:rPr>
        <w:t> </w:t>
      </w:r>
      <w:r w:rsidRPr="0068390D">
        <w:rPr>
          <w:color w:val="auto"/>
        </w:rPr>
        <w:t>pièces d’identité fabriquées, trouvées lors de la fouille accessoire à son arrestation ainsi que celle de son véhicule.</w:t>
      </w:r>
    </w:p>
    <w:p w14:paraId="7AA08A81" w14:textId="77777777" w:rsidR="00E56098" w:rsidRDefault="00E56098" w:rsidP="0085588A">
      <w:pPr>
        <w:pStyle w:val="JgtParagraphe"/>
        <w:numPr>
          <w:ilvl w:val="0"/>
          <w:numId w:val="18"/>
        </w:numPr>
        <w:spacing w:line="280" w:lineRule="exact"/>
        <w:rPr>
          <w:color w:val="auto"/>
        </w:rPr>
      </w:pPr>
      <w:r w:rsidRPr="0068390D">
        <w:rPr>
          <w:color w:val="auto"/>
        </w:rPr>
        <w:t>Selon le juge, l’intimée jouait un rôle prédominant, puisque c’est elle qui recueillait l’argent extorqué auprès des personnes âgées. Une victime ciblée avait préalablement été contactée par un tiers qui lui faisait croire que son petit fils était détenu et qu’une somme d’argent était nécessaire pour payer une caution afin d’obtenir sa libération. Pour récupérer l’enveloppe, l’intimée recevait une somme qui variait entre 250 $ et 350 $.</w:t>
      </w:r>
    </w:p>
    <w:p w14:paraId="7BEE7D22" w14:textId="33EF59B8" w:rsidR="00E56098" w:rsidRPr="0068390D" w:rsidRDefault="00E56098" w:rsidP="0085588A">
      <w:pPr>
        <w:pStyle w:val="JgtParagraphe"/>
        <w:numPr>
          <w:ilvl w:val="0"/>
          <w:numId w:val="18"/>
        </w:numPr>
        <w:spacing w:line="280" w:lineRule="exact"/>
        <w:rPr>
          <w:color w:val="auto"/>
        </w:rPr>
      </w:pPr>
      <w:r w:rsidRPr="0068390D">
        <w:rPr>
          <w:color w:val="auto"/>
        </w:rPr>
        <w:t>Le juge qualifie de fléau ce type de criminalité dans le district où il siège, soit le district de Laval. Selon lui, la peine pour un « vol de plus de 5</w:t>
      </w:r>
      <w:r>
        <w:rPr>
          <w:color w:val="auto"/>
        </w:rPr>
        <w:t> </w:t>
      </w:r>
      <w:r w:rsidRPr="0068390D">
        <w:rPr>
          <w:color w:val="auto"/>
        </w:rPr>
        <w:t xml:space="preserve">000 $, comportant un mélange de facteurs atténuants et de circonstances aggravantes, balance généralement entre </w:t>
      </w:r>
      <w:r>
        <w:rPr>
          <w:color w:val="auto"/>
        </w:rPr>
        <w:t>6</w:t>
      </w:r>
      <w:r w:rsidRPr="0068390D">
        <w:rPr>
          <w:color w:val="auto"/>
        </w:rPr>
        <w:t xml:space="preserve"> mois et deux ans moins un jour de prison » (</w:t>
      </w:r>
      <w:r w:rsidRPr="0068390D">
        <w:rPr>
          <w:i/>
          <w:color w:val="auto"/>
        </w:rPr>
        <w:t>R. c. Benbouhoud</w:t>
      </w:r>
      <w:r w:rsidRPr="0068390D">
        <w:rPr>
          <w:color w:val="auto"/>
        </w:rPr>
        <w:t>, précité, par.</w:t>
      </w:r>
      <w:r w:rsidR="00992836">
        <w:rPr>
          <w:color w:val="auto"/>
        </w:rPr>
        <w:t> </w:t>
      </w:r>
      <w:r w:rsidRPr="0068390D">
        <w:rPr>
          <w:color w:val="auto"/>
        </w:rPr>
        <w:t>30).</w:t>
      </w:r>
    </w:p>
    <w:p w14:paraId="07436E60" w14:textId="5ADF2F7D" w:rsidR="00E56098" w:rsidRDefault="00E56098" w:rsidP="0085588A">
      <w:pPr>
        <w:pStyle w:val="JgtParagraphe"/>
        <w:numPr>
          <w:ilvl w:val="0"/>
          <w:numId w:val="18"/>
        </w:numPr>
        <w:spacing w:line="280" w:lineRule="exact"/>
        <w:rPr>
          <w:color w:val="auto"/>
        </w:rPr>
      </w:pPr>
      <w:r w:rsidRPr="0068390D">
        <w:rPr>
          <w:color w:val="auto"/>
        </w:rPr>
        <w:t xml:space="preserve">Le juge explique cependant que « [l]es seuls contacts qu’a eu la délinquante avec les têtes dirigeantes de ce stratagème ou avec ses bénéficiaires principaux sont via l’application </w:t>
      </w:r>
      <w:r w:rsidRPr="0068390D">
        <w:rPr>
          <w:i/>
          <w:iCs/>
          <w:color w:val="auto"/>
        </w:rPr>
        <w:t>Signal</w:t>
      </w:r>
      <w:r w:rsidRPr="0068390D">
        <w:rPr>
          <w:color w:val="auto"/>
        </w:rPr>
        <w:t> » (</w:t>
      </w:r>
      <w:r w:rsidRPr="0068390D">
        <w:rPr>
          <w:i/>
          <w:color w:val="auto"/>
        </w:rPr>
        <w:t>R. c. Benbouhoud</w:t>
      </w:r>
      <w:r w:rsidRPr="0068390D">
        <w:rPr>
          <w:color w:val="auto"/>
        </w:rPr>
        <w:t>, précité, par.</w:t>
      </w:r>
      <w:r w:rsidR="00992836">
        <w:rPr>
          <w:color w:val="auto"/>
        </w:rPr>
        <w:t> </w:t>
      </w:r>
      <w:r w:rsidRPr="0068390D">
        <w:rPr>
          <w:color w:val="auto"/>
        </w:rPr>
        <w:t>3), une application qui permet de communiquer par messages cryptés.</w:t>
      </w:r>
    </w:p>
    <w:p w14:paraId="40EE1771" w14:textId="5B736E0F" w:rsidR="00E56098" w:rsidRDefault="00E56098" w:rsidP="0085588A">
      <w:pPr>
        <w:pStyle w:val="JgtParagraphe"/>
        <w:numPr>
          <w:ilvl w:val="0"/>
          <w:numId w:val="18"/>
        </w:numPr>
        <w:spacing w:line="280" w:lineRule="exact"/>
        <w:rPr>
          <w:color w:val="auto"/>
        </w:rPr>
      </w:pPr>
      <w:r w:rsidRPr="0068390D">
        <w:rPr>
          <w:color w:val="auto"/>
        </w:rPr>
        <w:t>Outre la gravité de l’infraction, le juge retient des circonstances aggravantes. Motivée par le lucre, l’intimée a pris part 11 fois au stratagème sur une période de 3</w:t>
      </w:r>
      <w:r w:rsidR="00992836">
        <w:rPr>
          <w:color w:val="auto"/>
        </w:rPr>
        <w:t> </w:t>
      </w:r>
      <w:r w:rsidRPr="0068390D">
        <w:rPr>
          <w:color w:val="auto"/>
        </w:rPr>
        <w:t>semaines, dans plusieurs villes, faisant autant de victimes âgées en moyenne de 77</w:t>
      </w:r>
      <w:r w:rsidR="00992836">
        <w:rPr>
          <w:color w:val="auto"/>
        </w:rPr>
        <w:t> </w:t>
      </w:r>
      <w:r w:rsidRPr="0068390D">
        <w:rPr>
          <w:color w:val="auto"/>
        </w:rPr>
        <w:t>ans, pour une somme totale de 67</w:t>
      </w:r>
      <w:r>
        <w:rPr>
          <w:color w:val="auto"/>
        </w:rPr>
        <w:t> </w:t>
      </w:r>
      <w:r w:rsidRPr="0068390D">
        <w:rPr>
          <w:color w:val="auto"/>
        </w:rPr>
        <w:t>200 $. Elle a « elle-même sollicité des adresses de nouvelles victimes » (</w:t>
      </w:r>
      <w:r w:rsidRPr="0068390D">
        <w:rPr>
          <w:i/>
          <w:color w:val="auto"/>
        </w:rPr>
        <w:t>R. c. Benbouhoud</w:t>
      </w:r>
      <w:r w:rsidRPr="0068390D">
        <w:rPr>
          <w:color w:val="auto"/>
        </w:rPr>
        <w:t>, précité, par. 39). Comme le juge le souligne, il n’est pas question « d’une simple étourderie ou d’un égarement momentané » (</w:t>
      </w:r>
      <w:r w:rsidRPr="0068390D">
        <w:rPr>
          <w:i/>
          <w:color w:val="auto"/>
        </w:rPr>
        <w:t>R.</w:t>
      </w:r>
      <w:r w:rsidR="00992836">
        <w:rPr>
          <w:i/>
          <w:color w:val="auto"/>
        </w:rPr>
        <w:t> </w:t>
      </w:r>
      <w:r w:rsidRPr="0068390D">
        <w:rPr>
          <w:i/>
          <w:color w:val="auto"/>
        </w:rPr>
        <w:t>c.</w:t>
      </w:r>
      <w:r w:rsidR="00992836">
        <w:rPr>
          <w:i/>
          <w:color w:val="auto"/>
        </w:rPr>
        <w:t> </w:t>
      </w:r>
      <w:r w:rsidRPr="0068390D">
        <w:rPr>
          <w:i/>
          <w:color w:val="auto"/>
        </w:rPr>
        <w:t>Benbouhoud</w:t>
      </w:r>
      <w:r w:rsidRPr="0068390D">
        <w:rPr>
          <w:color w:val="auto"/>
        </w:rPr>
        <w:t>, précité, par.</w:t>
      </w:r>
      <w:r w:rsidR="00992836">
        <w:rPr>
          <w:color w:val="auto"/>
        </w:rPr>
        <w:t> </w:t>
      </w:r>
      <w:r w:rsidRPr="0068390D">
        <w:rPr>
          <w:color w:val="auto"/>
        </w:rPr>
        <w:t>39) dont il constate l’impact sur les victimes.</w:t>
      </w:r>
    </w:p>
    <w:p w14:paraId="0906173B" w14:textId="77777777" w:rsidR="00E56098" w:rsidRPr="0068390D" w:rsidRDefault="00E56098" w:rsidP="0085588A">
      <w:pPr>
        <w:pStyle w:val="JgtParagraphe"/>
        <w:numPr>
          <w:ilvl w:val="0"/>
          <w:numId w:val="18"/>
        </w:numPr>
        <w:spacing w:line="280" w:lineRule="exact"/>
        <w:rPr>
          <w:color w:val="auto"/>
        </w:rPr>
      </w:pPr>
      <w:r w:rsidRPr="0068390D">
        <w:rPr>
          <w:color w:val="auto"/>
        </w:rPr>
        <w:t xml:space="preserve">Le juge souligne également une accusation </w:t>
      </w:r>
      <w:r w:rsidRPr="0068390D">
        <w:rPr>
          <w:color w:val="auto"/>
          <w:lang w:eastAsia="fr-CA"/>
        </w:rPr>
        <w:t>pendante dans un autre district, mais il retient ceci :</w:t>
      </w:r>
    </w:p>
    <w:p w14:paraId="49B5E95B" w14:textId="77777777" w:rsidR="00E56098" w:rsidRPr="0068390D" w:rsidRDefault="00E56098" w:rsidP="0085588A">
      <w:pPr>
        <w:pStyle w:val="JgtCit1"/>
        <w:spacing w:line="280" w:lineRule="exact"/>
        <w:rPr>
          <w:lang w:eastAsia="en-US"/>
        </w:rPr>
      </w:pPr>
      <w:r w:rsidRPr="0068390D">
        <w:rPr>
          <w:lang w:eastAsia="fr-CA"/>
        </w:rPr>
        <w:t>[</w:t>
      </w:r>
      <w:bookmarkStart w:id="14" w:name="par35"/>
      <w:r w:rsidRPr="0068390D">
        <w:rPr>
          <w:lang w:eastAsia="fr-CA"/>
        </w:rPr>
        <w:t>35</w:t>
      </w:r>
      <w:bookmarkEnd w:id="14"/>
      <w:r w:rsidRPr="0068390D">
        <w:rPr>
          <w:lang w:eastAsia="fr-CA"/>
        </w:rPr>
        <w:t>]</w:t>
      </w:r>
      <w:r>
        <w:rPr>
          <w:rFonts w:ascii="Times New Roman" w:hAnsi="Times New Roman"/>
          <w:sz w:val="14"/>
          <w:szCs w:val="14"/>
          <w:lang w:eastAsia="fr-CA"/>
        </w:rPr>
        <w:t xml:space="preserve"> </w:t>
      </w:r>
      <w:r w:rsidRPr="0068390D">
        <w:rPr>
          <w:lang w:eastAsia="fr-CA"/>
        </w:rPr>
        <w:t>À la suite de son arrestation dans le district de Laval, la délinquante aurait </w:t>
      </w:r>
      <w:r w:rsidRPr="0068390D">
        <w:rPr>
          <w:i/>
          <w:iCs/>
          <w:lang w:eastAsia="fr-CA"/>
        </w:rPr>
        <w:t>possiblement </w:t>
      </w:r>
      <w:r w:rsidRPr="0068390D">
        <w:rPr>
          <w:lang w:eastAsia="fr-CA"/>
        </w:rPr>
        <w:t>été impliquée dans des évènements similaires dans une autre région.</w:t>
      </w:r>
      <w:r>
        <w:rPr>
          <w:lang w:eastAsia="fr-CA"/>
        </w:rPr>
        <w:t xml:space="preserve"> </w:t>
      </w:r>
      <w:r w:rsidRPr="0068390D">
        <w:rPr>
          <w:lang w:eastAsia="fr-CA"/>
        </w:rPr>
        <w:t>Son arrestation et la recherche d’autres victimes potentielles ont été médiatisées.</w:t>
      </w:r>
      <w:r>
        <w:rPr>
          <w:lang w:eastAsia="fr-CA"/>
        </w:rPr>
        <w:t xml:space="preserve"> </w:t>
      </w:r>
      <w:r w:rsidRPr="0068390D">
        <w:rPr>
          <w:lang w:eastAsia="fr-CA"/>
        </w:rPr>
        <w:t>La délinquante a fait quelques jours de prison et a ensuite entrepris un important virage personnel.</w:t>
      </w:r>
      <w:r>
        <w:rPr>
          <w:lang w:eastAsia="fr-CA"/>
        </w:rPr>
        <w:t xml:space="preserve"> </w:t>
      </w:r>
      <w:r w:rsidRPr="0068390D">
        <w:rPr>
          <w:lang w:eastAsia="fr-CA"/>
        </w:rPr>
        <w:t>Sans ressource financière, elle n’a pas été en mesure de rembourser une quelconque somme d’argent, mais elle a offert ses services et son aide à une ressource pour personnes âgées pendant 300 heures.</w:t>
      </w:r>
      <w:r>
        <w:rPr>
          <w:lang w:eastAsia="fr-CA"/>
        </w:rPr>
        <w:t xml:space="preserve"> </w:t>
      </w:r>
      <w:r w:rsidRPr="0068390D">
        <w:rPr>
          <w:lang w:eastAsia="fr-CA"/>
        </w:rPr>
        <w:t>La délinquante, à qui on ne connait aucun antécédent judiciaire, n’a jamais nié son implication dans les crimes commis et s’est montrée transparente pendant son processus scolaire et professionnel.</w:t>
      </w:r>
    </w:p>
    <w:p w14:paraId="62C6275E" w14:textId="08B31009" w:rsidR="00E56098" w:rsidRDefault="00E56098" w:rsidP="0085588A">
      <w:pPr>
        <w:pStyle w:val="JgtParagraphe"/>
        <w:numPr>
          <w:ilvl w:val="0"/>
          <w:numId w:val="18"/>
        </w:numPr>
        <w:spacing w:line="280" w:lineRule="exact"/>
        <w:rPr>
          <w:color w:val="auto"/>
        </w:rPr>
      </w:pPr>
      <w:r w:rsidRPr="0068390D">
        <w:rPr>
          <w:color w:val="auto"/>
        </w:rPr>
        <w:t>Le juge se penche sur cette accusation pendante à la demande de l’appelant et il conclut qu’il peut la considérer. Toutefois, il constate que cette accusation remonte à la même période et que cela ne modifie pas la réhabilitation démontrée de l’intimée (</w:t>
      </w:r>
      <w:r w:rsidRPr="0068390D">
        <w:rPr>
          <w:i/>
          <w:color w:val="auto"/>
        </w:rPr>
        <w:t>R.</w:t>
      </w:r>
      <w:r w:rsidR="008C303F">
        <w:rPr>
          <w:i/>
          <w:color w:val="auto"/>
        </w:rPr>
        <w:t> </w:t>
      </w:r>
      <w:r w:rsidRPr="0068390D">
        <w:rPr>
          <w:i/>
          <w:color w:val="auto"/>
        </w:rPr>
        <w:t>c.</w:t>
      </w:r>
      <w:r w:rsidR="008C303F">
        <w:rPr>
          <w:i/>
          <w:color w:val="auto"/>
        </w:rPr>
        <w:t> </w:t>
      </w:r>
      <w:r w:rsidRPr="0068390D">
        <w:rPr>
          <w:i/>
          <w:color w:val="auto"/>
        </w:rPr>
        <w:t>Benbouhoud</w:t>
      </w:r>
      <w:r w:rsidRPr="0068390D">
        <w:rPr>
          <w:color w:val="auto"/>
        </w:rPr>
        <w:t>, précité, par.</w:t>
      </w:r>
      <w:r w:rsidR="00992836">
        <w:t> </w:t>
      </w:r>
      <w:r w:rsidRPr="0068390D">
        <w:rPr>
          <w:color w:val="auto"/>
        </w:rPr>
        <w:t>78-79).</w:t>
      </w:r>
    </w:p>
    <w:p w14:paraId="66E11CC9" w14:textId="1F6BFD6F" w:rsidR="00E56098" w:rsidRPr="0068390D" w:rsidRDefault="00E56098" w:rsidP="0085588A">
      <w:pPr>
        <w:pStyle w:val="JgtParagraphe"/>
        <w:numPr>
          <w:ilvl w:val="0"/>
          <w:numId w:val="18"/>
        </w:numPr>
        <w:spacing w:line="280" w:lineRule="exact"/>
        <w:rPr>
          <w:color w:val="auto"/>
        </w:rPr>
      </w:pPr>
      <w:r w:rsidRPr="0068390D">
        <w:rPr>
          <w:color w:val="auto"/>
        </w:rPr>
        <w:t>Ainsi, sur le plan des circonstances atténuantes, le juge note donc le plaidoyer de culpabilité de l’intimée, le fait qu’elle avait un peu plus de 20</w:t>
      </w:r>
      <w:r w:rsidR="00992836">
        <w:rPr>
          <w:color w:val="auto"/>
        </w:rPr>
        <w:t> </w:t>
      </w:r>
      <w:r w:rsidRPr="0068390D">
        <w:rPr>
          <w:color w:val="auto"/>
        </w:rPr>
        <w:t>ans au moment des infractions et l’absence d’antécédents judiciaires. Ses remords sont qualifiés de très sincères et profonds qui s’inscrivent dans un processus d’introspection sérieux. Elle a volontairement effectué 300</w:t>
      </w:r>
      <w:r w:rsidR="00992836">
        <w:rPr>
          <w:color w:val="auto"/>
        </w:rPr>
        <w:t> </w:t>
      </w:r>
      <w:r w:rsidRPr="0068390D">
        <w:rPr>
          <w:color w:val="auto"/>
        </w:rPr>
        <w:t>heures de travail bénévole auprès de personnes âgées. Bref, le juge estime avoir une preuve concrète de réhabilitation, laquelle doit être maintenue afin que l’intimée soit pleinement un actif pour la société.</w:t>
      </w:r>
    </w:p>
    <w:p w14:paraId="651A2A7A" w14:textId="5BE0959B" w:rsidR="00E56098" w:rsidRDefault="00E56098" w:rsidP="0085588A">
      <w:pPr>
        <w:pStyle w:val="JgtParagraphe"/>
        <w:numPr>
          <w:ilvl w:val="0"/>
          <w:numId w:val="18"/>
        </w:numPr>
        <w:spacing w:line="280" w:lineRule="exact"/>
        <w:rPr>
          <w:color w:val="auto"/>
        </w:rPr>
      </w:pPr>
      <w:r w:rsidRPr="0068390D">
        <w:rPr>
          <w:color w:val="auto"/>
        </w:rPr>
        <w:t>Le juge « considère que l’introspection, l’autocritique et la responsabilisation de la délinquante sont le fruit d’un long et sincère processus personnel, scolaire et professionnel » (</w:t>
      </w:r>
      <w:r w:rsidRPr="0068390D">
        <w:rPr>
          <w:i/>
          <w:color w:val="auto"/>
        </w:rPr>
        <w:t>R. c. Benbouhoud</w:t>
      </w:r>
      <w:r w:rsidRPr="0068390D">
        <w:rPr>
          <w:color w:val="auto"/>
        </w:rPr>
        <w:t>, précité, par.</w:t>
      </w:r>
      <w:r w:rsidR="00992836">
        <w:rPr>
          <w:color w:val="auto"/>
        </w:rPr>
        <w:t> </w:t>
      </w:r>
      <w:r w:rsidRPr="0068390D">
        <w:rPr>
          <w:color w:val="auto"/>
        </w:rPr>
        <w:t>45). Il note les efforts considérables et en toute transparence de l’intimée pour acquérir des compétences dans un emploi productif, un parcours au terme duquel elle est candidate à la profession d’infirmière et le juge reconnaît que « l’aboutissement du parcours professionnel de la délinquante est tributaire de la présente décision sur la peine » (</w:t>
      </w:r>
      <w:r w:rsidRPr="0068390D">
        <w:rPr>
          <w:i/>
          <w:color w:val="auto"/>
        </w:rPr>
        <w:t>R. c. Benbouhoud</w:t>
      </w:r>
      <w:r w:rsidRPr="0068390D">
        <w:rPr>
          <w:color w:val="auto"/>
        </w:rPr>
        <w:t>, précité, par.</w:t>
      </w:r>
      <w:r w:rsidR="00992836">
        <w:rPr>
          <w:color w:val="auto"/>
        </w:rPr>
        <w:t> </w:t>
      </w:r>
      <w:r w:rsidRPr="0068390D">
        <w:rPr>
          <w:color w:val="auto"/>
        </w:rPr>
        <w:t>46).</w:t>
      </w:r>
    </w:p>
    <w:p w14:paraId="37DC73E5" w14:textId="6E61E5A3" w:rsidR="00E56098" w:rsidRPr="0068390D" w:rsidRDefault="00E56098" w:rsidP="0085588A">
      <w:pPr>
        <w:pStyle w:val="JgtParagraphe"/>
        <w:numPr>
          <w:ilvl w:val="0"/>
          <w:numId w:val="18"/>
        </w:numPr>
        <w:spacing w:line="280" w:lineRule="exact"/>
        <w:rPr>
          <w:color w:val="auto"/>
        </w:rPr>
      </w:pPr>
      <w:r w:rsidRPr="0068390D">
        <w:rPr>
          <w:color w:val="auto"/>
        </w:rPr>
        <w:t>Selon le juge, la prise de conscience sérieuse « atténue considérablement les risques que la délinquante profite, encore une fois, de la vulnérabilité des personnes âgées afin d’en soutirer des avantages personnels » (</w:t>
      </w:r>
      <w:r w:rsidRPr="0068390D">
        <w:rPr>
          <w:i/>
          <w:color w:val="auto"/>
        </w:rPr>
        <w:t>R. c. Benbouhoud</w:t>
      </w:r>
      <w:r w:rsidRPr="0068390D">
        <w:rPr>
          <w:color w:val="auto"/>
        </w:rPr>
        <w:t>, précité, par.</w:t>
      </w:r>
      <w:r w:rsidR="00992836">
        <w:rPr>
          <w:color w:val="auto"/>
        </w:rPr>
        <w:t> </w:t>
      </w:r>
      <w:r w:rsidRPr="0068390D">
        <w:rPr>
          <w:color w:val="auto"/>
        </w:rPr>
        <w:t>80).</w:t>
      </w:r>
    </w:p>
    <w:p w14:paraId="1F56EF69" w14:textId="77777777" w:rsidR="00E56098" w:rsidRPr="0068390D" w:rsidRDefault="00E56098" w:rsidP="0085588A">
      <w:pPr>
        <w:pStyle w:val="Paragraphe"/>
        <w:spacing w:line="280" w:lineRule="exact"/>
      </w:pPr>
      <w:r w:rsidRPr="0068390D">
        <w:t>Le juge rappelle que l’a</w:t>
      </w:r>
      <w:r w:rsidRPr="0068390D">
        <w:rPr>
          <w:rFonts w:cs="Arial"/>
          <w:szCs w:val="24"/>
          <w:lang w:eastAsia="en-US"/>
        </w:rPr>
        <w:t>bsolution n’est pas exceptionnelle lorsqu’elle peut être envisagée selon la loi et il faut alors que la mesure soit dans l</w:t>
      </w:r>
      <w:r>
        <w:rPr>
          <w:rFonts w:cs="Arial"/>
          <w:szCs w:val="24"/>
          <w:lang w:eastAsia="en-US"/>
        </w:rPr>
        <w:t>’</w:t>
      </w:r>
      <w:r w:rsidRPr="0068390D">
        <w:rPr>
          <w:rFonts w:cs="Arial"/>
          <w:szCs w:val="24"/>
          <w:lang w:eastAsia="en-US"/>
        </w:rPr>
        <w:t>intérêt véritable de l</w:t>
      </w:r>
      <w:r>
        <w:rPr>
          <w:rFonts w:cs="Arial"/>
          <w:szCs w:val="24"/>
          <w:lang w:eastAsia="en-US"/>
        </w:rPr>
        <w:t>’</w:t>
      </w:r>
      <w:r w:rsidRPr="0068390D">
        <w:rPr>
          <w:rFonts w:cs="Arial"/>
          <w:szCs w:val="24"/>
          <w:lang w:eastAsia="en-US"/>
        </w:rPr>
        <w:t>accusé sans nuire à l</w:t>
      </w:r>
      <w:r>
        <w:rPr>
          <w:rFonts w:cs="Arial"/>
          <w:szCs w:val="24"/>
          <w:lang w:eastAsia="en-US"/>
        </w:rPr>
        <w:t>’</w:t>
      </w:r>
      <w:r w:rsidRPr="0068390D">
        <w:rPr>
          <w:rFonts w:cs="Arial"/>
          <w:szCs w:val="24"/>
          <w:lang w:eastAsia="en-US"/>
        </w:rPr>
        <w:t>intérêt public.</w:t>
      </w:r>
    </w:p>
    <w:p w14:paraId="652B531A" w14:textId="518F2384" w:rsidR="00E56098" w:rsidRPr="0068390D" w:rsidRDefault="00E56098" w:rsidP="0085588A">
      <w:pPr>
        <w:pStyle w:val="JgtParagraphe"/>
        <w:numPr>
          <w:ilvl w:val="0"/>
          <w:numId w:val="18"/>
        </w:numPr>
        <w:spacing w:line="280" w:lineRule="exact"/>
        <w:rPr>
          <w:color w:val="auto"/>
        </w:rPr>
      </w:pPr>
      <w:r w:rsidRPr="0068390D">
        <w:rPr>
          <w:color w:val="auto"/>
        </w:rPr>
        <w:t>L’intérêt véritable de l’intimée n’était pas contesté en première instance et il était appuyé par la preuve, puisque l’émission de son permis d’exercice d’infirmière auxiliaire est retenue dans l’attente de savoir si une condamnation criminelle sera inscrite à son dossier (</w:t>
      </w:r>
      <w:r w:rsidRPr="0068390D">
        <w:rPr>
          <w:i/>
          <w:color w:val="auto"/>
        </w:rPr>
        <w:t>R. c. Benbouhoud</w:t>
      </w:r>
      <w:r w:rsidRPr="0068390D">
        <w:rPr>
          <w:color w:val="auto"/>
        </w:rPr>
        <w:t>, précité, par.</w:t>
      </w:r>
      <w:r w:rsidR="00992836">
        <w:rPr>
          <w:color w:val="auto"/>
        </w:rPr>
        <w:t> </w:t>
      </w:r>
      <w:r w:rsidRPr="0068390D">
        <w:rPr>
          <w:color w:val="auto"/>
        </w:rPr>
        <w:t>58).</w:t>
      </w:r>
    </w:p>
    <w:p w14:paraId="4A2002FB" w14:textId="23C8B707" w:rsidR="00E56098" w:rsidRPr="0068390D" w:rsidRDefault="00E56098" w:rsidP="0085588A">
      <w:pPr>
        <w:pStyle w:val="JgtParagraphe"/>
        <w:numPr>
          <w:ilvl w:val="0"/>
          <w:numId w:val="18"/>
        </w:numPr>
        <w:spacing w:line="280" w:lineRule="exact"/>
        <w:rPr>
          <w:color w:val="auto"/>
        </w:rPr>
      </w:pPr>
      <w:r w:rsidRPr="0068390D">
        <w:rPr>
          <w:color w:val="auto"/>
        </w:rPr>
        <w:t>Le juge évalue ensuite l</w:t>
      </w:r>
      <w:r>
        <w:rPr>
          <w:color w:val="auto"/>
        </w:rPr>
        <w:t>’</w:t>
      </w:r>
      <w:r w:rsidRPr="0068390D">
        <w:rPr>
          <w:color w:val="auto"/>
        </w:rPr>
        <w:t>intérêt public selon les bons critères, incluant la gravité de l’infraction, le besoin de dissuasion générale et le maintien de la confiance du public dans l</w:t>
      </w:r>
      <w:r>
        <w:rPr>
          <w:color w:val="auto"/>
        </w:rPr>
        <w:t>’</w:t>
      </w:r>
      <w:r w:rsidRPr="0068390D">
        <w:rPr>
          <w:color w:val="auto"/>
        </w:rPr>
        <w:t>administration de la justice (</w:t>
      </w:r>
      <w:r w:rsidRPr="0068390D">
        <w:rPr>
          <w:i/>
          <w:color w:val="auto"/>
        </w:rPr>
        <w:t>R. c. Benbouhoud</w:t>
      </w:r>
      <w:r w:rsidRPr="0068390D">
        <w:rPr>
          <w:color w:val="auto"/>
        </w:rPr>
        <w:t>, précité, par.</w:t>
      </w:r>
      <w:r w:rsidR="00992836">
        <w:rPr>
          <w:color w:val="auto"/>
        </w:rPr>
        <w:t> </w:t>
      </w:r>
      <w:r w:rsidRPr="0068390D">
        <w:rPr>
          <w:color w:val="auto"/>
        </w:rPr>
        <w:t>59).</w:t>
      </w:r>
    </w:p>
    <w:p w14:paraId="491F3EA9" w14:textId="4E890F16" w:rsidR="00E56098" w:rsidRPr="0068390D" w:rsidRDefault="00E56098" w:rsidP="0085588A">
      <w:pPr>
        <w:pStyle w:val="JgtParagraphe"/>
        <w:numPr>
          <w:ilvl w:val="0"/>
          <w:numId w:val="18"/>
        </w:numPr>
        <w:spacing w:line="280" w:lineRule="exact"/>
        <w:rPr>
          <w:color w:val="auto"/>
        </w:rPr>
      </w:pPr>
      <w:r w:rsidRPr="0068390D">
        <w:rPr>
          <w:color w:val="auto"/>
        </w:rPr>
        <w:t>Compte tenu de tous les éléments de preuve et de l’équilibre qu’il doit exercer pour façonner une peine adaptée au crime et à la délinquante, le juge conclut qu’il peut s’écarter « des peines normalement rendues à l’égard de contrevenants ayant commis des crimes semblables envers des victimes semblables » (</w:t>
      </w:r>
      <w:r w:rsidRPr="0068390D">
        <w:rPr>
          <w:i/>
          <w:color w:val="auto"/>
        </w:rPr>
        <w:t>R. c. Benbouhoud</w:t>
      </w:r>
      <w:r w:rsidRPr="0068390D">
        <w:rPr>
          <w:color w:val="auto"/>
        </w:rPr>
        <w:t>, précité, par.</w:t>
      </w:r>
      <w:r w:rsidR="00992836">
        <w:rPr>
          <w:color w:val="auto"/>
        </w:rPr>
        <w:t> </w:t>
      </w:r>
      <w:r w:rsidRPr="0068390D">
        <w:rPr>
          <w:color w:val="auto"/>
        </w:rPr>
        <w:t>70).</w:t>
      </w:r>
    </w:p>
    <w:p w14:paraId="4EB3AD50" w14:textId="227238ED" w:rsidR="00E56098" w:rsidRPr="0068390D" w:rsidRDefault="00E56098" w:rsidP="0085588A">
      <w:pPr>
        <w:pStyle w:val="JgtParagraphe"/>
        <w:numPr>
          <w:ilvl w:val="0"/>
          <w:numId w:val="18"/>
        </w:numPr>
        <w:spacing w:line="280" w:lineRule="exact"/>
        <w:rPr>
          <w:color w:val="auto"/>
        </w:rPr>
      </w:pPr>
      <w:r w:rsidRPr="0068390D">
        <w:rPr>
          <w:color w:val="auto"/>
        </w:rPr>
        <w:t>Pour toutes ces raisons, le juge prononce l’absolution conditionnelle, une mesure qui comporte un « mécanisme par lequel le juge peut annuler l’absolution et infliger au contrevenant une peine pour l’infraction originale en plus de toute autre peine en vertu de l</w:t>
      </w:r>
      <w:r>
        <w:rPr>
          <w:color w:val="auto"/>
        </w:rPr>
        <w:t>’</w:t>
      </w:r>
      <w:r w:rsidRPr="0068390D">
        <w:rPr>
          <w:color w:val="auto"/>
        </w:rPr>
        <w:t xml:space="preserve">article 730(4) </w:t>
      </w:r>
      <w:r w:rsidRPr="000B1503">
        <w:rPr>
          <w:i/>
          <w:iCs/>
          <w:color w:val="auto"/>
        </w:rPr>
        <w:t>C.cr.</w:t>
      </w:r>
      <w:r w:rsidRPr="0068390D">
        <w:rPr>
          <w:color w:val="auto"/>
        </w:rPr>
        <w:t> » : (</w:t>
      </w:r>
      <w:r w:rsidRPr="0068390D">
        <w:rPr>
          <w:i/>
          <w:color w:val="auto"/>
        </w:rPr>
        <w:t>R. c. Benbouhoud</w:t>
      </w:r>
      <w:r w:rsidRPr="0068390D">
        <w:rPr>
          <w:color w:val="auto"/>
        </w:rPr>
        <w:t>, précité, par.</w:t>
      </w:r>
      <w:r w:rsidR="00992836">
        <w:rPr>
          <w:color w:val="auto"/>
        </w:rPr>
        <w:t> </w:t>
      </w:r>
      <w:r w:rsidRPr="0068390D">
        <w:rPr>
          <w:color w:val="auto"/>
        </w:rPr>
        <w:t>87) et il considère que l’imposition de 240 heures de travaux communautaires, ce qui équivaut à 6</w:t>
      </w:r>
      <w:r w:rsidR="00992836">
        <w:rPr>
          <w:color w:val="auto"/>
        </w:rPr>
        <w:t> </w:t>
      </w:r>
      <w:r w:rsidRPr="0068390D">
        <w:rPr>
          <w:color w:val="auto"/>
        </w:rPr>
        <w:t>mois de prison, constitue un encadrement et une mesure non négligeable (</w:t>
      </w:r>
      <w:r w:rsidRPr="0068390D">
        <w:rPr>
          <w:i/>
          <w:color w:val="auto"/>
        </w:rPr>
        <w:t>R. c. Benbouhoud</w:t>
      </w:r>
      <w:r w:rsidRPr="0068390D">
        <w:rPr>
          <w:color w:val="auto"/>
        </w:rPr>
        <w:t>, précité, par.</w:t>
      </w:r>
      <w:r w:rsidR="00992836">
        <w:rPr>
          <w:color w:val="auto"/>
        </w:rPr>
        <w:t> </w:t>
      </w:r>
      <w:r w:rsidRPr="0068390D">
        <w:rPr>
          <w:color w:val="auto"/>
        </w:rPr>
        <w:t>89).</w:t>
      </w:r>
    </w:p>
    <w:p w14:paraId="5E0CC0AF" w14:textId="77777777" w:rsidR="00E56098" w:rsidRPr="0068390D" w:rsidRDefault="00E56098" w:rsidP="0085588A">
      <w:pPr>
        <w:pStyle w:val="JgtPositionniv1"/>
        <w:spacing w:line="280" w:lineRule="exact"/>
      </w:pPr>
      <w:r w:rsidRPr="0068390D">
        <w:t>Moyens d’appel</w:t>
      </w:r>
    </w:p>
    <w:p w14:paraId="2A48E59F" w14:textId="42EEB215" w:rsidR="00E56098" w:rsidRPr="0068390D" w:rsidRDefault="00E56098" w:rsidP="0085588A">
      <w:pPr>
        <w:pStyle w:val="Paragraphe"/>
        <w:spacing w:line="280" w:lineRule="exact"/>
        <w:rPr>
          <w:rFonts w:cs="Arial"/>
          <w:szCs w:val="24"/>
          <w:lang w:eastAsia="en-US"/>
        </w:rPr>
      </w:pPr>
      <w:r w:rsidRPr="0068390D">
        <w:t>Le poursuivant soulève quatre erreurs qu’aurait commises le juge pour en arriver à la peine infligée. Elles sont traitées dans l’ordre suivant : 1)</w:t>
      </w:r>
      <w:r w:rsidR="00992836">
        <w:t> </w:t>
      </w:r>
      <w:r w:rsidRPr="0068390D">
        <w:t>avoir omis de tenir compte des autres infractions, 2)</w:t>
      </w:r>
      <w:r w:rsidR="00992836">
        <w:t> </w:t>
      </w:r>
      <w:r w:rsidRPr="0068390D">
        <w:t>avoir donné insuffisamment d’effet aux principes de dénonciation et de dissuasion, 3)</w:t>
      </w:r>
      <w:r w:rsidR="00992836">
        <w:t> </w:t>
      </w:r>
      <w:r w:rsidRPr="0068390D">
        <w:t xml:space="preserve">que la </w:t>
      </w:r>
      <w:r w:rsidRPr="0068390D">
        <w:rPr>
          <w:rFonts w:cs="Arial"/>
          <w:szCs w:val="24"/>
          <w:lang w:eastAsia="en-US"/>
        </w:rPr>
        <w:t xml:space="preserve">peine est manifestement non indiquée, </w:t>
      </w:r>
      <w:r w:rsidRPr="0068390D">
        <w:t>et 4)</w:t>
      </w:r>
      <w:r w:rsidR="00992836">
        <w:t> </w:t>
      </w:r>
      <w:r w:rsidRPr="0068390D">
        <w:t>avoir considéré une équivalence entre des heures de travaux communautaires et une période d’incarcération.</w:t>
      </w:r>
    </w:p>
    <w:p w14:paraId="499DDBC1" w14:textId="77777777" w:rsidR="00E56098" w:rsidRPr="0068390D" w:rsidRDefault="00E56098" w:rsidP="0085588A">
      <w:pPr>
        <w:pStyle w:val="JgtPositionniv1"/>
        <w:spacing w:line="280" w:lineRule="exact"/>
      </w:pPr>
      <w:r w:rsidRPr="0068390D">
        <w:t>Analyse</w:t>
      </w:r>
    </w:p>
    <w:p w14:paraId="48045088" w14:textId="73CA7362" w:rsidR="00E56098" w:rsidRDefault="00E56098" w:rsidP="0085588A">
      <w:pPr>
        <w:pStyle w:val="JgtParagraphe"/>
        <w:numPr>
          <w:ilvl w:val="0"/>
          <w:numId w:val="18"/>
        </w:numPr>
        <w:spacing w:line="280" w:lineRule="exact"/>
        <w:rPr>
          <w:color w:val="auto"/>
        </w:rPr>
      </w:pPr>
      <w:r w:rsidRPr="0068390D">
        <w:rPr>
          <w:color w:val="auto"/>
        </w:rPr>
        <w:t xml:space="preserve"> Le juge a bénéficié d’une preuve complète avec un rapport présentenciel, les déclarations de certaines victimes, et le témoignage de l’intimée : </w:t>
      </w:r>
      <w:r w:rsidRPr="0068390D">
        <w:rPr>
          <w:i/>
          <w:iCs/>
          <w:color w:val="auto"/>
        </w:rPr>
        <w:t>R. c. Lacasse</w:t>
      </w:r>
      <w:r w:rsidRPr="0068390D">
        <w:rPr>
          <w:color w:val="auto"/>
        </w:rPr>
        <w:t>, 2015</w:t>
      </w:r>
      <w:r w:rsidR="00992836">
        <w:rPr>
          <w:color w:val="auto"/>
        </w:rPr>
        <w:t> </w:t>
      </w:r>
      <w:r w:rsidRPr="0068390D">
        <w:rPr>
          <w:color w:val="auto"/>
        </w:rPr>
        <w:t>CSC</w:t>
      </w:r>
      <w:r w:rsidR="00992836">
        <w:rPr>
          <w:color w:val="auto"/>
        </w:rPr>
        <w:t> </w:t>
      </w:r>
      <w:r w:rsidRPr="0068390D">
        <w:rPr>
          <w:color w:val="auto"/>
        </w:rPr>
        <w:t>64, par. 11.</w:t>
      </w:r>
      <w:r>
        <w:rPr>
          <w:color w:val="auto"/>
        </w:rPr>
        <w:t xml:space="preserve"> </w:t>
      </w:r>
      <w:r w:rsidRPr="0068390D">
        <w:rPr>
          <w:color w:val="auto"/>
        </w:rPr>
        <w:t>De manière plutôt exhaustive, il a examiné tant le crime que ses conséquences et la responsabilité morale de l’intimée à la lumière de ces éléments.</w:t>
      </w:r>
    </w:p>
    <w:p w14:paraId="68924DF1" w14:textId="77777777" w:rsidR="00E56098" w:rsidRPr="0068390D" w:rsidRDefault="00E56098" w:rsidP="0085588A">
      <w:pPr>
        <w:pStyle w:val="JgtPositionniv2"/>
        <w:spacing w:line="280" w:lineRule="exact"/>
      </w:pPr>
      <w:r w:rsidRPr="0068390D">
        <w:t>1) Omission de tenir compte des autres infractions</w:t>
      </w:r>
    </w:p>
    <w:p w14:paraId="4FC4FCE7" w14:textId="77777777" w:rsidR="00E56098" w:rsidRDefault="00E56098" w:rsidP="0085588A">
      <w:pPr>
        <w:pStyle w:val="JgtParagraphe"/>
        <w:numPr>
          <w:ilvl w:val="0"/>
          <w:numId w:val="18"/>
        </w:numPr>
        <w:spacing w:line="280" w:lineRule="exact"/>
        <w:rPr>
          <w:color w:val="auto"/>
        </w:rPr>
      </w:pPr>
      <w:r w:rsidRPr="0068390D">
        <w:rPr>
          <w:color w:val="auto"/>
        </w:rPr>
        <w:t>L’erreur soulevée dans le premier reproche est sans fondement. Premièrement, la décision indique que le juge était bien au fait, évidemment, du plaidoyer sur les autres infractions. D’ailleurs, il y a eu des modifications aux différents chefs, demandées avant les plaidoyers. En plaidoirie, les parties les ont d’ailleurs traités davantage comme des éléments secondaires au véritable enjeu, le chef de vol. L’appelant avait proposé une peine globale d’emprisonnement pour l’ensemble.</w:t>
      </w:r>
    </w:p>
    <w:p w14:paraId="53270867" w14:textId="77777777" w:rsidR="00E56098" w:rsidRPr="0068390D" w:rsidRDefault="00E56098" w:rsidP="0085588A">
      <w:pPr>
        <w:pStyle w:val="JgtParagraphe"/>
        <w:numPr>
          <w:ilvl w:val="0"/>
          <w:numId w:val="18"/>
        </w:numPr>
        <w:spacing w:line="280" w:lineRule="exact"/>
        <w:rPr>
          <w:color w:val="auto"/>
        </w:rPr>
      </w:pPr>
      <w:r w:rsidRPr="0068390D">
        <w:rPr>
          <w:color w:val="auto"/>
        </w:rPr>
        <w:t>Deuxièmement, le juge n’a pas omis de tenir compte des autres infractions. La preuve ne permet cependant pas de leur donner un effet aggravant aussi important que le souhaite l’appelant dans la mesure où le juge accepte que si les fausses cartes d’identité pouvaient servir à l’intimée pour tromper les victimes, et qu’elles avaient donc en lien avec le crime de vol,</w:t>
      </w:r>
      <w:r>
        <w:rPr>
          <w:color w:val="auto"/>
        </w:rPr>
        <w:t xml:space="preserve"> </w:t>
      </w:r>
      <w:r w:rsidRPr="0068390D">
        <w:rPr>
          <w:color w:val="auto"/>
        </w:rPr>
        <w:t>le juge accepte que les armes (une arme à impulsion électrique de couleur rose et une bonbonne aérosol de gaz irritant) lui servaient pour sa sécurité personnelle lorsqu’elle fréquentait les boîtes de nuit de Montréal. Elles étaient donc sans lien avec le vol.</w:t>
      </w:r>
    </w:p>
    <w:p w14:paraId="1B7A3322" w14:textId="3047DB8C" w:rsidR="00E56098" w:rsidRDefault="00E56098" w:rsidP="0085588A">
      <w:pPr>
        <w:pStyle w:val="JgtParagraphe"/>
        <w:numPr>
          <w:ilvl w:val="0"/>
          <w:numId w:val="18"/>
        </w:numPr>
        <w:spacing w:line="280" w:lineRule="exact"/>
        <w:rPr>
          <w:color w:val="auto"/>
        </w:rPr>
      </w:pPr>
      <w:r w:rsidRPr="0068390D">
        <w:rPr>
          <w:color w:val="auto"/>
        </w:rPr>
        <w:t xml:space="preserve">Troisièmement, le juge explique qu’il doit imposer une peine proportionnelle à </w:t>
      </w:r>
      <w:r w:rsidRPr="0068390D">
        <w:rPr>
          <w:color w:val="auto"/>
          <w:lang w:val="fr-FR"/>
        </w:rPr>
        <w:t xml:space="preserve">la culpabilité morale de la délinquante et de la gravité </w:t>
      </w:r>
      <w:r w:rsidRPr="0068390D">
        <w:rPr>
          <w:color w:val="auto"/>
          <w:u w:val="single"/>
          <w:lang w:val="fr-FR"/>
        </w:rPr>
        <w:t>des</w:t>
      </w:r>
      <w:r w:rsidRPr="0068390D">
        <w:rPr>
          <w:color w:val="auto"/>
          <w:lang w:val="fr-FR"/>
        </w:rPr>
        <w:t xml:space="preserve"> infractions (</w:t>
      </w:r>
      <w:r w:rsidRPr="0068390D">
        <w:rPr>
          <w:i/>
          <w:color w:val="auto"/>
          <w:lang w:val="fr-FR"/>
        </w:rPr>
        <w:t>R. c. Benbouhoud</w:t>
      </w:r>
      <w:r w:rsidRPr="0068390D">
        <w:rPr>
          <w:color w:val="auto"/>
          <w:lang w:val="fr-FR"/>
        </w:rPr>
        <w:t>, précité,</w:t>
      </w:r>
      <w:r w:rsidRPr="0068390D">
        <w:rPr>
          <w:color w:val="auto"/>
        </w:rPr>
        <w:t xml:space="preserve"> </w:t>
      </w:r>
      <w:r w:rsidRPr="0068390D">
        <w:rPr>
          <w:color w:val="auto"/>
          <w:lang w:val="fr-FR"/>
        </w:rPr>
        <w:t>par.</w:t>
      </w:r>
      <w:r w:rsidR="00022CFE">
        <w:rPr>
          <w:color w:val="auto"/>
          <w:lang w:val="fr-FR"/>
        </w:rPr>
        <w:t> </w:t>
      </w:r>
      <w:r w:rsidRPr="0068390D">
        <w:rPr>
          <w:color w:val="auto"/>
          <w:lang w:val="fr-FR"/>
        </w:rPr>
        <w:t>21, soulignement ajouté).</w:t>
      </w:r>
    </w:p>
    <w:p w14:paraId="3A085F6A" w14:textId="77777777" w:rsidR="00E56098" w:rsidRPr="0068390D" w:rsidRDefault="00E56098" w:rsidP="0085588A">
      <w:pPr>
        <w:pStyle w:val="JgtPositionniv2"/>
        <w:spacing w:line="280" w:lineRule="exact"/>
        <w:rPr>
          <w:rFonts w:cs="Arial"/>
          <w:szCs w:val="24"/>
          <w:lang w:eastAsia="en-US"/>
        </w:rPr>
      </w:pPr>
      <w:r w:rsidRPr="0068390D">
        <w:t>2) Effet insuffisant aux principes de dénonciation et de dissuasion</w:t>
      </w:r>
    </w:p>
    <w:p w14:paraId="6E414AF5" w14:textId="77777777" w:rsidR="00E56098" w:rsidRPr="0068390D" w:rsidRDefault="00E56098" w:rsidP="0085588A">
      <w:pPr>
        <w:pStyle w:val="JgtParagraphe"/>
        <w:numPr>
          <w:ilvl w:val="0"/>
          <w:numId w:val="18"/>
        </w:numPr>
        <w:spacing w:line="280" w:lineRule="exact"/>
        <w:rPr>
          <w:color w:val="auto"/>
        </w:rPr>
      </w:pPr>
      <w:r w:rsidRPr="0068390D">
        <w:rPr>
          <w:color w:val="auto"/>
        </w:rPr>
        <w:t>Le second reproche est également mal fondé. Le juge a tenu compte des principes de dénonciation et de dissuasion en les pondérant avec les autres objectifs de la peine dans le contexte de l’affaire, ce qui est précisément l’exercice même de la détermination de la peine. S’il peut arriver que cette pondération soit erronée, la déférence est généralement due. Or, il n’y a pas d’erreurs.</w:t>
      </w:r>
    </w:p>
    <w:p w14:paraId="59E596F5" w14:textId="62211308" w:rsidR="00E56098" w:rsidRDefault="00E56098" w:rsidP="0085588A">
      <w:pPr>
        <w:pStyle w:val="JgtParagraphe"/>
        <w:numPr>
          <w:ilvl w:val="0"/>
          <w:numId w:val="18"/>
        </w:numPr>
        <w:spacing w:line="280" w:lineRule="exact"/>
        <w:rPr>
          <w:color w:val="auto"/>
        </w:rPr>
      </w:pPr>
      <w:r w:rsidRPr="0068390D">
        <w:rPr>
          <w:color w:val="auto"/>
        </w:rPr>
        <w:t>Il est vrai, comme le rappelle l’appelant, que les crimes à l’égard des personnes vulnérables demandent que le juge « accorde une attention particulière aux objectifs de dénonciation et de dissuasion de l’agissement à l’origine de l’infraction » (art.</w:t>
      </w:r>
      <w:r w:rsidR="00022CFE">
        <w:rPr>
          <w:color w:val="auto"/>
        </w:rPr>
        <w:t> </w:t>
      </w:r>
      <w:r w:rsidRPr="0068390D">
        <w:rPr>
          <w:color w:val="auto"/>
          <w:lang w:val="fr-FR"/>
        </w:rPr>
        <w:t xml:space="preserve">718.04 du </w:t>
      </w:r>
      <w:r w:rsidRPr="0068390D">
        <w:rPr>
          <w:i/>
          <w:iCs/>
          <w:color w:val="auto"/>
          <w:lang w:val="fr-FR"/>
        </w:rPr>
        <w:t>C.cr.</w:t>
      </w:r>
      <w:r w:rsidRPr="0068390D">
        <w:rPr>
          <w:color w:val="auto"/>
          <w:lang w:val="fr-FR"/>
        </w:rPr>
        <w:t>). Or, le juge le mentionne expressément (</w:t>
      </w:r>
      <w:r w:rsidRPr="0068390D">
        <w:rPr>
          <w:i/>
          <w:iCs/>
          <w:color w:val="auto"/>
        </w:rPr>
        <w:t>R. c. Benbouhoud</w:t>
      </w:r>
      <w:r w:rsidRPr="0068390D">
        <w:rPr>
          <w:color w:val="auto"/>
        </w:rPr>
        <w:t xml:space="preserve">, précité, </w:t>
      </w:r>
      <w:r w:rsidRPr="0068390D">
        <w:rPr>
          <w:color w:val="auto"/>
          <w:lang w:val="fr-FR"/>
        </w:rPr>
        <w:t>par.</w:t>
      </w:r>
      <w:r w:rsidR="00022CFE">
        <w:rPr>
          <w:color w:val="auto"/>
          <w:lang w:val="fr-FR"/>
        </w:rPr>
        <w:t> </w:t>
      </w:r>
      <w:r w:rsidRPr="0068390D">
        <w:rPr>
          <w:color w:val="auto"/>
          <w:lang w:val="fr-FR"/>
        </w:rPr>
        <w:t xml:space="preserve">18). </w:t>
      </w:r>
      <w:r w:rsidRPr="0068390D">
        <w:rPr>
          <w:color w:val="auto"/>
        </w:rPr>
        <w:t xml:space="preserve">Cette exigence n’annule cependant pas l’exercice de pondération exigé par la détermination de la peine, en conformité avec le principe général de proportionnalité : </w:t>
      </w:r>
      <w:r w:rsidRPr="0068390D">
        <w:rPr>
          <w:i/>
          <w:iCs/>
          <w:color w:val="auto"/>
        </w:rPr>
        <w:t>R. c. Friesen</w:t>
      </w:r>
      <w:r w:rsidRPr="0068390D">
        <w:rPr>
          <w:color w:val="auto"/>
        </w:rPr>
        <w:t>, 2020</w:t>
      </w:r>
      <w:r w:rsidR="00022CFE">
        <w:rPr>
          <w:color w:val="auto"/>
        </w:rPr>
        <w:t> </w:t>
      </w:r>
      <w:r w:rsidRPr="0068390D">
        <w:rPr>
          <w:color w:val="auto"/>
        </w:rPr>
        <w:t>CSC 9, par. 104.</w:t>
      </w:r>
    </w:p>
    <w:p w14:paraId="57DD1BE1" w14:textId="1831F829" w:rsidR="00E56098" w:rsidRPr="0068390D" w:rsidRDefault="00E56098" w:rsidP="0085588A">
      <w:pPr>
        <w:pStyle w:val="JgtParagraphe"/>
        <w:numPr>
          <w:ilvl w:val="0"/>
          <w:numId w:val="18"/>
        </w:numPr>
        <w:spacing w:line="280" w:lineRule="exact"/>
        <w:rPr>
          <w:color w:val="auto"/>
        </w:rPr>
      </w:pPr>
      <w:r w:rsidRPr="0068390D">
        <w:rPr>
          <w:color w:val="auto"/>
        </w:rPr>
        <w:t>Au surplus, on ne peut exclure «</w:t>
      </w:r>
      <w:r w:rsidR="00022CFE">
        <w:rPr>
          <w:color w:val="auto"/>
        </w:rPr>
        <w:t> </w:t>
      </w:r>
      <w:r w:rsidRPr="0068390D">
        <w:rPr>
          <w:color w:val="auto"/>
        </w:rPr>
        <w:t xml:space="preserve">des choix pénologiques que le législateur lui-même n’a pas exclus » : </w:t>
      </w:r>
      <w:r w:rsidRPr="0068390D">
        <w:rPr>
          <w:i/>
          <w:color w:val="auto"/>
        </w:rPr>
        <w:t>R. c. </w:t>
      </w:r>
      <w:r w:rsidRPr="0068390D">
        <w:rPr>
          <w:i/>
          <w:iCs/>
          <w:color w:val="auto"/>
        </w:rPr>
        <w:t>Ferjuste</w:t>
      </w:r>
      <w:r w:rsidRPr="0068390D">
        <w:rPr>
          <w:color w:val="auto"/>
        </w:rPr>
        <w:t>, 2026 QCCA 334, par.</w:t>
      </w:r>
      <w:r w:rsidR="00022CFE">
        <w:rPr>
          <w:color w:val="auto"/>
        </w:rPr>
        <w:t> </w:t>
      </w:r>
      <w:r w:rsidRPr="0068390D">
        <w:rPr>
          <w:color w:val="auto"/>
        </w:rPr>
        <w:t xml:space="preserve">52; </w:t>
      </w:r>
      <w:r w:rsidRPr="0068390D">
        <w:rPr>
          <w:i/>
          <w:color w:val="auto"/>
        </w:rPr>
        <w:t>R. c. Harbour</w:t>
      </w:r>
      <w:r w:rsidRPr="0068390D">
        <w:rPr>
          <w:iCs/>
          <w:color w:val="auto"/>
        </w:rPr>
        <w:t>, 2017</w:t>
      </w:r>
      <w:r w:rsidR="00022CFE">
        <w:rPr>
          <w:iCs/>
          <w:color w:val="auto"/>
        </w:rPr>
        <w:t> </w:t>
      </w:r>
      <w:r w:rsidRPr="0068390D">
        <w:rPr>
          <w:iCs/>
          <w:color w:val="auto"/>
        </w:rPr>
        <w:t>QCCA 204, par.</w:t>
      </w:r>
      <w:r w:rsidR="00022CFE">
        <w:rPr>
          <w:iCs/>
          <w:color w:val="auto"/>
        </w:rPr>
        <w:t> </w:t>
      </w:r>
      <w:r w:rsidRPr="0068390D">
        <w:rPr>
          <w:iCs/>
          <w:color w:val="auto"/>
        </w:rPr>
        <w:t>78, 91.</w:t>
      </w:r>
    </w:p>
    <w:p w14:paraId="58836FA3" w14:textId="40D6BFE8" w:rsidR="00E56098" w:rsidRDefault="00E56098" w:rsidP="0085588A">
      <w:pPr>
        <w:pStyle w:val="JgtParagraphe"/>
        <w:numPr>
          <w:ilvl w:val="0"/>
          <w:numId w:val="18"/>
        </w:numPr>
        <w:spacing w:line="280" w:lineRule="exact"/>
        <w:rPr>
          <w:iCs/>
          <w:color w:val="auto"/>
        </w:rPr>
      </w:pPr>
      <w:r w:rsidRPr="0068390D">
        <w:rPr>
          <w:iCs/>
          <w:color w:val="auto"/>
        </w:rPr>
        <w:t xml:space="preserve">Comme le rappelle la Cour suprême, la sévérité de la peine n’est pas « l’apanage de l’emprisonnement » au Canada, peu importe les circonstances du crime et les particularités du délinquant : </w:t>
      </w:r>
      <w:r w:rsidRPr="0068390D">
        <w:rPr>
          <w:i/>
          <w:color w:val="auto"/>
        </w:rPr>
        <w:t>Québec (Procureur général) c. Senneville</w:t>
      </w:r>
      <w:r w:rsidRPr="0068390D">
        <w:rPr>
          <w:iCs/>
          <w:color w:val="auto"/>
        </w:rPr>
        <w:t>, 2025</w:t>
      </w:r>
      <w:r w:rsidR="00022CFE">
        <w:rPr>
          <w:iCs/>
          <w:color w:val="auto"/>
        </w:rPr>
        <w:t> </w:t>
      </w:r>
      <w:r w:rsidRPr="0068390D">
        <w:rPr>
          <w:iCs/>
          <w:color w:val="auto"/>
        </w:rPr>
        <w:t>CSC</w:t>
      </w:r>
      <w:r w:rsidR="00022CFE">
        <w:rPr>
          <w:iCs/>
          <w:color w:val="auto"/>
        </w:rPr>
        <w:t> </w:t>
      </w:r>
      <w:r w:rsidRPr="0068390D">
        <w:rPr>
          <w:iCs/>
          <w:color w:val="auto"/>
        </w:rPr>
        <w:t>33 par.</w:t>
      </w:r>
      <w:r w:rsidR="00022CFE">
        <w:rPr>
          <w:iCs/>
          <w:color w:val="auto"/>
        </w:rPr>
        <w:t> </w:t>
      </w:r>
      <w:r w:rsidRPr="0068390D">
        <w:rPr>
          <w:iCs/>
          <w:color w:val="auto"/>
        </w:rPr>
        <w:t>97.</w:t>
      </w:r>
    </w:p>
    <w:p w14:paraId="455EA571" w14:textId="04E37B75" w:rsidR="00E56098" w:rsidRDefault="00E56098" w:rsidP="0085588A">
      <w:pPr>
        <w:pStyle w:val="JgtParagraphe"/>
        <w:numPr>
          <w:ilvl w:val="0"/>
          <w:numId w:val="18"/>
        </w:numPr>
        <w:spacing w:line="280" w:lineRule="exact"/>
        <w:rPr>
          <w:color w:val="auto"/>
        </w:rPr>
      </w:pPr>
      <w:r w:rsidRPr="0068390D">
        <w:rPr>
          <w:color w:val="auto"/>
        </w:rPr>
        <w:t>Il est incorrect d’avancer que le juge oublie la gravité du crime ou les victimes vulnérables. Le juge constate également qu’on ne peut qualifier le comportement de</w:t>
      </w:r>
      <w:r w:rsidR="00022CFE">
        <w:rPr>
          <w:color w:val="auto"/>
        </w:rPr>
        <w:t> </w:t>
      </w:r>
      <w:r w:rsidRPr="0068390D">
        <w:rPr>
          <w:color w:val="auto"/>
        </w:rPr>
        <w:t xml:space="preserve">l’intimée comme une </w:t>
      </w:r>
      <w:r w:rsidRPr="0068390D">
        <w:rPr>
          <w:color w:val="auto"/>
          <w:lang w:val="fr-FR"/>
        </w:rPr>
        <w:t>simple étourderie ou d’un égarement momentané</w:t>
      </w:r>
      <w:r w:rsidR="00022CFE">
        <w:rPr>
          <w:color w:val="auto"/>
          <w:lang w:val="fr-FR"/>
        </w:rPr>
        <w:t xml:space="preserve"> </w:t>
      </w:r>
      <w:r w:rsidRPr="0068390D">
        <w:rPr>
          <w:color w:val="auto"/>
          <w:lang w:val="fr-FR"/>
        </w:rPr>
        <w:t>(</w:t>
      </w:r>
      <w:r w:rsidRPr="0068390D">
        <w:rPr>
          <w:i/>
          <w:iCs/>
          <w:color w:val="auto"/>
        </w:rPr>
        <w:t>R.</w:t>
      </w:r>
      <w:r w:rsidR="00022CFE">
        <w:rPr>
          <w:i/>
          <w:iCs/>
          <w:color w:val="auto"/>
        </w:rPr>
        <w:t> </w:t>
      </w:r>
      <w:r w:rsidRPr="0068390D">
        <w:rPr>
          <w:i/>
          <w:iCs/>
          <w:color w:val="auto"/>
        </w:rPr>
        <w:t>c.</w:t>
      </w:r>
      <w:r w:rsidR="00022CFE">
        <w:rPr>
          <w:i/>
          <w:iCs/>
          <w:color w:val="auto"/>
        </w:rPr>
        <w:t> </w:t>
      </w:r>
      <w:r w:rsidRPr="0068390D">
        <w:rPr>
          <w:i/>
          <w:iCs/>
          <w:color w:val="auto"/>
        </w:rPr>
        <w:t>Benbouhoud</w:t>
      </w:r>
      <w:r w:rsidRPr="0068390D">
        <w:rPr>
          <w:color w:val="auto"/>
        </w:rPr>
        <w:t xml:space="preserve">, précité, </w:t>
      </w:r>
      <w:r w:rsidRPr="0068390D">
        <w:rPr>
          <w:color w:val="auto"/>
          <w:lang w:val="fr-FR"/>
        </w:rPr>
        <w:t>par.</w:t>
      </w:r>
      <w:r w:rsidR="00022CFE">
        <w:rPr>
          <w:color w:val="auto"/>
          <w:lang w:val="fr-FR"/>
        </w:rPr>
        <w:t> </w:t>
      </w:r>
      <w:r w:rsidRPr="0068390D">
        <w:rPr>
          <w:color w:val="auto"/>
          <w:lang w:val="fr-FR"/>
        </w:rPr>
        <w:t>39)</w:t>
      </w:r>
      <w:r w:rsidRPr="0068390D">
        <w:rPr>
          <w:color w:val="auto"/>
        </w:rPr>
        <w:t>. En clair, il est bien conscient de la gravité générale des</w:t>
      </w:r>
      <w:r w:rsidR="00022CFE">
        <w:rPr>
          <w:color w:val="auto"/>
        </w:rPr>
        <w:t> </w:t>
      </w:r>
      <w:r w:rsidRPr="0068390D">
        <w:rPr>
          <w:color w:val="auto"/>
        </w:rPr>
        <w:t>gestes.</w:t>
      </w:r>
    </w:p>
    <w:p w14:paraId="5AFDC919" w14:textId="7D270A33" w:rsidR="00E56098" w:rsidRDefault="00E56098" w:rsidP="0085588A">
      <w:pPr>
        <w:pStyle w:val="JgtParagraphe"/>
        <w:numPr>
          <w:ilvl w:val="0"/>
          <w:numId w:val="18"/>
        </w:numPr>
        <w:spacing w:line="280" w:lineRule="exact"/>
        <w:rPr>
          <w:color w:val="auto"/>
        </w:rPr>
      </w:pPr>
      <w:r w:rsidRPr="0068390D">
        <w:rPr>
          <w:color w:val="auto"/>
        </w:rPr>
        <w:t>Cela dit, et sans vouloir réduire le contexte minutieusement examiné par le juge, on constate que la preuve matérielle, c’est-à-dire les communications avec les dirigeants de l’organisation qui sont retrouvées dans le cellulaire de l’intimée, appuyait l’idée que son implication était davantage opportuniste et qu’elle n’allait pas au-delà de la mission de récupérer les enveloppes. Pour chaque course, elle recevait quelques centaines de</w:t>
      </w:r>
      <w:r w:rsidR="00022CFE">
        <w:rPr>
          <w:color w:val="auto"/>
        </w:rPr>
        <w:t> </w:t>
      </w:r>
      <w:r w:rsidRPr="0068390D">
        <w:rPr>
          <w:color w:val="auto"/>
        </w:rPr>
        <w:t>dollars.</w:t>
      </w:r>
    </w:p>
    <w:p w14:paraId="5518B73F" w14:textId="0E4882D7" w:rsidR="00E56098" w:rsidRDefault="00E56098" w:rsidP="0085588A">
      <w:pPr>
        <w:pStyle w:val="JgtParagraphe"/>
        <w:numPr>
          <w:ilvl w:val="0"/>
          <w:numId w:val="18"/>
        </w:numPr>
        <w:spacing w:line="280" w:lineRule="exact"/>
        <w:rPr>
          <w:color w:val="auto"/>
        </w:rPr>
      </w:pPr>
      <w:r w:rsidRPr="0068390D">
        <w:rPr>
          <w:color w:val="auto"/>
        </w:rPr>
        <w:t xml:space="preserve">Le juge a raison de dire qu’il ne doit pas uniquement punir l’auteur du crime ou le crime lui-même, mais les deux; c’est ce qu’il fait : </w:t>
      </w:r>
      <w:r w:rsidRPr="0068390D">
        <w:rPr>
          <w:i/>
          <w:iCs/>
          <w:color w:val="auto"/>
        </w:rPr>
        <w:t>R. c. Parranto</w:t>
      </w:r>
      <w:r w:rsidRPr="0068390D">
        <w:rPr>
          <w:color w:val="auto"/>
        </w:rPr>
        <w:t>, 2021 CSC 46, par.</w:t>
      </w:r>
      <w:r w:rsidR="00022CFE">
        <w:rPr>
          <w:color w:val="auto"/>
        </w:rPr>
        <w:t> </w:t>
      </w:r>
      <w:r w:rsidRPr="0068390D">
        <w:rPr>
          <w:color w:val="auto"/>
        </w:rPr>
        <w:t>113.</w:t>
      </w:r>
    </w:p>
    <w:p w14:paraId="303ACCB2" w14:textId="77777777" w:rsidR="00E56098" w:rsidRPr="0068390D" w:rsidRDefault="00E56098" w:rsidP="0085588A">
      <w:pPr>
        <w:pStyle w:val="JgtParagraphe"/>
        <w:numPr>
          <w:ilvl w:val="0"/>
          <w:numId w:val="18"/>
        </w:numPr>
        <w:spacing w:line="280" w:lineRule="exact"/>
        <w:rPr>
          <w:color w:val="auto"/>
        </w:rPr>
      </w:pPr>
      <w:r w:rsidRPr="0068390D">
        <w:rPr>
          <w:color w:val="auto"/>
        </w:rPr>
        <w:t>Vu les circonstances du crime reconnues, on peut comprendre que de telles actions peuvent entraîner une peine sévère. Le juge était cependant saisi d’une affaire où l’intimée n’a pas attendu avant de remettre de l’ordre dans sa vie. Le rapport présentenciel positif, même s’il n</w:t>
      </w:r>
      <w:r>
        <w:rPr>
          <w:color w:val="auto"/>
        </w:rPr>
        <w:t>’</w:t>
      </w:r>
      <w:r w:rsidRPr="0068390D">
        <w:rPr>
          <w:color w:val="auto"/>
        </w:rPr>
        <w:t>est pas parfait, constate le cheminement de l’intimée et suggère un suivi communautaire.</w:t>
      </w:r>
    </w:p>
    <w:p w14:paraId="5ACB9637" w14:textId="6122039A" w:rsidR="00E56098" w:rsidRPr="0068390D" w:rsidRDefault="00E56098" w:rsidP="0085588A">
      <w:pPr>
        <w:pStyle w:val="JgtParagraphe"/>
        <w:numPr>
          <w:ilvl w:val="0"/>
          <w:numId w:val="18"/>
        </w:numPr>
        <w:spacing w:line="280" w:lineRule="exact"/>
        <w:rPr>
          <w:color w:val="auto"/>
        </w:rPr>
      </w:pPr>
      <w:r w:rsidRPr="0068390D">
        <w:rPr>
          <w:color w:val="auto"/>
        </w:rPr>
        <w:t>Âgée de 20 ans au moment des faits et sans antécédents judiciaires, l’intimée a expliqué que la perte de son emploi et l’oisiveté, en raison du confinement imposé de la pandémie, avaient favorisé de mauvaises fréquentations et le désir de l’argent vite fait. La preuve soutient qu’elle a maintenant fait le ménage dans sa vie.</w:t>
      </w:r>
      <w:r>
        <w:rPr>
          <w:color w:val="auto"/>
        </w:rPr>
        <w:t xml:space="preserve"> </w:t>
      </w:r>
      <w:r w:rsidRPr="0068390D">
        <w:rPr>
          <w:color w:val="auto"/>
        </w:rPr>
        <w:t xml:space="preserve">Le juge retient généralement que ses remords, son diplôme d’infirmière obtenu après un retour aux études et son implication communautaire demeurent des indicateurs importants de sa détermination à ne pas retomber dans la délinquance ou un mode de vie qui a facilité son passage à l’acte </w:t>
      </w:r>
      <w:r w:rsidRPr="0068390D">
        <w:rPr>
          <w:color w:val="auto"/>
          <w:lang w:val="fr-FR"/>
        </w:rPr>
        <w:t>(</w:t>
      </w:r>
      <w:r w:rsidRPr="0068390D">
        <w:rPr>
          <w:i/>
          <w:iCs/>
          <w:color w:val="auto"/>
        </w:rPr>
        <w:t>R. c. Benbouhoud</w:t>
      </w:r>
      <w:r w:rsidRPr="0068390D">
        <w:rPr>
          <w:color w:val="auto"/>
        </w:rPr>
        <w:t xml:space="preserve">, précité, </w:t>
      </w:r>
      <w:r w:rsidRPr="0068390D">
        <w:rPr>
          <w:color w:val="auto"/>
          <w:lang w:val="fr-FR"/>
        </w:rPr>
        <w:t>par.</w:t>
      </w:r>
      <w:r w:rsidR="00022CFE">
        <w:rPr>
          <w:color w:val="auto"/>
          <w:lang w:val="fr-FR"/>
        </w:rPr>
        <w:t> </w:t>
      </w:r>
      <w:r w:rsidRPr="0068390D">
        <w:rPr>
          <w:color w:val="auto"/>
          <w:lang w:val="fr-FR"/>
        </w:rPr>
        <w:t>35, 43-44, 46, 66, 73-74)</w:t>
      </w:r>
      <w:r w:rsidRPr="0068390D">
        <w:rPr>
          <w:color w:val="auto"/>
        </w:rPr>
        <w:t>.</w:t>
      </w:r>
    </w:p>
    <w:p w14:paraId="4F4E95BE" w14:textId="32383076" w:rsidR="00E56098" w:rsidRPr="00022CFE" w:rsidRDefault="00E56098" w:rsidP="0085588A">
      <w:pPr>
        <w:pStyle w:val="JgtParagraphe"/>
        <w:numPr>
          <w:ilvl w:val="0"/>
          <w:numId w:val="18"/>
        </w:numPr>
        <w:spacing w:line="280" w:lineRule="exact"/>
        <w:rPr>
          <w:color w:val="auto"/>
        </w:rPr>
      </w:pPr>
      <w:bookmarkStart w:id="15" w:name="_Hlk227159974"/>
      <w:r w:rsidRPr="00022CFE">
        <w:rPr>
          <w:color w:val="auto"/>
        </w:rPr>
        <w:t xml:space="preserve">Le juge a raison d’affirmer que la réhabilitation est un objectif important. Encore plus lorsqu’il se manifeste sensiblement, comme en l’espèce. La Cour suprême a rappelé que « [c]et objectif pénologique présuppose chez l’individu une capacité de prendre sa vie en main et de s’améliorer, avec pour conséquence ultime une meilleure protection de la société » et, reprenant les propos d’auteurs, la Cour ajoute que la réhabilitation « constitue probablement à long terme la solution la plus économique sur le plan financier et l’objectif pénologique le plus humain »: </w:t>
      </w:r>
      <w:r w:rsidRPr="00022CFE">
        <w:rPr>
          <w:i/>
          <w:iCs/>
          <w:color w:val="auto"/>
        </w:rPr>
        <w:t>R. c. Bissonnette</w:t>
      </w:r>
      <w:r w:rsidRPr="00022CFE">
        <w:rPr>
          <w:color w:val="auto"/>
        </w:rPr>
        <w:t>, 2022</w:t>
      </w:r>
      <w:r w:rsidR="00022CFE">
        <w:rPr>
          <w:color w:val="auto"/>
        </w:rPr>
        <w:t> </w:t>
      </w:r>
      <w:r w:rsidRPr="00022CFE">
        <w:rPr>
          <w:color w:val="auto"/>
        </w:rPr>
        <w:t>CSC</w:t>
      </w:r>
      <w:r w:rsidR="00022CFE">
        <w:rPr>
          <w:color w:val="auto"/>
        </w:rPr>
        <w:t> </w:t>
      </w:r>
      <w:r w:rsidRPr="00022CFE">
        <w:rPr>
          <w:color w:val="auto"/>
        </w:rPr>
        <w:t>23, par.</w:t>
      </w:r>
      <w:r w:rsidR="00022CFE">
        <w:rPr>
          <w:color w:val="auto"/>
        </w:rPr>
        <w:t> </w:t>
      </w:r>
      <w:r w:rsidRPr="00022CFE">
        <w:rPr>
          <w:color w:val="auto"/>
        </w:rPr>
        <w:t xml:space="preserve">48. Voir aussi </w:t>
      </w:r>
      <w:r w:rsidRPr="00022CFE">
        <w:rPr>
          <w:i/>
          <w:color w:val="auto"/>
        </w:rPr>
        <w:t xml:space="preserve">R. c. </w:t>
      </w:r>
      <w:r w:rsidRPr="00022CFE">
        <w:rPr>
          <w:i/>
          <w:iCs/>
          <w:color w:val="auto"/>
        </w:rPr>
        <w:t xml:space="preserve">St-Jean, </w:t>
      </w:r>
      <w:r w:rsidRPr="00022CFE">
        <w:rPr>
          <w:color w:val="auto"/>
        </w:rPr>
        <w:t>2025</w:t>
      </w:r>
      <w:r w:rsidR="00022CFE">
        <w:rPr>
          <w:color w:val="auto"/>
        </w:rPr>
        <w:t> </w:t>
      </w:r>
      <w:r w:rsidRPr="00022CFE">
        <w:rPr>
          <w:color w:val="auto"/>
        </w:rPr>
        <w:t>QCCA</w:t>
      </w:r>
      <w:r w:rsidR="00022CFE">
        <w:rPr>
          <w:color w:val="auto"/>
        </w:rPr>
        <w:t> </w:t>
      </w:r>
      <w:r w:rsidRPr="00022CFE">
        <w:rPr>
          <w:color w:val="auto"/>
        </w:rPr>
        <w:t>1262, par.</w:t>
      </w:r>
      <w:r w:rsidR="00022CFE">
        <w:rPr>
          <w:color w:val="auto"/>
        </w:rPr>
        <w:t> </w:t>
      </w:r>
      <w:r w:rsidRPr="00022CFE">
        <w:rPr>
          <w:color w:val="auto"/>
        </w:rPr>
        <w:t>179-184.</w:t>
      </w:r>
    </w:p>
    <w:bookmarkEnd w:id="15"/>
    <w:p w14:paraId="14D38B18" w14:textId="2BE34BFF" w:rsidR="00E56098" w:rsidRPr="0068390D" w:rsidRDefault="00E56098" w:rsidP="0085588A">
      <w:pPr>
        <w:pStyle w:val="JgtParagraphe"/>
        <w:numPr>
          <w:ilvl w:val="0"/>
          <w:numId w:val="18"/>
        </w:numPr>
        <w:spacing w:line="280" w:lineRule="exact"/>
        <w:rPr>
          <w:color w:val="auto"/>
        </w:rPr>
      </w:pPr>
      <w:r w:rsidRPr="0068390D">
        <w:rPr>
          <w:color w:val="auto"/>
        </w:rPr>
        <w:t xml:space="preserve">À cet égard, un </w:t>
      </w:r>
      <w:r w:rsidRPr="0068390D">
        <w:rPr>
          <w:rStyle w:val="apple-converted-space"/>
          <w:color w:val="auto"/>
        </w:rPr>
        <w:t>tableau très favorable témoigne d’une autodiscipline qui réduit considérablement la probabilité de récidive : </w:t>
      </w:r>
      <w:r w:rsidRPr="0068390D">
        <w:rPr>
          <w:rStyle w:val="apple-converted-space"/>
          <w:i/>
          <w:iCs/>
          <w:color w:val="auto"/>
        </w:rPr>
        <w:t>R. c. Friesen</w:t>
      </w:r>
      <w:r w:rsidRPr="0068390D">
        <w:rPr>
          <w:rStyle w:val="apple-converted-space"/>
          <w:color w:val="auto"/>
        </w:rPr>
        <w:t>,</w:t>
      </w:r>
      <w:r w:rsidR="00022CFE">
        <w:rPr>
          <w:rStyle w:val="apple-converted-space"/>
          <w:color w:val="auto"/>
        </w:rPr>
        <w:t xml:space="preserve"> </w:t>
      </w:r>
      <w:r w:rsidRPr="0068390D">
        <w:rPr>
          <w:rStyle w:val="apple-converted-space"/>
          <w:color w:val="auto"/>
        </w:rPr>
        <w:t>2020</w:t>
      </w:r>
      <w:r w:rsidR="00022CFE">
        <w:rPr>
          <w:rStyle w:val="apple-converted-space"/>
          <w:color w:val="auto"/>
        </w:rPr>
        <w:t> </w:t>
      </w:r>
      <w:r w:rsidRPr="0068390D">
        <w:rPr>
          <w:rStyle w:val="apple-converted-space"/>
          <w:color w:val="auto"/>
        </w:rPr>
        <w:t>CSC</w:t>
      </w:r>
      <w:r w:rsidR="00022CFE">
        <w:rPr>
          <w:rStyle w:val="apple-converted-space"/>
          <w:color w:val="auto"/>
        </w:rPr>
        <w:t> </w:t>
      </w:r>
      <w:r w:rsidRPr="0068390D">
        <w:rPr>
          <w:rStyle w:val="apple-converted-space"/>
          <w:color w:val="auto"/>
        </w:rPr>
        <w:t>9, par. 165.</w:t>
      </w:r>
    </w:p>
    <w:p w14:paraId="128BCEDE" w14:textId="44F005E5" w:rsidR="00E56098" w:rsidRDefault="00E56098" w:rsidP="0085588A">
      <w:pPr>
        <w:pStyle w:val="JgtParagraphe"/>
        <w:numPr>
          <w:ilvl w:val="0"/>
          <w:numId w:val="18"/>
        </w:numPr>
        <w:spacing w:line="280" w:lineRule="exact"/>
        <w:rPr>
          <w:color w:val="auto"/>
        </w:rPr>
      </w:pPr>
      <w:r w:rsidRPr="0068390D">
        <w:rPr>
          <w:color w:val="auto"/>
        </w:rPr>
        <w:t>L’appelant estime également que la réhabilitation de l’intimée est insuffisante pour écarter une peine d’emprisonnement, qui s’impose comme seule réponse aux crimes en</w:t>
      </w:r>
      <w:r w:rsidR="00022CFE">
        <w:rPr>
          <w:color w:val="auto"/>
        </w:rPr>
        <w:t> </w:t>
      </w:r>
      <w:r w:rsidRPr="0068390D">
        <w:rPr>
          <w:color w:val="auto"/>
        </w:rPr>
        <w:t>cause.</w:t>
      </w:r>
    </w:p>
    <w:p w14:paraId="188BE880" w14:textId="0C2D3FC5" w:rsidR="00E56098" w:rsidRDefault="00E56098" w:rsidP="0085588A">
      <w:pPr>
        <w:pStyle w:val="JgtParagraphe"/>
        <w:numPr>
          <w:ilvl w:val="0"/>
          <w:numId w:val="18"/>
        </w:numPr>
        <w:spacing w:line="280" w:lineRule="exact"/>
        <w:rPr>
          <w:color w:val="auto"/>
        </w:rPr>
      </w:pPr>
      <w:r w:rsidRPr="0068390D">
        <w:rPr>
          <w:color w:val="auto"/>
        </w:rPr>
        <w:t>Avec égards, en soupesant les propos de la Cour suprême sur ce que signifie la réhabilitation au stade de la détermination de la peine, soit « une capacité de prendre sa vie en main et de s’améliorer, avec pour conséquence ultime une meilleure protection de la société » (</w:t>
      </w:r>
      <w:r w:rsidRPr="0068390D">
        <w:rPr>
          <w:i/>
          <w:iCs/>
          <w:color w:val="auto"/>
        </w:rPr>
        <w:t>R. c. Bissonnette</w:t>
      </w:r>
      <w:r w:rsidRPr="0068390D">
        <w:rPr>
          <w:color w:val="auto"/>
        </w:rPr>
        <w:t>, par. 48), il est difficile de trouver une « réhabilitation » plus</w:t>
      </w:r>
      <w:r w:rsidR="00022CFE">
        <w:rPr>
          <w:color w:val="auto"/>
        </w:rPr>
        <w:t> </w:t>
      </w:r>
      <w:r w:rsidRPr="0068390D">
        <w:rPr>
          <w:color w:val="auto"/>
        </w:rPr>
        <w:t>convaincante.</w:t>
      </w:r>
    </w:p>
    <w:p w14:paraId="4A6345C6" w14:textId="77777777" w:rsidR="00E56098" w:rsidRDefault="00E56098" w:rsidP="0085588A">
      <w:pPr>
        <w:pStyle w:val="JgtParagraphe"/>
        <w:numPr>
          <w:ilvl w:val="0"/>
          <w:numId w:val="18"/>
        </w:numPr>
        <w:spacing w:line="280" w:lineRule="exact"/>
        <w:rPr>
          <w:color w:val="auto"/>
        </w:rPr>
      </w:pPr>
      <w:r w:rsidRPr="0068390D">
        <w:rPr>
          <w:color w:val="auto"/>
        </w:rPr>
        <w:t>L</w:t>
      </w:r>
      <w:r>
        <w:rPr>
          <w:color w:val="auto"/>
        </w:rPr>
        <w:t>’</w:t>
      </w:r>
      <w:r w:rsidRPr="0068390D">
        <w:rPr>
          <w:color w:val="auto"/>
        </w:rPr>
        <w:t>intimée a fait des acquis importants, notamment son diplôme en sciences infirmières, qu</w:t>
      </w:r>
      <w:r>
        <w:rPr>
          <w:color w:val="auto"/>
        </w:rPr>
        <w:t>’</w:t>
      </w:r>
      <w:r w:rsidRPr="0068390D">
        <w:rPr>
          <w:color w:val="auto"/>
        </w:rPr>
        <w:t>une condamnation anéantirait, comme le démontre la preuve acceptée par le juge. L’intimée témoigne avoir changé ses fréquentations et son style de vie, deux changements porteurs de sa réintégration sociale, dans les circonstances.</w:t>
      </w:r>
    </w:p>
    <w:p w14:paraId="5D789D83" w14:textId="0A56606B" w:rsidR="00E56098" w:rsidRDefault="00E56098" w:rsidP="00022CFE">
      <w:pPr>
        <w:pStyle w:val="JgtParagraphe"/>
        <w:numPr>
          <w:ilvl w:val="0"/>
          <w:numId w:val="18"/>
        </w:numPr>
        <w:spacing w:before="160" w:after="160" w:line="280" w:lineRule="exact"/>
        <w:rPr>
          <w:color w:val="auto"/>
        </w:rPr>
      </w:pPr>
      <w:r w:rsidRPr="0068390D">
        <w:rPr>
          <w:color w:val="auto"/>
        </w:rPr>
        <w:t xml:space="preserve">Le juge souligne aussi, avec raison, l’arrêt </w:t>
      </w:r>
      <w:r w:rsidRPr="0068390D">
        <w:rPr>
          <w:i/>
          <w:iCs/>
          <w:color w:val="auto"/>
        </w:rPr>
        <w:t xml:space="preserve">Brunet </w:t>
      </w:r>
      <w:r w:rsidRPr="0068390D">
        <w:rPr>
          <w:color w:val="auto"/>
        </w:rPr>
        <w:t>qui explique que l’absolution conditionnelle peut être révoquée à la demande du ministère public si la personne absoute commet une nouvelle infraction, incluant un défaut de se conformer à l’ordonnance de probation : art.</w:t>
      </w:r>
      <w:r w:rsidR="00022CFE">
        <w:rPr>
          <w:color w:val="auto"/>
        </w:rPr>
        <w:t> </w:t>
      </w:r>
      <w:r w:rsidRPr="0068390D">
        <w:rPr>
          <w:color w:val="auto"/>
        </w:rPr>
        <w:t xml:space="preserve">730(4) </w:t>
      </w:r>
      <w:r w:rsidRPr="0068390D">
        <w:rPr>
          <w:i/>
          <w:iCs/>
          <w:color w:val="auto"/>
        </w:rPr>
        <w:t>C.cr</w:t>
      </w:r>
      <w:r w:rsidRPr="0068390D">
        <w:rPr>
          <w:color w:val="auto"/>
        </w:rPr>
        <w:t xml:space="preserve">.; </w:t>
      </w:r>
      <w:r w:rsidRPr="0068390D">
        <w:rPr>
          <w:i/>
          <w:iCs/>
          <w:color w:val="auto"/>
        </w:rPr>
        <w:t>R. c. Brunet</w:t>
      </w:r>
      <w:r w:rsidRPr="0068390D">
        <w:rPr>
          <w:color w:val="auto"/>
        </w:rPr>
        <w:t>, 2016</w:t>
      </w:r>
      <w:r w:rsidR="00022CFE">
        <w:rPr>
          <w:color w:val="auto"/>
        </w:rPr>
        <w:t> </w:t>
      </w:r>
      <w:r w:rsidRPr="0068390D">
        <w:rPr>
          <w:color w:val="auto"/>
        </w:rPr>
        <w:t>QCCA</w:t>
      </w:r>
      <w:r w:rsidR="00022CFE">
        <w:rPr>
          <w:color w:val="auto"/>
        </w:rPr>
        <w:t> </w:t>
      </w:r>
      <w:r w:rsidRPr="0068390D">
        <w:rPr>
          <w:color w:val="auto"/>
        </w:rPr>
        <w:t>2059, par.</w:t>
      </w:r>
      <w:r w:rsidR="00022CFE">
        <w:rPr>
          <w:color w:val="auto"/>
        </w:rPr>
        <w:t> </w:t>
      </w:r>
      <w:r w:rsidRPr="0068390D">
        <w:rPr>
          <w:color w:val="auto"/>
        </w:rPr>
        <w:t xml:space="preserve">5-6; </w:t>
      </w:r>
      <w:r w:rsidRPr="0068390D">
        <w:rPr>
          <w:i/>
          <w:color w:val="auto"/>
        </w:rPr>
        <w:t>R.</w:t>
      </w:r>
      <w:r w:rsidR="00022CFE">
        <w:rPr>
          <w:i/>
          <w:color w:val="auto"/>
        </w:rPr>
        <w:t> </w:t>
      </w:r>
      <w:r w:rsidRPr="0068390D">
        <w:rPr>
          <w:i/>
          <w:color w:val="auto"/>
        </w:rPr>
        <w:t xml:space="preserve">c. </w:t>
      </w:r>
      <w:r w:rsidRPr="0068390D">
        <w:rPr>
          <w:i/>
          <w:iCs/>
          <w:color w:val="auto"/>
        </w:rPr>
        <w:t>Harbour</w:t>
      </w:r>
      <w:r w:rsidRPr="0068390D">
        <w:rPr>
          <w:color w:val="auto"/>
        </w:rPr>
        <w:t>, 2017</w:t>
      </w:r>
      <w:r w:rsidR="00276E85">
        <w:rPr>
          <w:color w:val="auto"/>
        </w:rPr>
        <w:t> </w:t>
      </w:r>
      <w:r w:rsidRPr="0068390D">
        <w:rPr>
          <w:color w:val="auto"/>
        </w:rPr>
        <w:t>QCCA</w:t>
      </w:r>
      <w:r w:rsidR="00276E85">
        <w:rPr>
          <w:color w:val="auto"/>
        </w:rPr>
        <w:t> </w:t>
      </w:r>
      <w:r w:rsidRPr="0068390D">
        <w:rPr>
          <w:color w:val="auto"/>
        </w:rPr>
        <w:t>204, par.</w:t>
      </w:r>
      <w:r w:rsidR="00022CFE">
        <w:rPr>
          <w:color w:val="auto"/>
        </w:rPr>
        <w:t> </w:t>
      </w:r>
      <w:r w:rsidRPr="0068390D">
        <w:rPr>
          <w:color w:val="auto"/>
        </w:rPr>
        <w:t>88 à 91. L’intimée recevrait alors une peine pour les infractions pour lesquelles elle a été absoute, en plus de toute autre peine que les circonstances exigent.</w:t>
      </w:r>
    </w:p>
    <w:p w14:paraId="773F8999" w14:textId="63FDC05C" w:rsidR="00E56098" w:rsidRPr="0068390D" w:rsidRDefault="00E56098" w:rsidP="00022CFE">
      <w:pPr>
        <w:pStyle w:val="JgtParagraphe"/>
        <w:numPr>
          <w:ilvl w:val="0"/>
          <w:numId w:val="18"/>
        </w:numPr>
        <w:spacing w:before="160" w:after="160" w:line="280" w:lineRule="exact"/>
        <w:rPr>
          <w:color w:val="auto"/>
        </w:rPr>
      </w:pPr>
      <w:r w:rsidRPr="0068390D">
        <w:rPr>
          <w:color w:val="auto"/>
        </w:rPr>
        <w:t xml:space="preserve">Dans l’arrêt </w:t>
      </w:r>
      <w:r w:rsidRPr="0068390D">
        <w:rPr>
          <w:i/>
          <w:iCs/>
          <w:color w:val="auto"/>
        </w:rPr>
        <w:t>Ferjsute</w:t>
      </w:r>
      <w:r w:rsidRPr="0068390D">
        <w:rPr>
          <w:color w:val="auto"/>
        </w:rPr>
        <w:t>, la Cour a souligné qu’il « est raisonnable de croire que la possibilité de prononcer l’absolution accompagnée d’une ordonnance de probation témoigne également de la volonté du législateur de permettre l’absolution même lorsque les circonstances, bien que plus sérieuses, n’exigent pas l’inscription d’une condamnation au dossier de la personne accusée » (</w:t>
      </w:r>
      <w:r w:rsidRPr="0068390D">
        <w:rPr>
          <w:i/>
          <w:color w:val="auto"/>
        </w:rPr>
        <w:t>R. c. </w:t>
      </w:r>
      <w:r w:rsidRPr="0068390D">
        <w:rPr>
          <w:i/>
          <w:iCs/>
          <w:color w:val="auto"/>
        </w:rPr>
        <w:t>Ferjuste</w:t>
      </w:r>
      <w:r w:rsidRPr="0068390D">
        <w:rPr>
          <w:color w:val="auto"/>
        </w:rPr>
        <w:t>, 2026</w:t>
      </w:r>
      <w:r w:rsidR="00276E85">
        <w:rPr>
          <w:color w:val="auto"/>
        </w:rPr>
        <w:t> </w:t>
      </w:r>
      <w:r w:rsidRPr="0068390D">
        <w:rPr>
          <w:color w:val="auto"/>
        </w:rPr>
        <w:t>QCCA</w:t>
      </w:r>
      <w:r w:rsidR="00276E85">
        <w:rPr>
          <w:color w:val="auto"/>
        </w:rPr>
        <w:t> </w:t>
      </w:r>
      <w:r w:rsidRPr="0068390D">
        <w:rPr>
          <w:color w:val="auto"/>
        </w:rPr>
        <w:t>334, par.</w:t>
      </w:r>
      <w:r w:rsidR="00022CFE">
        <w:rPr>
          <w:color w:val="auto"/>
        </w:rPr>
        <w:t> </w:t>
      </w:r>
      <w:r w:rsidRPr="0068390D">
        <w:rPr>
          <w:color w:val="auto"/>
        </w:rPr>
        <w:t>58).</w:t>
      </w:r>
    </w:p>
    <w:p w14:paraId="5B8E98B5" w14:textId="4F3B35B0" w:rsidR="00E56098" w:rsidRDefault="00E56098" w:rsidP="00022CFE">
      <w:pPr>
        <w:pStyle w:val="JgtParagraphe"/>
        <w:numPr>
          <w:ilvl w:val="0"/>
          <w:numId w:val="18"/>
        </w:numPr>
        <w:spacing w:before="160" w:after="160" w:line="280" w:lineRule="exact"/>
        <w:rPr>
          <w:color w:val="auto"/>
        </w:rPr>
      </w:pPr>
      <w:r w:rsidRPr="0068390D">
        <w:rPr>
          <w:color w:val="auto"/>
        </w:rPr>
        <w:t>Enfin, le juge énonce que « l’aboutissement du parcours professionnel de la délinquante est tributaire de la présente décision sur la peine »</w:t>
      </w:r>
      <w:r w:rsidR="00022CFE">
        <w:rPr>
          <w:color w:val="auto"/>
        </w:rPr>
        <w:t xml:space="preserve"> </w:t>
      </w:r>
      <w:r w:rsidRPr="0068390D">
        <w:rPr>
          <w:color w:val="auto"/>
        </w:rPr>
        <w:t>(</w:t>
      </w:r>
      <w:r w:rsidRPr="0068390D">
        <w:rPr>
          <w:i/>
          <w:iCs/>
          <w:color w:val="auto"/>
        </w:rPr>
        <w:t>R.</w:t>
      </w:r>
      <w:r w:rsidR="00022CFE">
        <w:rPr>
          <w:i/>
          <w:iCs/>
          <w:color w:val="auto"/>
        </w:rPr>
        <w:t> </w:t>
      </w:r>
      <w:r w:rsidRPr="0068390D">
        <w:rPr>
          <w:i/>
          <w:iCs/>
          <w:color w:val="auto"/>
        </w:rPr>
        <w:t>c.</w:t>
      </w:r>
      <w:r w:rsidR="00022CFE">
        <w:rPr>
          <w:i/>
          <w:iCs/>
          <w:color w:val="auto"/>
        </w:rPr>
        <w:t> </w:t>
      </w:r>
      <w:r w:rsidRPr="0068390D">
        <w:rPr>
          <w:i/>
          <w:iCs/>
          <w:color w:val="auto"/>
        </w:rPr>
        <w:t>Benbouhoud</w:t>
      </w:r>
      <w:r w:rsidRPr="0068390D">
        <w:rPr>
          <w:color w:val="auto"/>
        </w:rPr>
        <w:t>, précité, par.</w:t>
      </w:r>
      <w:r w:rsidR="00022CFE">
        <w:rPr>
          <w:color w:val="auto"/>
        </w:rPr>
        <w:t> </w:t>
      </w:r>
      <w:r w:rsidRPr="0068390D">
        <w:rPr>
          <w:color w:val="auto"/>
        </w:rPr>
        <w:t>46). Par conséquent, l’objectif de l’absolution était l’absence de condamnation.</w:t>
      </w:r>
    </w:p>
    <w:p w14:paraId="088547C7" w14:textId="77777777" w:rsidR="00E56098" w:rsidRDefault="00E56098" w:rsidP="00022CFE">
      <w:pPr>
        <w:pStyle w:val="JgtParagraphe"/>
        <w:numPr>
          <w:ilvl w:val="0"/>
          <w:numId w:val="18"/>
        </w:numPr>
        <w:spacing w:before="160" w:after="160" w:line="280" w:lineRule="exact"/>
        <w:rPr>
          <w:color w:val="auto"/>
        </w:rPr>
      </w:pPr>
      <w:r w:rsidRPr="0068390D">
        <w:rPr>
          <w:color w:val="auto"/>
        </w:rPr>
        <w:t>En définitive, la pondération des objectifs de la peine relève du juge qui détermine la peine. L’appelant ne démontre aucune erreur révisable du juge dans l’exercice de son pouvoir discrétionnaire en raison des circonstances particulières révélées par la preuve, en particulier les efforts de réhabilitation entrepris par l’intimée.</w:t>
      </w:r>
    </w:p>
    <w:p w14:paraId="7C1F3F9B" w14:textId="2D8776F5" w:rsidR="00E56098" w:rsidRPr="0068390D" w:rsidRDefault="00E56098" w:rsidP="00022CFE">
      <w:pPr>
        <w:pStyle w:val="JgtPositionniv2"/>
        <w:spacing w:before="160" w:after="160" w:line="280" w:lineRule="exact"/>
        <w:rPr>
          <w:lang w:eastAsia="en-US"/>
        </w:rPr>
      </w:pPr>
      <w:r w:rsidRPr="0068390D">
        <w:t xml:space="preserve">3) La </w:t>
      </w:r>
      <w:r w:rsidRPr="0068390D">
        <w:rPr>
          <w:lang w:eastAsia="en-US"/>
        </w:rPr>
        <w:t>peine est manifestement non indiquée</w:t>
      </w:r>
      <w:r w:rsidRPr="0068390D">
        <w:t>.</w:t>
      </w:r>
    </w:p>
    <w:p w14:paraId="55D824DA" w14:textId="77777777" w:rsidR="00E56098" w:rsidRDefault="00E56098" w:rsidP="00022CFE">
      <w:pPr>
        <w:pStyle w:val="JgtParagraphe"/>
        <w:numPr>
          <w:ilvl w:val="0"/>
          <w:numId w:val="18"/>
        </w:numPr>
        <w:spacing w:before="160" w:after="160" w:line="280" w:lineRule="exact"/>
        <w:rPr>
          <w:color w:val="auto"/>
        </w:rPr>
      </w:pPr>
      <w:r w:rsidRPr="0068390D">
        <w:rPr>
          <w:color w:val="auto"/>
        </w:rPr>
        <w:t>Avec ce moyen, l’appelant avance que la peine est manifestement non indiquée. Le moyen recoupe en quelque sorte les arguments sur la place de la dénonciation et de la dissuasion.</w:t>
      </w:r>
    </w:p>
    <w:p w14:paraId="600AAFA9" w14:textId="0A106DCE" w:rsidR="00E56098" w:rsidRPr="0068390D" w:rsidRDefault="00E56098" w:rsidP="00022CFE">
      <w:pPr>
        <w:pStyle w:val="JgtParagraphe"/>
        <w:numPr>
          <w:ilvl w:val="0"/>
          <w:numId w:val="18"/>
        </w:numPr>
        <w:spacing w:before="160" w:after="160" w:line="280" w:lineRule="exact"/>
        <w:rPr>
          <w:color w:val="auto"/>
        </w:rPr>
      </w:pPr>
      <w:r w:rsidRPr="0068390D">
        <w:rPr>
          <w:color w:val="auto"/>
        </w:rPr>
        <w:t xml:space="preserve">Il est vrai qu’une « peine disproportionnée, trop clémente dans les circonstances [d’une] affaire, ne participe pas au maintien d’une société juste, paisible et sûre par l’infliction de sanctions justes » : </w:t>
      </w:r>
      <w:r w:rsidRPr="0068390D">
        <w:rPr>
          <w:i/>
          <w:color w:val="auto"/>
        </w:rPr>
        <w:t>R. c. </w:t>
      </w:r>
      <w:r w:rsidRPr="0068390D">
        <w:rPr>
          <w:i/>
          <w:iCs/>
          <w:color w:val="auto"/>
        </w:rPr>
        <w:t>V.L.</w:t>
      </w:r>
      <w:r w:rsidRPr="0068390D">
        <w:rPr>
          <w:color w:val="auto"/>
        </w:rPr>
        <w:t>, 2023</w:t>
      </w:r>
      <w:r w:rsidR="00022CFE">
        <w:rPr>
          <w:color w:val="auto"/>
        </w:rPr>
        <w:t> </w:t>
      </w:r>
      <w:r w:rsidRPr="0068390D">
        <w:rPr>
          <w:color w:val="auto"/>
        </w:rPr>
        <w:t>QCCA</w:t>
      </w:r>
      <w:r w:rsidR="00022CFE">
        <w:rPr>
          <w:color w:val="auto"/>
        </w:rPr>
        <w:t> </w:t>
      </w:r>
      <w:r w:rsidRPr="0068390D">
        <w:rPr>
          <w:color w:val="auto"/>
        </w:rPr>
        <w:t>449, par.</w:t>
      </w:r>
      <w:r w:rsidR="00022CFE">
        <w:rPr>
          <w:color w:val="auto"/>
        </w:rPr>
        <w:t> </w:t>
      </w:r>
      <w:r w:rsidRPr="0068390D">
        <w:rPr>
          <w:color w:val="auto"/>
        </w:rPr>
        <w:t>60.</w:t>
      </w:r>
    </w:p>
    <w:p w14:paraId="1501D8E3" w14:textId="77777777" w:rsidR="00E56098" w:rsidRDefault="00E56098" w:rsidP="00022CFE">
      <w:pPr>
        <w:pStyle w:val="Paragraphe"/>
        <w:spacing w:before="160" w:after="160" w:line="280" w:lineRule="exact"/>
        <w:rPr>
          <w:rFonts w:cs="Arial"/>
          <w:szCs w:val="24"/>
          <w:lang w:eastAsia="en-US"/>
        </w:rPr>
      </w:pPr>
      <w:r w:rsidRPr="0068390D">
        <w:t xml:space="preserve">La question se pose sans doute dans la présente affaire. </w:t>
      </w:r>
      <w:r w:rsidRPr="0068390D">
        <w:rPr>
          <w:rFonts w:cs="Arial"/>
          <w:szCs w:val="24"/>
          <w:lang w:eastAsia="en-US"/>
        </w:rPr>
        <w:t>Il est vrai que l’infraction en cause choque la décence et interpelle en principe une peine conséquente pour tenir compte de sa gravité et des impacts sur les victimes vulnérables. Ce ressentiment, compréhensible, tient au crime.</w:t>
      </w:r>
    </w:p>
    <w:p w14:paraId="02EA44ED" w14:textId="77777777" w:rsidR="00E56098" w:rsidRDefault="00E56098" w:rsidP="00022CFE">
      <w:pPr>
        <w:pStyle w:val="Paragraphe"/>
        <w:spacing w:before="160" w:after="160" w:line="280" w:lineRule="exact"/>
        <w:rPr>
          <w:rFonts w:cs="Arial"/>
          <w:szCs w:val="24"/>
          <w:lang w:eastAsia="en-US"/>
        </w:rPr>
      </w:pPr>
      <w:r w:rsidRPr="0068390D">
        <w:rPr>
          <w:rFonts w:cs="Arial"/>
          <w:szCs w:val="24"/>
          <w:lang w:eastAsia="en-US"/>
        </w:rPr>
        <w:t>Une lecture de la décision ne permet pas de dire que le juge en a pensé moins et que sa décision est fondée sur une mauvaise compréhension de la gravité de l’infraction. Mais comme expliqué plus haut, la peine doit également être individualisée à la délinquante et ce que la preuve démontre à ce propos.</w:t>
      </w:r>
    </w:p>
    <w:p w14:paraId="7062DE02" w14:textId="4269EFC8" w:rsidR="00E56098" w:rsidRDefault="00E56098" w:rsidP="00022CFE">
      <w:pPr>
        <w:pStyle w:val="Paragraphe"/>
        <w:spacing w:before="160" w:after="160" w:line="280" w:lineRule="exact"/>
        <w:rPr>
          <w:rFonts w:cs="Arial"/>
          <w:szCs w:val="24"/>
          <w:lang w:eastAsia="en-US"/>
        </w:rPr>
      </w:pPr>
      <w:r w:rsidRPr="0068390D">
        <w:rPr>
          <w:rFonts w:cs="Arial"/>
          <w:szCs w:val="24"/>
          <w:lang w:eastAsia="en-US"/>
        </w:rPr>
        <w:t xml:space="preserve">Or, il faut être prudent de ne pas simplement substituer l’opinion de la Cour : </w:t>
      </w:r>
      <w:r w:rsidRPr="0068390D">
        <w:rPr>
          <w:i/>
        </w:rPr>
        <w:t>R.</w:t>
      </w:r>
      <w:r w:rsidRPr="0068390D">
        <w:rPr>
          <w:rFonts w:cs="Arial"/>
          <w:i/>
        </w:rPr>
        <w:t> </w:t>
      </w:r>
      <w:r w:rsidRPr="0068390D">
        <w:rPr>
          <w:i/>
        </w:rPr>
        <w:t>c.</w:t>
      </w:r>
      <w:r w:rsidRPr="0068390D">
        <w:rPr>
          <w:rFonts w:cs="Arial"/>
          <w:i/>
        </w:rPr>
        <w:t> </w:t>
      </w:r>
      <w:r w:rsidRPr="0068390D">
        <w:rPr>
          <w:i/>
          <w:iCs/>
        </w:rPr>
        <w:t>Collette</w:t>
      </w:r>
      <w:r w:rsidRPr="0068390D">
        <w:t>, 2025</w:t>
      </w:r>
      <w:r w:rsidR="00022CFE">
        <w:t> </w:t>
      </w:r>
      <w:r w:rsidRPr="0068390D">
        <w:t>QCCA</w:t>
      </w:r>
      <w:r w:rsidR="00022CFE">
        <w:t> </w:t>
      </w:r>
      <w:r w:rsidRPr="0068390D">
        <w:t>554, par.</w:t>
      </w:r>
      <w:r w:rsidR="00022CFE">
        <w:t> </w:t>
      </w:r>
      <w:r w:rsidRPr="0068390D">
        <w:t xml:space="preserve">32; </w:t>
      </w:r>
      <w:r w:rsidRPr="0068390D">
        <w:rPr>
          <w:i/>
        </w:rPr>
        <w:t>R.</w:t>
      </w:r>
      <w:r w:rsidRPr="0068390D">
        <w:rPr>
          <w:rFonts w:cs="Arial"/>
          <w:i/>
        </w:rPr>
        <w:t> </w:t>
      </w:r>
      <w:r w:rsidRPr="0068390D">
        <w:rPr>
          <w:i/>
        </w:rPr>
        <w:t>c.</w:t>
      </w:r>
      <w:r w:rsidRPr="0068390D">
        <w:rPr>
          <w:rFonts w:cs="Arial"/>
          <w:i/>
        </w:rPr>
        <w:t> </w:t>
      </w:r>
      <w:r w:rsidRPr="0068390D">
        <w:rPr>
          <w:i/>
          <w:iCs/>
        </w:rPr>
        <w:t>Courchesne</w:t>
      </w:r>
      <w:r w:rsidRPr="0068390D">
        <w:t>, 2024</w:t>
      </w:r>
      <w:r w:rsidR="00022CFE">
        <w:t> </w:t>
      </w:r>
      <w:r w:rsidRPr="0068390D">
        <w:t>QCCA</w:t>
      </w:r>
      <w:r w:rsidR="00022CFE">
        <w:t> </w:t>
      </w:r>
      <w:r w:rsidRPr="0068390D">
        <w:t>960, par.</w:t>
      </w:r>
      <w:r w:rsidR="00022CFE">
        <w:t> </w:t>
      </w:r>
      <w:r w:rsidRPr="0068390D">
        <w:t>29</w:t>
      </w:r>
      <w:r w:rsidRPr="0068390D">
        <w:rPr>
          <w:rFonts w:cs="Arial"/>
          <w:szCs w:val="24"/>
          <w:lang w:eastAsia="en-US"/>
        </w:rPr>
        <w:t>.</w:t>
      </w:r>
    </w:p>
    <w:p w14:paraId="1BEBEF7D" w14:textId="77777777" w:rsidR="00E56098" w:rsidRDefault="00E56098" w:rsidP="00022CFE">
      <w:pPr>
        <w:pStyle w:val="Paragraphe"/>
        <w:spacing w:before="160" w:after="160" w:line="280" w:lineRule="exact"/>
        <w:rPr>
          <w:rFonts w:cs="Arial"/>
          <w:szCs w:val="24"/>
          <w:lang w:eastAsia="en-US"/>
        </w:rPr>
      </w:pPr>
      <w:r w:rsidRPr="0068390D">
        <w:rPr>
          <w:rFonts w:cs="Arial"/>
          <w:szCs w:val="24"/>
          <w:lang w:eastAsia="en-US"/>
        </w:rPr>
        <w:t>En l’espèce, la peine est prévue parmi les possibilités offertes par la loi, l’analyse du juge n’occulte aucun facteur et il justifie son écart de la peine qu’un tel crime interpelle généralement. La délinquante l’a convaincu, preuve à l’appui, qu’elle avait effectivement abandonné son mode de vie délinquant, mais que la stabilité de sa réhabilitation repose beaucoup sur l’absence de condamnation.</w:t>
      </w:r>
    </w:p>
    <w:p w14:paraId="454F4316" w14:textId="77777777" w:rsidR="00E56098" w:rsidRPr="0068390D" w:rsidRDefault="00E56098" w:rsidP="00022CFE">
      <w:pPr>
        <w:pStyle w:val="JgtParagraphe"/>
        <w:numPr>
          <w:ilvl w:val="0"/>
          <w:numId w:val="18"/>
        </w:numPr>
        <w:spacing w:before="160" w:after="160" w:line="280" w:lineRule="exact"/>
        <w:rPr>
          <w:color w:val="auto"/>
        </w:rPr>
      </w:pPr>
      <w:r w:rsidRPr="0068390D">
        <w:rPr>
          <w:color w:val="auto"/>
        </w:rPr>
        <w:t>En définitive, l’analyse soignée du juge ne permet pas à la Cour de conclure que la peine est manifestement non indiquée pour le crime commis, avec ses particularités, et pour la délinquante, avec ses particularités.</w:t>
      </w:r>
    </w:p>
    <w:p w14:paraId="0CCD7112" w14:textId="77777777" w:rsidR="00E56098" w:rsidRPr="0068390D" w:rsidRDefault="00E56098" w:rsidP="00022CFE">
      <w:pPr>
        <w:pStyle w:val="JgtPositionniv2"/>
        <w:spacing w:before="160" w:after="160" w:line="280" w:lineRule="exact"/>
      </w:pPr>
      <w:r w:rsidRPr="0068390D">
        <w:t xml:space="preserve">4) Une équivalence entre des heures de travaux communautaires et une période d’incarcération ; l’arrêt de facilitation </w:t>
      </w:r>
      <w:r w:rsidRPr="0068390D">
        <w:rPr>
          <w:i w:val="0"/>
          <w:iCs/>
        </w:rPr>
        <w:t>Grondin</w:t>
      </w:r>
    </w:p>
    <w:p w14:paraId="40777D5B" w14:textId="77777777" w:rsidR="00E56098" w:rsidRPr="0068390D" w:rsidRDefault="00E56098" w:rsidP="00022CFE">
      <w:pPr>
        <w:pStyle w:val="JgtParagraphe"/>
        <w:numPr>
          <w:ilvl w:val="0"/>
          <w:numId w:val="18"/>
        </w:numPr>
        <w:spacing w:before="160" w:after="160" w:line="280" w:lineRule="exact"/>
        <w:rPr>
          <w:color w:val="auto"/>
        </w:rPr>
      </w:pPr>
      <w:r w:rsidRPr="0068390D">
        <w:rPr>
          <w:color w:val="auto"/>
        </w:rPr>
        <w:t>Enfin, l’appelant reproche au juge d’avoir établi une équivalence entre des travaux communautaires et une période d’incarcération. L’intimée reconnaît que cela n’est pas utile. La Cour est d’accord et, à proprement parler, le rapprochement fait par le juge est une erreur.</w:t>
      </w:r>
    </w:p>
    <w:p w14:paraId="4310E047" w14:textId="0BC1BCCB" w:rsidR="00E56098" w:rsidRPr="0068390D" w:rsidRDefault="00E56098" w:rsidP="00022CFE">
      <w:pPr>
        <w:pStyle w:val="JgtParagraphe"/>
        <w:numPr>
          <w:ilvl w:val="0"/>
          <w:numId w:val="18"/>
        </w:numPr>
        <w:spacing w:before="160" w:after="160" w:line="280" w:lineRule="exact"/>
        <w:rPr>
          <w:color w:val="auto"/>
          <w:lang w:eastAsia="fr-CA"/>
        </w:rPr>
      </w:pPr>
      <w:r w:rsidRPr="0068390D">
        <w:rPr>
          <w:color w:val="auto"/>
        </w:rPr>
        <w:t xml:space="preserve">Le juge s’appuie notamment sur l’arrêt </w:t>
      </w:r>
      <w:r w:rsidRPr="0068390D">
        <w:rPr>
          <w:i/>
          <w:color w:val="auto"/>
        </w:rPr>
        <w:t>R.</w:t>
      </w:r>
      <w:r w:rsidR="00022CFE">
        <w:rPr>
          <w:i/>
          <w:color w:val="auto"/>
        </w:rPr>
        <w:t> </w:t>
      </w:r>
      <w:r w:rsidRPr="0068390D">
        <w:rPr>
          <w:i/>
          <w:color w:val="auto"/>
        </w:rPr>
        <w:t>c.</w:t>
      </w:r>
      <w:r w:rsidR="00022CFE">
        <w:rPr>
          <w:i/>
          <w:color w:val="auto"/>
        </w:rPr>
        <w:t> </w:t>
      </w:r>
      <w:r w:rsidRPr="0068390D">
        <w:rPr>
          <w:i/>
          <w:color w:val="auto"/>
        </w:rPr>
        <w:t xml:space="preserve">Grondin, </w:t>
      </w:r>
      <w:r w:rsidRPr="0068390D">
        <w:rPr>
          <w:iCs/>
          <w:color w:val="auto"/>
        </w:rPr>
        <w:t>2018</w:t>
      </w:r>
      <w:r w:rsidR="00022CFE">
        <w:rPr>
          <w:iCs/>
          <w:color w:val="auto"/>
        </w:rPr>
        <w:t> </w:t>
      </w:r>
      <w:r w:rsidRPr="0068390D">
        <w:rPr>
          <w:iCs/>
          <w:color w:val="auto"/>
        </w:rPr>
        <w:t>QCCA</w:t>
      </w:r>
      <w:r w:rsidR="00022CFE">
        <w:rPr>
          <w:iCs/>
          <w:color w:val="auto"/>
        </w:rPr>
        <w:t> </w:t>
      </w:r>
      <w:r w:rsidRPr="0068390D">
        <w:rPr>
          <w:iCs/>
          <w:color w:val="auto"/>
        </w:rPr>
        <w:t>429</w:t>
      </w:r>
      <w:r w:rsidRPr="0068390D">
        <w:rPr>
          <w:color w:val="auto"/>
        </w:rPr>
        <w:t xml:space="preserve"> et il n’aurait pas dû. En effet, cet arrêt est le résultat d’une conférence de facilitation, une procédure consensuelle qui cherche souvent à solutionner des affaires qui méritent de l’être sommairement, en dehors de la procédure normale. Par conséquent, les débats ne sont pas aussi exhaustifs que dans le cadre d</w:t>
      </w:r>
      <w:r>
        <w:rPr>
          <w:color w:val="auto"/>
        </w:rPr>
        <w:t>’</w:t>
      </w:r>
      <w:r w:rsidRPr="0068390D">
        <w:rPr>
          <w:color w:val="auto"/>
        </w:rPr>
        <w:t>un appel contesté et contradictoire. Généralement, il existe une constellation de raisons qui motivent les parties à rechercher une issue prévisible à un appel en se fondant sur des erreurs commises et l’arrêt ne cherche pas toujours à exprimer de façon exhaustive l’ensemble de ces considérations. C’est la raison pour laquelle les arrêts rendus à la suite d’une conférence de facilitation pénale n’ont aucune valeur de précédent.</w:t>
      </w:r>
    </w:p>
    <w:p w14:paraId="7978E3EC" w14:textId="0ACAD7AA" w:rsidR="00E56098" w:rsidRDefault="00E56098" w:rsidP="00022CFE">
      <w:pPr>
        <w:pStyle w:val="JgtParagraphe"/>
        <w:numPr>
          <w:ilvl w:val="0"/>
          <w:numId w:val="18"/>
        </w:numPr>
        <w:spacing w:before="160" w:after="160" w:line="280" w:lineRule="exact"/>
        <w:rPr>
          <w:color w:val="auto"/>
          <w:lang w:val="fr-FR"/>
        </w:rPr>
      </w:pPr>
      <w:r w:rsidRPr="0068390D">
        <w:rPr>
          <w:color w:val="auto"/>
          <w:lang w:val="fr-FR"/>
        </w:rPr>
        <w:t xml:space="preserve">Par ailleurs, l’idée que des travaux communautaires puissent se convertir en emprisonnement est fragile, voire erronée, mais on constate qu’elle est utilisée : </w:t>
      </w:r>
      <w:r w:rsidRPr="0068390D">
        <w:rPr>
          <w:i/>
          <w:iCs/>
          <w:color w:val="auto"/>
          <w:lang w:val="fr-FR"/>
        </w:rPr>
        <w:t>R.</w:t>
      </w:r>
      <w:r w:rsidR="00022CFE">
        <w:rPr>
          <w:i/>
          <w:iCs/>
          <w:color w:val="auto"/>
          <w:lang w:val="fr-FR"/>
        </w:rPr>
        <w:t> </w:t>
      </w:r>
      <w:r w:rsidRPr="0068390D">
        <w:rPr>
          <w:i/>
          <w:iCs/>
          <w:color w:val="auto"/>
          <w:lang w:val="fr-FR"/>
        </w:rPr>
        <w:t>c.</w:t>
      </w:r>
      <w:r w:rsidR="00022CFE">
        <w:rPr>
          <w:i/>
          <w:iCs/>
          <w:color w:val="auto"/>
          <w:lang w:val="fr-FR"/>
        </w:rPr>
        <w:t> </w:t>
      </w:r>
      <w:r w:rsidRPr="0068390D">
        <w:rPr>
          <w:i/>
          <w:iCs/>
          <w:color w:val="auto"/>
          <w:lang w:val="fr-FR"/>
        </w:rPr>
        <w:t>J.S.</w:t>
      </w:r>
      <w:r w:rsidRPr="0068390D">
        <w:rPr>
          <w:color w:val="auto"/>
          <w:lang w:val="fr-FR"/>
        </w:rPr>
        <w:t>, 2023 QCCS 895, par.</w:t>
      </w:r>
      <w:r w:rsidR="00022CFE">
        <w:rPr>
          <w:color w:val="auto"/>
          <w:lang w:val="fr-FR"/>
        </w:rPr>
        <w:t> </w:t>
      </w:r>
      <w:r w:rsidRPr="0068390D">
        <w:rPr>
          <w:color w:val="auto"/>
          <w:lang w:val="fr-FR"/>
        </w:rPr>
        <w:t>83 (80h : 2</w:t>
      </w:r>
      <w:r w:rsidR="00276E85">
        <w:rPr>
          <w:color w:val="auto"/>
          <w:lang w:val="fr-FR"/>
        </w:rPr>
        <w:t> </w:t>
      </w:r>
      <w:r w:rsidRPr="0068390D">
        <w:rPr>
          <w:color w:val="auto"/>
          <w:lang w:val="fr-FR"/>
        </w:rPr>
        <w:t xml:space="preserve">mois); </w:t>
      </w:r>
      <w:r w:rsidRPr="0068390D">
        <w:rPr>
          <w:i/>
          <w:iCs/>
          <w:color w:val="auto"/>
          <w:lang w:val="fr-FR"/>
        </w:rPr>
        <w:t>R.</w:t>
      </w:r>
      <w:r w:rsidR="00276E85">
        <w:rPr>
          <w:i/>
          <w:iCs/>
          <w:color w:val="auto"/>
          <w:lang w:val="fr-FR"/>
        </w:rPr>
        <w:t> </w:t>
      </w:r>
      <w:r w:rsidRPr="0068390D">
        <w:rPr>
          <w:i/>
          <w:iCs/>
          <w:color w:val="auto"/>
          <w:lang w:val="fr-FR"/>
        </w:rPr>
        <w:t>c.</w:t>
      </w:r>
      <w:r w:rsidR="00276E85">
        <w:rPr>
          <w:i/>
          <w:iCs/>
          <w:color w:val="auto"/>
          <w:lang w:val="fr-FR"/>
        </w:rPr>
        <w:t> </w:t>
      </w:r>
      <w:r w:rsidRPr="0068390D">
        <w:rPr>
          <w:i/>
          <w:iCs/>
          <w:color w:val="auto"/>
          <w:lang w:val="fr-FR"/>
        </w:rPr>
        <w:t>Vasquez</w:t>
      </w:r>
      <w:r w:rsidR="00276E85">
        <w:rPr>
          <w:i/>
          <w:iCs/>
          <w:color w:val="auto"/>
          <w:lang w:val="fr-FR"/>
        </w:rPr>
        <w:t> </w:t>
      </w:r>
      <w:r w:rsidRPr="0068390D">
        <w:rPr>
          <w:i/>
          <w:iCs/>
          <w:color w:val="auto"/>
          <w:lang w:val="fr-FR"/>
        </w:rPr>
        <w:t>Martinez</w:t>
      </w:r>
      <w:r w:rsidRPr="0068390D">
        <w:rPr>
          <w:color w:val="auto"/>
          <w:lang w:val="fr-FR"/>
        </w:rPr>
        <w:t>, 2022</w:t>
      </w:r>
      <w:r w:rsidR="00022CFE">
        <w:rPr>
          <w:color w:val="auto"/>
          <w:lang w:val="fr-FR"/>
        </w:rPr>
        <w:t> </w:t>
      </w:r>
      <w:r w:rsidRPr="0068390D">
        <w:rPr>
          <w:color w:val="auto"/>
          <w:lang w:val="fr-FR"/>
        </w:rPr>
        <w:t>QCCQ</w:t>
      </w:r>
      <w:r w:rsidR="00022CFE">
        <w:rPr>
          <w:color w:val="auto"/>
          <w:lang w:val="fr-FR"/>
        </w:rPr>
        <w:t> </w:t>
      </w:r>
      <w:r w:rsidRPr="0068390D">
        <w:rPr>
          <w:color w:val="auto"/>
          <w:lang w:val="fr-FR"/>
        </w:rPr>
        <w:t>61, par. 48 (40h :1</w:t>
      </w:r>
      <w:r w:rsidR="00276E85">
        <w:rPr>
          <w:color w:val="auto"/>
          <w:lang w:val="fr-FR"/>
        </w:rPr>
        <w:t> </w:t>
      </w:r>
      <w:r w:rsidRPr="0068390D">
        <w:rPr>
          <w:color w:val="auto"/>
          <w:lang w:val="fr-FR"/>
        </w:rPr>
        <w:t>mois).</w:t>
      </w:r>
    </w:p>
    <w:p w14:paraId="578F1E25" w14:textId="77777777" w:rsidR="00022CFE" w:rsidRDefault="00022CFE">
      <w:pPr>
        <w:spacing w:line="240" w:lineRule="auto"/>
        <w:rPr>
          <w:rFonts w:cs="Arial"/>
          <w:kern w:val="28"/>
          <w:szCs w:val="24"/>
          <w:lang w:val="fr-FR" w:eastAsia="en-US"/>
        </w:rPr>
      </w:pPr>
      <w:r>
        <w:rPr>
          <w:lang w:val="fr-FR"/>
        </w:rPr>
        <w:br w:type="page"/>
      </w:r>
    </w:p>
    <w:p w14:paraId="2DCCD6A9" w14:textId="715DC92B" w:rsidR="00E56098" w:rsidRPr="0068390D" w:rsidRDefault="00E56098" w:rsidP="00022CFE">
      <w:pPr>
        <w:pStyle w:val="JgtParagraphe"/>
        <w:numPr>
          <w:ilvl w:val="0"/>
          <w:numId w:val="18"/>
        </w:numPr>
        <w:spacing w:before="160" w:after="160" w:line="280" w:lineRule="exact"/>
        <w:rPr>
          <w:color w:val="auto"/>
        </w:rPr>
      </w:pPr>
      <w:r w:rsidRPr="0068390D">
        <w:rPr>
          <w:color w:val="auto"/>
          <w:lang w:val="fr-FR"/>
        </w:rPr>
        <w:t>L’expérience judiciaire laisse penser que plusieurs décisions sur la peine non rapportées déterminent une certaine équivalence entre « heures de travaux communautaires » et « emprisonnement ». En effet, on peut penser que cette équivalence soit utile comme facteur pour établir la durée d’un emprisonnement infligé en raison du défaut d’accomplir les travaux, laquelle serait tributaire du nombre d’heures qui n’ont pas été accomplies, toutes les autres considérations étant, par ailleurs, égales.</w:t>
      </w:r>
      <w:r>
        <w:rPr>
          <w:color w:val="auto"/>
          <w:lang w:val="fr-FR"/>
        </w:rPr>
        <w:t xml:space="preserve"> </w:t>
      </w:r>
      <w:r w:rsidRPr="0068390D">
        <w:rPr>
          <w:color w:val="auto"/>
          <w:lang w:val="fr-FR"/>
        </w:rPr>
        <w:t>Il faut aussi rappeler que</w:t>
      </w:r>
      <w:r>
        <w:rPr>
          <w:color w:val="auto"/>
          <w:lang w:val="fr-FR"/>
        </w:rPr>
        <w:t>,</w:t>
      </w:r>
      <w:r w:rsidRPr="0068390D">
        <w:rPr>
          <w:color w:val="auto"/>
          <w:lang w:val="fr-FR"/>
        </w:rPr>
        <w:t xml:space="preserve"> dans l’arrêt </w:t>
      </w:r>
      <w:r w:rsidRPr="0068390D">
        <w:rPr>
          <w:i/>
          <w:iCs/>
          <w:color w:val="auto"/>
          <w:lang w:val="fr-FR"/>
        </w:rPr>
        <w:t>Quirion</w:t>
      </w:r>
      <w:r w:rsidRPr="0068390D">
        <w:rPr>
          <w:color w:val="auto"/>
          <w:lang w:val="fr-FR"/>
        </w:rPr>
        <w:t>, la Cour a néanmoins reconnu que «</w:t>
      </w:r>
      <w:r w:rsidR="004F1A76">
        <w:rPr>
          <w:color w:val="auto"/>
          <w:lang w:val="fr-FR"/>
        </w:rPr>
        <w:t> </w:t>
      </w:r>
      <w:r w:rsidRPr="0068390D">
        <w:rPr>
          <w:color w:val="auto"/>
          <w:lang w:val="fr-FR"/>
        </w:rPr>
        <w:t>les travaux communautaires [sont] souvent ordonnés en remplacement d</w:t>
      </w:r>
      <w:r>
        <w:rPr>
          <w:color w:val="auto"/>
          <w:lang w:val="fr-FR"/>
        </w:rPr>
        <w:t>’</w:t>
      </w:r>
      <w:r w:rsidRPr="0068390D">
        <w:rPr>
          <w:color w:val="auto"/>
          <w:lang w:val="fr-FR"/>
        </w:rPr>
        <w:t>une courte peine d</w:t>
      </w:r>
      <w:r>
        <w:rPr>
          <w:color w:val="auto"/>
          <w:lang w:val="fr-FR"/>
        </w:rPr>
        <w:t>’</w:t>
      </w:r>
      <w:r w:rsidRPr="0068390D">
        <w:rPr>
          <w:color w:val="auto"/>
          <w:lang w:val="fr-FR"/>
        </w:rPr>
        <w:t>emprisonnement</w:t>
      </w:r>
      <w:r w:rsidR="004F1A76">
        <w:rPr>
          <w:color w:val="auto"/>
          <w:lang w:val="fr-FR"/>
        </w:rPr>
        <w:t> </w:t>
      </w:r>
      <w:r w:rsidRPr="0068390D">
        <w:rPr>
          <w:color w:val="auto"/>
          <w:lang w:val="fr-FR"/>
        </w:rPr>
        <w:t xml:space="preserve">» : </w:t>
      </w:r>
      <w:r w:rsidRPr="0068390D">
        <w:rPr>
          <w:i/>
          <w:iCs/>
          <w:color w:val="auto"/>
        </w:rPr>
        <w:t>R.</w:t>
      </w:r>
      <w:r w:rsidR="00022CFE">
        <w:rPr>
          <w:i/>
          <w:iCs/>
          <w:color w:val="auto"/>
        </w:rPr>
        <w:t> </w:t>
      </w:r>
      <w:r w:rsidRPr="0068390D">
        <w:rPr>
          <w:i/>
          <w:iCs/>
          <w:color w:val="auto"/>
        </w:rPr>
        <w:t>c.</w:t>
      </w:r>
      <w:r w:rsidR="00022CFE">
        <w:rPr>
          <w:i/>
          <w:iCs/>
          <w:color w:val="auto"/>
        </w:rPr>
        <w:t> </w:t>
      </w:r>
      <w:r w:rsidRPr="0068390D">
        <w:rPr>
          <w:i/>
          <w:iCs/>
          <w:color w:val="auto"/>
        </w:rPr>
        <w:t>Quirion</w:t>
      </w:r>
      <w:r w:rsidRPr="0068390D">
        <w:rPr>
          <w:color w:val="auto"/>
        </w:rPr>
        <w:t>, 1993 CanLII 3603 (C.A.Q.).</w:t>
      </w:r>
    </w:p>
    <w:p w14:paraId="2653EA09" w14:textId="08DCA77E" w:rsidR="00E56098" w:rsidRPr="0068390D" w:rsidRDefault="00E56098" w:rsidP="00022CFE">
      <w:pPr>
        <w:pStyle w:val="JgtParagraphe"/>
        <w:numPr>
          <w:ilvl w:val="0"/>
          <w:numId w:val="18"/>
        </w:numPr>
        <w:spacing w:before="160" w:after="160" w:line="280" w:lineRule="exact"/>
        <w:rPr>
          <w:color w:val="auto"/>
        </w:rPr>
      </w:pPr>
      <w:r w:rsidRPr="0068390D">
        <w:rPr>
          <w:color w:val="auto"/>
          <w:lang w:val="fr-FR"/>
        </w:rPr>
        <w:t xml:space="preserve"> Cela dit, cette proposition comporte de sérieux bémols. En effet, dans l’arrêt</w:t>
      </w:r>
      <w:r w:rsidR="004F1A76">
        <w:rPr>
          <w:color w:val="auto"/>
          <w:lang w:val="fr-FR"/>
        </w:rPr>
        <w:t> </w:t>
      </w:r>
      <w:r w:rsidRPr="0068390D">
        <w:rPr>
          <w:i/>
          <w:iCs/>
          <w:color w:val="auto"/>
          <w:lang w:val="fr-FR"/>
        </w:rPr>
        <w:t>Pelletier</w:t>
      </w:r>
      <w:r w:rsidRPr="0068390D">
        <w:rPr>
          <w:color w:val="auto"/>
          <w:lang w:val="fr-FR"/>
        </w:rPr>
        <w:t xml:space="preserve">, </w:t>
      </w:r>
      <w:r w:rsidRPr="0068390D">
        <w:rPr>
          <w:color w:val="auto"/>
        </w:rPr>
        <w:t>la Cour a exprimé que c’est un « exercice douteux que d</w:t>
      </w:r>
      <w:r>
        <w:rPr>
          <w:color w:val="auto"/>
        </w:rPr>
        <w:t>’</w:t>
      </w:r>
      <w:r w:rsidRPr="0068390D">
        <w:rPr>
          <w:color w:val="auto"/>
        </w:rPr>
        <w:t>essayer de compenser les heures de travaux communautaires exécutées en réduisant [une] peine d</w:t>
      </w:r>
      <w:r>
        <w:rPr>
          <w:color w:val="auto"/>
        </w:rPr>
        <w:t>’</w:t>
      </w:r>
      <w:r w:rsidRPr="0068390D">
        <w:rPr>
          <w:color w:val="auto"/>
        </w:rPr>
        <w:t>emprisonnement […].</w:t>
      </w:r>
      <w:r>
        <w:rPr>
          <w:color w:val="auto"/>
        </w:rPr>
        <w:t xml:space="preserve"> </w:t>
      </w:r>
      <w:r w:rsidRPr="0068390D">
        <w:rPr>
          <w:color w:val="auto"/>
        </w:rPr>
        <w:t xml:space="preserve">Ces deux peines ne sont pas de même nature et se prêtent difficilement au jeu de la compensation » : </w:t>
      </w:r>
      <w:r w:rsidRPr="0068390D">
        <w:rPr>
          <w:i/>
          <w:iCs/>
          <w:color w:val="auto"/>
          <w:lang w:val="fr-FR"/>
        </w:rPr>
        <w:t>R. </w:t>
      </w:r>
      <w:r w:rsidRPr="0068390D">
        <w:rPr>
          <w:color w:val="auto"/>
          <w:lang w:val="fr-FR"/>
        </w:rPr>
        <w:t>c. </w:t>
      </w:r>
      <w:r w:rsidRPr="0068390D">
        <w:rPr>
          <w:i/>
          <w:iCs/>
          <w:color w:val="auto"/>
          <w:lang w:val="fr-FR"/>
        </w:rPr>
        <w:t>Pelletier</w:t>
      </w:r>
      <w:r w:rsidRPr="0068390D">
        <w:rPr>
          <w:color w:val="auto"/>
          <w:lang w:val="fr-FR"/>
        </w:rPr>
        <w:t>,</w:t>
      </w:r>
      <w:r w:rsidR="00022CFE">
        <w:rPr>
          <w:color w:val="auto"/>
          <w:lang w:val="fr-FR"/>
        </w:rPr>
        <w:t xml:space="preserve"> </w:t>
      </w:r>
      <w:r w:rsidRPr="0068390D">
        <w:rPr>
          <w:color w:val="auto"/>
          <w:lang w:val="fr-FR"/>
        </w:rPr>
        <w:t>1991 CanLII 3385 (C.A.Q.)</w:t>
      </w:r>
      <w:r w:rsidRPr="0068390D">
        <w:rPr>
          <w:color w:val="auto"/>
        </w:rPr>
        <w:t xml:space="preserve">. Toujours dans l’arrêt </w:t>
      </w:r>
      <w:r w:rsidRPr="0068390D">
        <w:rPr>
          <w:i/>
          <w:iCs/>
          <w:color w:val="auto"/>
        </w:rPr>
        <w:t>Quirion</w:t>
      </w:r>
      <w:r w:rsidRPr="0068390D">
        <w:rPr>
          <w:color w:val="auto"/>
        </w:rPr>
        <w:t xml:space="preserve">, précité, la Cour a également reconnu que ces travaux demeurent avant tout l’accessoire à une autre peine (absolution, probation, emprisonnement discontinu) et, reprenant l’arrêt </w:t>
      </w:r>
      <w:r w:rsidRPr="0068390D">
        <w:rPr>
          <w:i/>
          <w:iCs/>
          <w:color w:val="auto"/>
        </w:rPr>
        <w:t>Pelletier</w:t>
      </w:r>
      <w:r w:rsidRPr="0068390D">
        <w:rPr>
          <w:color w:val="auto"/>
        </w:rPr>
        <w:t>, elle ajoute « qu</w:t>
      </w:r>
      <w:r>
        <w:rPr>
          <w:color w:val="auto"/>
        </w:rPr>
        <w:t>’</w:t>
      </w:r>
      <w:r w:rsidRPr="0068390D">
        <w:rPr>
          <w:color w:val="auto"/>
        </w:rPr>
        <w:t>une peine d</w:t>
      </w:r>
      <w:r>
        <w:rPr>
          <w:color w:val="auto"/>
        </w:rPr>
        <w:t>’</w:t>
      </w:r>
      <w:r w:rsidRPr="0068390D">
        <w:rPr>
          <w:color w:val="auto"/>
        </w:rPr>
        <w:t xml:space="preserve">emprisonnement ne peut être compensée par des travaux communautaires ». Au surplus, s’ils participent à l’objectif de la dissuasion spécifique, il est douteux qu’ils soient utiles pour l’objectif de l’exemplarité (ou de la dénonciation et de la dissuasion générale): </w:t>
      </w:r>
      <w:r w:rsidRPr="0068390D">
        <w:rPr>
          <w:i/>
          <w:iCs/>
          <w:color w:val="auto"/>
        </w:rPr>
        <w:t>R.</w:t>
      </w:r>
      <w:r w:rsidR="00022CFE">
        <w:rPr>
          <w:i/>
          <w:iCs/>
          <w:color w:val="auto"/>
        </w:rPr>
        <w:t> </w:t>
      </w:r>
      <w:r w:rsidRPr="0068390D">
        <w:rPr>
          <w:i/>
          <w:iCs/>
          <w:color w:val="auto"/>
        </w:rPr>
        <w:t>c.</w:t>
      </w:r>
      <w:r w:rsidR="00022CFE">
        <w:rPr>
          <w:i/>
          <w:iCs/>
          <w:color w:val="auto"/>
        </w:rPr>
        <w:t> </w:t>
      </w:r>
      <w:r w:rsidRPr="0068390D">
        <w:rPr>
          <w:i/>
          <w:iCs/>
          <w:color w:val="auto"/>
        </w:rPr>
        <w:t>Quirion</w:t>
      </w:r>
      <w:r w:rsidRPr="0068390D">
        <w:rPr>
          <w:color w:val="auto"/>
        </w:rPr>
        <w:t xml:space="preserve">, 1993 CanLII 3603 (C.A.Q.) (sur la dissuasion spécifique, voir aussi </w:t>
      </w:r>
      <w:r w:rsidRPr="0068390D">
        <w:rPr>
          <w:i/>
          <w:iCs/>
          <w:color w:val="auto"/>
        </w:rPr>
        <w:t>R.</w:t>
      </w:r>
      <w:r w:rsidR="00022CFE">
        <w:rPr>
          <w:i/>
          <w:iCs/>
          <w:color w:val="auto"/>
        </w:rPr>
        <w:t> </w:t>
      </w:r>
      <w:r w:rsidRPr="0068390D">
        <w:rPr>
          <w:i/>
          <w:iCs/>
          <w:color w:val="auto"/>
        </w:rPr>
        <w:t>c.</w:t>
      </w:r>
      <w:r w:rsidR="00022CFE">
        <w:rPr>
          <w:i/>
          <w:iCs/>
          <w:color w:val="auto"/>
        </w:rPr>
        <w:t> </w:t>
      </w:r>
      <w:r w:rsidRPr="0068390D">
        <w:rPr>
          <w:i/>
          <w:iCs/>
          <w:color w:val="auto"/>
        </w:rPr>
        <w:t>M.B</w:t>
      </w:r>
      <w:r w:rsidRPr="0068390D">
        <w:rPr>
          <w:color w:val="auto"/>
        </w:rPr>
        <w:t>., 2022 QCCA 1515, par. 18).</w:t>
      </w:r>
    </w:p>
    <w:p w14:paraId="7C463089" w14:textId="77777777" w:rsidR="00E56098" w:rsidRDefault="00E56098" w:rsidP="00022CFE">
      <w:pPr>
        <w:pStyle w:val="JgtParagraphe"/>
        <w:numPr>
          <w:ilvl w:val="0"/>
          <w:numId w:val="18"/>
        </w:numPr>
        <w:spacing w:before="160" w:after="160" w:line="280" w:lineRule="exact"/>
        <w:rPr>
          <w:color w:val="auto"/>
        </w:rPr>
      </w:pPr>
      <w:r w:rsidRPr="0068390D">
        <w:rPr>
          <w:color w:val="auto"/>
        </w:rPr>
        <w:t xml:space="preserve">En l’espèce, le juge souhaitait avant tout appuyer l’idée de donner à la peine une sévérité accrue. En ce sens, l’arrêt </w:t>
      </w:r>
      <w:r w:rsidRPr="0068390D">
        <w:rPr>
          <w:i/>
          <w:color w:val="auto"/>
        </w:rPr>
        <w:t xml:space="preserve">R. c. </w:t>
      </w:r>
      <w:r w:rsidRPr="0068390D">
        <w:rPr>
          <w:i/>
          <w:iCs/>
          <w:color w:val="auto"/>
        </w:rPr>
        <w:t>Tapp</w:t>
      </w:r>
      <w:r w:rsidRPr="0068390D">
        <w:rPr>
          <w:color w:val="auto"/>
        </w:rPr>
        <w:t xml:space="preserve">, 1992 CanLII 4012 (C.A.Q.) a écrit que </w:t>
      </w:r>
      <w:r w:rsidRPr="0068390D">
        <w:rPr>
          <w:color w:val="auto"/>
          <w:lang w:val="fr-FR"/>
        </w:rPr>
        <w:t>« lorsqu</w:t>
      </w:r>
      <w:r>
        <w:rPr>
          <w:color w:val="auto"/>
          <w:lang w:val="fr-FR"/>
        </w:rPr>
        <w:t>’</w:t>
      </w:r>
      <w:r w:rsidRPr="0068390D">
        <w:rPr>
          <w:color w:val="auto"/>
          <w:lang w:val="fr-FR"/>
        </w:rPr>
        <w:t>un accusé s</w:t>
      </w:r>
      <w:r>
        <w:rPr>
          <w:color w:val="auto"/>
          <w:lang w:val="fr-FR"/>
        </w:rPr>
        <w:t>’</w:t>
      </w:r>
      <w:r w:rsidRPr="0068390D">
        <w:rPr>
          <w:color w:val="auto"/>
          <w:lang w:val="fr-FR"/>
        </w:rPr>
        <w:t>est pris en main, les travaux communautaires constituent souvent un geste de réparation souhaitable qui va dans le sens de l</w:t>
      </w:r>
      <w:r>
        <w:rPr>
          <w:color w:val="auto"/>
          <w:lang w:val="fr-FR"/>
        </w:rPr>
        <w:t>’</w:t>
      </w:r>
      <w:r w:rsidRPr="0068390D">
        <w:rPr>
          <w:color w:val="auto"/>
          <w:lang w:val="fr-FR"/>
        </w:rPr>
        <w:t>exemplarité positive »</w:t>
      </w:r>
      <w:r w:rsidRPr="0068390D">
        <w:rPr>
          <w:color w:val="auto"/>
        </w:rPr>
        <w:t>.</w:t>
      </w:r>
    </w:p>
    <w:p w14:paraId="2BC0ECBC" w14:textId="52B3B025" w:rsidR="00E56098" w:rsidRPr="00022CFE" w:rsidRDefault="00E56098" w:rsidP="00022CFE">
      <w:pPr>
        <w:pStyle w:val="JgtParagraphe"/>
        <w:numPr>
          <w:ilvl w:val="0"/>
          <w:numId w:val="18"/>
        </w:numPr>
        <w:spacing w:before="160" w:after="160" w:line="280" w:lineRule="exact"/>
        <w:rPr>
          <w:color w:val="auto"/>
        </w:rPr>
      </w:pPr>
      <w:r w:rsidRPr="0068390D">
        <w:rPr>
          <w:color w:val="auto"/>
        </w:rPr>
        <w:t xml:space="preserve">En d’autres termes, la Cour d’appel n’a jamais avalisé une quelconque équivalence mathématique entre les travaux communautaires et le temps d’incarcération. On constate néanmoins que cette mesure peut ajouter un poids à la peine. Toutefois, même s’il était possible d’établir une équivalence, il est douteux que cette mesure puisse atteindre six mois d’emprisonnement. Ainsi, au mieux, l’ajout de 240 heures de travaux communautaires exprime une composante de contrainte et d’exemplarité. Cela rejoint en quelque sorte l’idée que l’absolution conditionnelle peut être adaptée </w:t>
      </w:r>
      <w:r w:rsidRPr="00022CFE">
        <w:rPr>
          <w:color w:val="auto"/>
        </w:rPr>
        <w:t xml:space="preserve">et encadrer des </w:t>
      </w:r>
      <w:bookmarkStart w:id="16" w:name="signet3"/>
      <w:bookmarkEnd w:id="16"/>
      <w:r w:rsidRPr="00022CFE">
        <w:rPr>
          <w:color w:val="auto"/>
        </w:rPr>
        <w:t xml:space="preserve">situations plus sérieuses : </w:t>
      </w:r>
      <w:r w:rsidRPr="00022CFE">
        <w:rPr>
          <w:i/>
          <w:color w:val="auto"/>
        </w:rPr>
        <w:t>R. c. </w:t>
      </w:r>
      <w:r w:rsidRPr="00022CFE">
        <w:rPr>
          <w:i/>
          <w:iCs/>
          <w:color w:val="auto"/>
        </w:rPr>
        <w:t>Ferjuste</w:t>
      </w:r>
      <w:r w:rsidRPr="00022CFE">
        <w:rPr>
          <w:color w:val="auto"/>
        </w:rPr>
        <w:t xml:space="preserve">, 2026 QCCA 334, par. 58; </w:t>
      </w:r>
      <w:r w:rsidRPr="00022CFE">
        <w:rPr>
          <w:i/>
          <w:iCs/>
          <w:color w:val="auto"/>
        </w:rPr>
        <w:t>Québec (Procureur</w:t>
      </w:r>
      <w:r w:rsidR="00BE3B7C">
        <w:rPr>
          <w:i/>
          <w:iCs/>
          <w:color w:val="auto"/>
        </w:rPr>
        <w:t> </w:t>
      </w:r>
      <w:r w:rsidRPr="00022CFE">
        <w:rPr>
          <w:i/>
          <w:iCs/>
          <w:color w:val="auto"/>
        </w:rPr>
        <w:t>général) c. Senneville</w:t>
      </w:r>
      <w:r w:rsidRPr="00022CFE">
        <w:rPr>
          <w:color w:val="auto"/>
        </w:rPr>
        <w:t>, 2025 CSC 33, par. 99.</w:t>
      </w:r>
    </w:p>
    <w:p w14:paraId="2346B09B" w14:textId="77777777" w:rsidR="00E56098" w:rsidRDefault="00E56098" w:rsidP="00022CFE">
      <w:pPr>
        <w:pStyle w:val="JgtParagraphe"/>
        <w:numPr>
          <w:ilvl w:val="0"/>
          <w:numId w:val="18"/>
        </w:numPr>
        <w:spacing w:before="160" w:after="160" w:line="280" w:lineRule="exact"/>
        <w:rPr>
          <w:color w:val="auto"/>
        </w:rPr>
      </w:pPr>
      <w:r w:rsidRPr="0068390D">
        <w:rPr>
          <w:color w:val="auto"/>
        </w:rPr>
        <w:t xml:space="preserve">Dans le contexte du présent dossier, compte tenu de l’objectif du juge de préserver la réinsertion sociale de l’intimée, l’appelant ne démontre pas que l’erreur du juge a eu un impact sur la peine : </w:t>
      </w:r>
      <w:r w:rsidRPr="0068390D">
        <w:rPr>
          <w:i/>
          <w:iCs/>
          <w:color w:val="auto"/>
        </w:rPr>
        <w:t>R. c. Lacasse</w:t>
      </w:r>
      <w:r w:rsidRPr="0068390D">
        <w:rPr>
          <w:color w:val="auto"/>
        </w:rPr>
        <w:t>, [2015] 3 R.C.S. 1089.</w:t>
      </w:r>
    </w:p>
    <w:p w14:paraId="69F1E8A6" w14:textId="672013AF" w:rsidR="00E56098" w:rsidRPr="0068390D" w:rsidRDefault="00E56098" w:rsidP="0085588A">
      <w:pPr>
        <w:pStyle w:val="JgtPositionniv2"/>
        <w:spacing w:line="280" w:lineRule="exact"/>
      </w:pPr>
      <w:r w:rsidRPr="0068390D">
        <w:t>Conclusion</w:t>
      </w:r>
    </w:p>
    <w:p w14:paraId="007706F1" w14:textId="77777777" w:rsidR="00E56098" w:rsidRDefault="00E56098" w:rsidP="0085588A">
      <w:pPr>
        <w:pStyle w:val="JgtParagraphe"/>
        <w:numPr>
          <w:ilvl w:val="0"/>
          <w:numId w:val="18"/>
        </w:numPr>
        <w:spacing w:line="280" w:lineRule="exact"/>
        <w:rPr>
          <w:color w:val="auto"/>
        </w:rPr>
      </w:pPr>
      <w:r w:rsidRPr="0068390D">
        <w:rPr>
          <w:color w:val="auto"/>
        </w:rPr>
        <w:t>Je propose donc à la Cour de rejeter l’appel.</w:t>
      </w:r>
    </w:p>
    <w:tbl>
      <w:tblPr>
        <w:tblW w:w="9360" w:type="dxa"/>
        <w:tblInd w:w="70" w:type="dxa"/>
        <w:tblLayout w:type="fixed"/>
        <w:tblCellMar>
          <w:left w:w="70" w:type="dxa"/>
          <w:right w:w="70" w:type="dxa"/>
        </w:tblCellMar>
        <w:tblLook w:val="0000" w:firstRow="0" w:lastRow="0" w:firstColumn="0" w:lastColumn="0" w:noHBand="0" w:noVBand="0"/>
      </w:tblPr>
      <w:tblGrid>
        <w:gridCol w:w="4735"/>
        <w:gridCol w:w="4625"/>
      </w:tblGrid>
      <w:tr w:rsidR="00E56098" w:rsidRPr="0068390D" w14:paraId="25C046EA" w14:textId="77777777" w:rsidTr="0085588A">
        <w:trPr>
          <w:cantSplit/>
          <w:trHeight w:val="513"/>
        </w:trPr>
        <w:tc>
          <w:tcPr>
            <w:tcW w:w="9360" w:type="dxa"/>
            <w:gridSpan w:val="2"/>
          </w:tcPr>
          <w:p w14:paraId="741005ED" w14:textId="77777777" w:rsidR="00E56098" w:rsidRPr="0068390D" w:rsidRDefault="00E56098" w:rsidP="007D7B37"/>
        </w:tc>
      </w:tr>
      <w:tr w:rsidR="00E56098" w:rsidRPr="0068390D" w14:paraId="35145111" w14:textId="77777777" w:rsidTr="0085588A">
        <w:tblPrEx>
          <w:tblCellMar>
            <w:left w:w="0" w:type="dxa"/>
            <w:right w:w="0" w:type="dxa"/>
          </w:tblCellMar>
        </w:tblPrEx>
        <w:trPr>
          <w:cantSplit/>
          <w:trHeight w:val="277"/>
        </w:trPr>
        <w:tc>
          <w:tcPr>
            <w:tcW w:w="4735" w:type="dxa"/>
            <w:vMerge w:val="restart"/>
          </w:tcPr>
          <w:p w14:paraId="5C6D558C" w14:textId="77777777" w:rsidR="00E56098" w:rsidRPr="0068390D" w:rsidRDefault="00E56098" w:rsidP="007D7B37"/>
        </w:tc>
        <w:tc>
          <w:tcPr>
            <w:tcW w:w="4625" w:type="dxa"/>
            <w:tcBorders>
              <w:bottom w:val="single" w:sz="8" w:space="0" w:color="auto"/>
            </w:tcBorders>
          </w:tcPr>
          <w:p w14:paraId="6977D431" w14:textId="77777777" w:rsidR="00E56098" w:rsidRPr="0068390D" w:rsidRDefault="00E56098" w:rsidP="007D7B37"/>
        </w:tc>
      </w:tr>
      <w:tr w:rsidR="00E56098" w:rsidRPr="0068390D" w14:paraId="46C11204" w14:textId="77777777" w:rsidTr="0085588A">
        <w:tblPrEx>
          <w:tblCellMar>
            <w:left w:w="0" w:type="dxa"/>
            <w:right w:w="0" w:type="dxa"/>
          </w:tblCellMar>
        </w:tblPrEx>
        <w:trPr>
          <w:cantSplit/>
          <w:trHeight w:val="276"/>
        </w:trPr>
        <w:tc>
          <w:tcPr>
            <w:tcW w:w="4735" w:type="dxa"/>
            <w:vMerge/>
          </w:tcPr>
          <w:p w14:paraId="6776B6EA" w14:textId="77777777" w:rsidR="00E56098" w:rsidRPr="0068390D" w:rsidRDefault="00E56098" w:rsidP="007D7B37"/>
        </w:tc>
        <w:tc>
          <w:tcPr>
            <w:tcW w:w="4625" w:type="dxa"/>
          </w:tcPr>
          <w:p w14:paraId="5054229F" w14:textId="77777777" w:rsidR="00E56098" w:rsidRPr="0068390D" w:rsidRDefault="00E56098" w:rsidP="007D7B37">
            <w:r w:rsidRPr="0068390D">
              <w:t>MARTIN VAUCLAIR, J.C.A.</w:t>
            </w:r>
          </w:p>
        </w:tc>
      </w:tr>
      <w:bookmarkEnd w:id="12"/>
    </w:tbl>
    <w:p w14:paraId="55F682D1" w14:textId="77777777" w:rsidR="00740A17" w:rsidRDefault="00740A17" w:rsidP="004D126E"/>
    <w:sectPr w:rsidR="00740A17" w:rsidSect="00E56098">
      <w:headerReference w:type="default" r:id="rId9"/>
      <w:pgSz w:w="12242" w:h="15842" w:code="1"/>
      <w:pgMar w:top="1440" w:right="1008" w:bottom="1440"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6C6B" w14:textId="77777777" w:rsidR="009C31A9" w:rsidRDefault="009C31A9">
      <w:r>
        <w:separator/>
      </w:r>
    </w:p>
  </w:endnote>
  <w:endnote w:type="continuationSeparator" w:id="0">
    <w:p w14:paraId="61A07A1C" w14:textId="77777777" w:rsidR="009C31A9" w:rsidRDefault="009C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AFD3" w14:textId="77777777" w:rsidR="009C31A9" w:rsidRDefault="009C31A9">
      <w:r>
        <w:separator/>
      </w:r>
    </w:p>
  </w:footnote>
  <w:footnote w:type="continuationSeparator" w:id="0">
    <w:p w14:paraId="656E6F23" w14:textId="77777777" w:rsidR="009C31A9" w:rsidRDefault="009C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3DCB" w14:textId="77777777" w:rsidR="00E56098" w:rsidRDefault="00E56098" w:rsidP="005C5C60">
    <w:pPr>
      <w:tabs>
        <w:tab w:val="center" w:pos="4709"/>
        <w:tab w:val="right" w:pos="9360"/>
      </w:tabs>
      <w:spacing w:line="360" w:lineRule="auto"/>
      <w:ind w:right="524"/>
    </w:pPr>
    <w:r>
      <w:t>500-10-700232-257</w:t>
    </w:r>
    <w:r w:rsidRPr="007462D6">
      <w:t xml:space="preserve"> </w:t>
    </w:r>
    <w:r>
      <w:tab/>
    </w:r>
    <w:r>
      <w:tab/>
      <w:t xml:space="preserve">PAGE : </w:t>
    </w:r>
    <w:r>
      <w:fldChar w:fldCharType="begin"/>
    </w:r>
    <w:r>
      <w:instrText xml:space="preserve"> PAGE </w:instrText>
    </w:r>
    <w:r>
      <w:fldChar w:fldCharType="separate"/>
    </w:r>
    <w:r>
      <w:t>1</w:t>
    </w:r>
    <w:r>
      <w:fldChar w:fldCharType="end"/>
    </w:r>
  </w:p>
  <w:p w14:paraId="4AB5675E" w14:textId="77777777" w:rsidR="0085588A" w:rsidRDefault="0085588A" w:rsidP="005C5C60">
    <w:pPr>
      <w:tabs>
        <w:tab w:val="center" w:pos="4709"/>
        <w:tab w:val="right" w:pos="9360"/>
      </w:tabs>
      <w:spacing w:line="360" w:lineRule="auto"/>
      <w:ind w:right="5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5FC" w14:textId="617F280F" w:rsidR="007E33E4" w:rsidRDefault="004D126E" w:rsidP="00DB2119">
    <w:pPr>
      <w:tabs>
        <w:tab w:val="center" w:pos="4709"/>
        <w:tab w:val="right" w:pos="9360"/>
      </w:tabs>
      <w:spacing w:line="360" w:lineRule="auto"/>
      <w:ind w:right="524"/>
    </w:pPr>
    <w:bookmarkStart w:id="17" w:name="EntDossier"/>
    <w:r>
      <w:t>500-10-700232-257</w:t>
    </w:r>
    <w:bookmarkEnd w:id="17"/>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5EEDFB76"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005744867">
    <w:abstractNumId w:val="12"/>
  </w:num>
  <w:num w:numId="2" w16cid:durableId="2126729408">
    <w:abstractNumId w:val="12"/>
  </w:num>
  <w:num w:numId="3" w16cid:durableId="1932200708">
    <w:abstractNumId w:val="12"/>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2"/>
  </w:num>
  <w:num w:numId="15" w16cid:durableId="1382091185">
    <w:abstractNumId w:val="12"/>
  </w:num>
  <w:num w:numId="16" w16cid:durableId="1993637402">
    <w:abstractNumId w:val="12"/>
  </w:num>
  <w:num w:numId="17" w16cid:durableId="1263806435">
    <w:abstractNumId w:val="11"/>
  </w:num>
  <w:num w:numId="18" w16cid:durableId="4360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U JUGE"/>
    <w:docVar w:name="MotifJuge3" w:val="MOTIFS DU JUGE"/>
    <w:docVar w:name="NomFamJuge1" w:val="VAUCLAIR"/>
    <w:docVar w:name="NomFamJuge2" w:val="SCHRAGER"/>
    <w:docVar w:name="NomFamJuge3" w:val="HAMILTON"/>
    <w:docVar w:name="NomFamJuge4" w:val="MAILHOT"/>
    <w:docVar w:name="NomFamJuge5" w:val="BAUDOUIN"/>
    <w:docVar w:name="QteJuge1" w:val=", J.C.A."/>
    <w:docVar w:name="QteJuge2" w:val=", J.C.A."/>
    <w:docVar w:name="QteJuge3" w:val=", J.C.A."/>
    <w:docVar w:name="stPremiereFois" w:val="Non"/>
  </w:docVars>
  <w:rsids>
    <w:rsidRoot w:val="004D126E"/>
    <w:rsid w:val="000131E1"/>
    <w:rsid w:val="0002039E"/>
    <w:rsid w:val="00022CFE"/>
    <w:rsid w:val="0004394C"/>
    <w:rsid w:val="00053691"/>
    <w:rsid w:val="000562B2"/>
    <w:rsid w:val="000A7516"/>
    <w:rsid w:val="000B42AF"/>
    <w:rsid w:val="00107212"/>
    <w:rsid w:val="00110B53"/>
    <w:rsid w:val="00112321"/>
    <w:rsid w:val="00117914"/>
    <w:rsid w:val="0013028C"/>
    <w:rsid w:val="00135204"/>
    <w:rsid w:val="0015610F"/>
    <w:rsid w:val="00160B31"/>
    <w:rsid w:val="00170185"/>
    <w:rsid w:val="00181F56"/>
    <w:rsid w:val="00190FA7"/>
    <w:rsid w:val="001972F2"/>
    <w:rsid w:val="001B67F7"/>
    <w:rsid w:val="00205DC4"/>
    <w:rsid w:val="0021548E"/>
    <w:rsid w:val="002273F5"/>
    <w:rsid w:val="00276E85"/>
    <w:rsid w:val="002B4A07"/>
    <w:rsid w:val="002B6359"/>
    <w:rsid w:val="002C4107"/>
    <w:rsid w:val="002E1F0E"/>
    <w:rsid w:val="002E229C"/>
    <w:rsid w:val="002E51F1"/>
    <w:rsid w:val="002F1350"/>
    <w:rsid w:val="002F6136"/>
    <w:rsid w:val="003039FC"/>
    <w:rsid w:val="00322DE0"/>
    <w:rsid w:val="0032363D"/>
    <w:rsid w:val="0033190E"/>
    <w:rsid w:val="00355FBD"/>
    <w:rsid w:val="00361325"/>
    <w:rsid w:val="003701E0"/>
    <w:rsid w:val="00374888"/>
    <w:rsid w:val="00374E40"/>
    <w:rsid w:val="00381A5B"/>
    <w:rsid w:val="00386953"/>
    <w:rsid w:val="00392E75"/>
    <w:rsid w:val="003D487D"/>
    <w:rsid w:val="003E3239"/>
    <w:rsid w:val="003E3E3C"/>
    <w:rsid w:val="00423DF1"/>
    <w:rsid w:val="00425A2F"/>
    <w:rsid w:val="00430C58"/>
    <w:rsid w:val="004331C4"/>
    <w:rsid w:val="0043564D"/>
    <w:rsid w:val="00441C25"/>
    <w:rsid w:val="00446452"/>
    <w:rsid w:val="00472DC8"/>
    <w:rsid w:val="004802EC"/>
    <w:rsid w:val="004813A1"/>
    <w:rsid w:val="004A29F1"/>
    <w:rsid w:val="004A6641"/>
    <w:rsid w:val="004B1E94"/>
    <w:rsid w:val="004B33FF"/>
    <w:rsid w:val="004D126E"/>
    <w:rsid w:val="004D2F69"/>
    <w:rsid w:val="004E4FBA"/>
    <w:rsid w:val="004F1A76"/>
    <w:rsid w:val="00500A95"/>
    <w:rsid w:val="005131F1"/>
    <w:rsid w:val="0051484F"/>
    <w:rsid w:val="00514F40"/>
    <w:rsid w:val="00516B3E"/>
    <w:rsid w:val="005262C9"/>
    <w:rsid w:val="00527923"/>
    <w:rsid w:val="00531D70"/>
    <w:rsid w:val="0053695A"/>
    <w:rsid w:val="00566BF6"/>
    <w:rsid w:val="00583434"/>
    <w:rsid w:val="0058349F"/>
    <w:rsid w:val="005864DC"/>
    <w:rsid w:val="0059512C"/>
    <w:rsid w:val="005A78BF"/>
    <w:rsid w:val="005B6B4C"/>
    <w:rsid w:val="005C7516"/>
    <w:rsid w:val="005D1522"/>
    <w:rsid w:val="005F5F5F"/>
    <w:rsid w:val="00624770"/>
    <w:rsid w:val="0064250B"/>
    <w:rsid w:val="00652A0D"/>
    <w:rsid w:val="006826AA"/>
    <w:rsid w:val="0068356A"/>
    <w:rsid w:val="006A0DB0"/>
    <w:rsid w:val="006A6629"/>
    <w:rsid w:val="006C57FF"/>
    <w:rsid w:val="006F01F3"/>
    <w:rsid w:val="006F5137"/>
    <w:rsid w:val="00740A17"/>
    <w:rsid w:val="00742C08"/>
    <w:rsid w:val="007462D6"/>
    <w:rsid w:val="0074738B"/>
    <w:rsid w:val="0076062E"/>
    <w:rsid w:val="007901CC"/>
    <w:rsid w:val="00790A30"/>
    <w:rsid w:val="007953F3"/>
    <w:rsid w:val="007A7803"/>
    <w:rsid w:val="007B061E"/>
    <w:rsid w:val="007B48D5"/>
    <w:rsid w:val="007D087C"/>
    <w:rsid w:val="007D0F5E"/>
    <w:rsid w:val="007E33E4"/>
    <w:rsid w:val="007E4CC9"/>
    <w:rsid w:val="007F40FD"/>
    <w:rsid w:val="00800D23"/>
    <w:rsid w:val="00816273"/>
    <w:rsid w:val="0082717B"/>
    <w:rsid w:val="00827B04"/>
    <w:rsid w:val="0083032E"/>
    <w:rsid w:val="00841907"/>
    <w:rsid w:val="0085588A"/>
    <w:rsid w:val="0086036A"/>
    <w:rsid w:val="008653A3"/>
    <w:rsid w:val="008657A2"/>
    <w:rsid w:val="00866645"/>
    <w:rsid w:val="00882210"/>
    <w:rsid w:val="00883D03"/>
    <w:rsid w:val="008A6185"/>
    <w:rsid w:val="008C1FE9"/>
    <w:rsid w:val="008C303F"/>
    <w:rsid w:val="008C7DCE"/>
    <w:rsid w:val="008D18FC"/>
    <w:rsid w:val="008D398B"/>
    <w:rsid w:val="008D7E49"/>
    <w:rsid w:val="008E5E9D"/>
    <w:rsid w:val="008F364A"/>
    <w:rsid w:val="008F3F53"/>
    <w:rsid w:val="00913E03"/>
    <w:rsid w:val="009229E9"/>
    <w:rsid w:val="00926953"/>
    <w:rsid w:val="00932703"/>
    <w:rsid w:val="00936469"/>
    <w:rsid w:val="009400B7"/>
    <w:rsid w:val="00954DC2"/>
    <w:rsid w:val="00957B92"/>
    <w:rsid w:val="00970966"/>
    <w:rsid w:val="00974442"/>
    <w:rsid w:val="00992836"/>
    <w:rsid w:val="009C31A9"/>
    <w:rsid w:val="009C6287"/>
    <w:rsid w:val="009F1F69"/>
    <w:rsid w:val="00A02C54"/>
    <w:rsid w:val="00A10F17"/>
    <w:rsid w:val="00A1428B"/>
    <w:rsid w:val="00A23BF4"/>
    <w:rsid w:val="00A2593B"/>
    <w:rsid w:val="00A34E05"/>
    <w:rsid w:val="00A43D8B"/>
    <w:rsid w:val="00A454F1"/>
    <w:rsid w:val="00A475D5"/>
    <w:rsid w:val="00A543CC"/>
    <w:rsid w:val="00A93CFF"/>
    <w:rsid w:val="00AB7DD2"/>
    <w:rsid w:val="00AE1B6D"/>
    <w:rsid w:val="00AE3F27"/>
    <w:rsid w:val="00AF0C7C"/>
    <w:rsid w:val="00B01A38"/>
    <w:rsid w:val="00B01D86"/>
    <w:rsid w:val="00B07E4E"/>
    <w:rsid w:val="00B11FD1"/>
    <w:rsid w:val="00B137E9"/>
    <w:rsid w:val="00B30EA2"/>
    <w:rsid w:val="00B36ED3"/>
    <w:rsid w:val="00B513C9"/>
    <w:rsid w:val="00B56EF4"/>
    <w:rsid w:val="00B70485"/>
    <w:rsid w:val="00B82A13"/>
    <w:rsid w:val="00BE3B7C"/>
    <w:rsid w:val="00C02AF8"/>
    <w:rsid w:val="00C159B6"/>
    <w:rsid w:val="00C17E01"/>
    <w:rsid w:val="00C31AC4"/>
    <w:rsid w:val="00C409BE"/>
    <w:rsid w:val="00C423CA"/>
    <w:rsid w:val="00C652ED"/>
    <w:rsid w:val="00C7793C"/>
    <w:rsid w:val="00C800AD"/>
    <w:rsid w:val="00C939A8"/>
    <w:rsid w:val="00C97145"/>
    <w:rsid w:val="00CC5877"/>
    <w:rsid w:val="00CE58E3"/>
    <w:rsid w:val="00D010FD"/>
    <w:rsid w:val="00D02812"/>
    <w:rsid w:val="00D06B5A"/>
    <w:rsid w:val="00D20056"/>
    <w:rsid w:val="00D85DE3"/>
    <w:rsid w:val="00DB2119"/>
    <w:rsid w:val="00DC05BC"/>
    <w:rsid w:val="00DC5ACF"/>
    <w:rsid w:val="00DD3A24"/>
    <w:rsid w:val="00DF3516"/>
    <w:rsid w:val="00E03C07"/>
    <w:rsid w:val="00E07E81"/>
    <w:rsid w:val="00E20E3C"/>
    <w:rsid w:val="00E36290"/>
    <w:rsid w:val="00E56098"/>
    <w:rsid w:val="00E81E61"/>
    <w:rsid w:val="00E848B4"/>
    <w:rsid w:val="00E87188"/>
    <w:rsid w:val="00E91417"/>
    <w:rsid w:val="00E94329"/>
    <w:rsid w:val="00EA240E"/>
    <w:rsid w:val="00EB1377"/>
    <w:rsid w:val="00EC1E33"/>
    <w:rsid w:val="00EF3E76"/>
    <w:rsid w:val="00EF5DEC"/>
    <w:rsid w:val="00F07022"/>
    <w:rsid w:val="00F1119E"/>
    <w:rsid w:val="00F26635"/>
    <w:rsid w:val="00F33E30"/>
    <w:rsid w:val="00F35A34"/>
    <w:rsid w:val="00F40882"/>
    <w:rsid w:val="00F43559"/>
    <w:rsid w:val="00F5789B"/>
    <w:rsid w:val="00F75AAB"/>
    <w:rsid w:val="00F75C76"/>
    <w:rsid w:val="00F75E1B"/>
    <w:rsid w:val="00FC720B"/>
    <w:rsid w:val="00FE3FE9"/>
    <w:rsid w:val="00FE6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FC2E0"/>
  <w15:chartTrackingRefBased/>
  <w15:docId w15:val="{8B18F002-8DFE-49D1-957D-320C114F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semiHidden/>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uiPriority w:val="99"/>
    <w:semiHidden/>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styleId="Hyperlien">
    <w:name w:val="Hyperlink"/>
    <w:uiPriority w:val="99"/>
    <w:rsid w:val="00386953"/>
    <w:rPr>
      <w:noProof w:val="0"/>
      <w:color w:val="0000FF"/>
      <w:u w:val="single"/>
      <w:lang w:val="fr-CA"/>
    </w:rPr>
  </w:style>
  <w:style w:type="paragraph" w:customStyle="1" w:styleId="JgtParagraphe">
    <w:name w:val="Jgt Paragraphe"/>
    <w:basedOn w:val="Normal"/>
    <w:qFormat/>
    <w:rsid w:val="00E56098"/>
    <w:pPr>
      <w:tabs>
        <w:tab w:val="num" w:pos="720"/>
      </w:tabs>
      <w:spacing w:before="120" w:after="120" w:line="500" w:lineRule="exact"/>
      <w:jc w:val="both"/>
    </w:pPr>
    <w:rPr>
      <w:rFonts w:cs="Arial"/>
      <w:color w:val="000000"/>
      <w:kern w:val="28"/>
      <w:szCs w:val="24"/>
      <w:lang w:eastAsia="en-US"/>
    </w:rPr>
  </w:style>
  <w:style w:type="paragraph" w:customStyle="1" w:styleId="JgtPositionniv1">
    <w:name w:val="Jgt Position niv 1"/>
    <w:basedOn w:val="Normal"/>
    <w:qFormat/>
    <w:rsid w:val="00E56098"/>
    <w:pPr>
      <w:spacing w:before="240" w:after="240" w:line="240" w:lineRule="auto"/>
      <w:outlineLvl w:val="0"/>
    </w:pPr>
    <w:rPr>
      <w:b/>
      <w:i/>
    </w:rPr>
  </w:style>
  <w:style w:type="paragraph" w:customStyle="1" w:styleId="JgtPositionniv2">
    <w:name w:val="Jgt Position niv 2"/>
    <w:basedOn w:val="Normal"/>
    <w:next w:val="JgtParagraphe"/>
    <w:qFormat/>
    <w:rsid w:val="00E56098"/>
    <w:pPr>
      <w:adjustRightInd w:val="0"/>
      <w:spacing w:before="240" w:after="240" w:line="240" w:lineRule="auto"/>
      <w:ind w:left="709"/>
      <w:outlineLvl w:val="1"/>
    </w:pPr>
    <w:rPr>
      <w:rFonts w:cs="Times New Roman (Corps CS)"/>
      <w:b/>
      <w:i/>
      <w:lang w:val="fr-FR"/>
    </w:rPr>
  </w:style>
  <w:style w:type="character" w:customStyle="1" w:styleId="apple-converted-space">
    <w:name w:val="apple-converted-space"/>
    <w:basedOn w:val="Policepardfaut"/>
    <w:rsid w:val="00E56098"/>
  </w:style>
  <w:style w:type="paragraph" w:customStyle="1" w:styleId="JgtCit1">
    <w:name w:val="Jgt Cit 1"/>
    <w:basedOn w:val="Normal"/>
    <w:next w:val="JgtParagraphe"/>
    <w:qFormat/>
    <w:rsid w:val="00E56098"/>
    <w:pPr>
      <w:spacing w:before="120" w:after="120" w:line="240" w:lineRule="auto"/>
      <w:ind w:left="720" w:right="720"/>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Gabarits_SOQUIJ\Gabarits_SOQUIJ%20CA\CAFra-VERSION%20oct.%202024.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CAFra-VERSION oct. 2024.dotm</Template>
  <TotalTime>1</TotalTime>
  <Pages>2</Pages>
  <Words>3818</Words>
  <Characters>21004</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Myriam Infantino</dc:creator>
  <cp:keywords/>
  <dc:description/>
  <cp:lastModifiedBy>Paillé, Pryscilla</cp:lastModifiedBy>
  <cp:revision>8</cp:revision>
  <cp:lastPrinted>2018-08-07T15:35:00Z</cp:lastPrinted>
  <dcterms:created xsi:type="dcterms:W3CDTF">2026-05-08T12:46:00Z</dcterms:created>
  <dcterms:modified xsi:type="dcterms:W3CDTF">2026-05-11T14:10:00Z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