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0" w:type="dxa"/>
        <w:tblLayout w:type="fixed"/>
        <w:tblCellMar>
          <w:left w:w="70" w:type="dxa"/>
          <w:right w:w="70" w:type="dxa"/>
        </w:tblCellMar>
        <w:tblLook w:val="0000" w:firstRow="0" w:lastRow="0" w:firstColumn="0" w:lastColumn="0" w:noHBand="0" w:noVBand="0"/>
      </w:tblPr>
      <w:tblGrid>
        <w:gridCol w:w="1036"/>
        <w:gridCol w:w="69"/>
        <w:gridCol w:w="45"/>
        <w:gridCol w:w="465"/>
        <w:gridCol w:w="1585"/>
        <w:gridCol w:w="1826"/>
        <w:gridCol w:w="2109"/>
        <w:gridCol w:w="2370"/>
        <w:gridCol w:w="45"/>
      </w:tblGrid>
      <w:tr w:rsidR="00407431" w:rsidRPr="002B023E" w14:paraId="12DB1097" w14:textId="77777777" w:rsidTr="00407431">
        <w:trPr>
          <w:trHeight w:val="360"/>
        </w:trPr>
        <w:tc>
          <w:tcPr>
            <w:tcW w:w="7135" w:type="dxa"/>
            <w:gridSpan w:val="7"/>
          </w:tcPr>
          <w:p w14:paraId="7C6E4BB8" w14:textId="77777777" w:rsidR="00407431" w:rsidRPr="005B5F8F" w:rsidRDefault="00407431" w:rsidP="00EA5CC0">
            <w:pPr>
              <w:pStyle w:val="zSoquijdatRepertorie"/>
              <w:rPr>
                <w:rFonts w:cs="Arial"/>
              </w:rPr>
            </w:pPr>
            <w:r>
              <w:rPr>
                <w:rFonts w:cs="Arial"/>
                <w:lang w:eastAsia="fr-CA"/>
              </w:rPr>
              <w:t>J.C. c. M.C.</w:t>
            </w:r>
          </w:p>
        </w:tc>
        <w:tc>
          <w:tcPr>
            <w:tcW w:w="2415" w:type="dxa"/>
            <w:gridSpan w:val="2"/>
          </w:tcPr>
          <w:p w14:paraId="2E5BCD2D" w14:textId="77777777" w:rsidR="00407431" w:rsidRPr="002B023E" w:rsidRDefault="00407431" w:rsidP="00EA5CC0">
            <w:pPr>
              <w:pStyle w:val="zSoquijdatRefNeutre"/>
              <w:jc w:val="right"/>
              <w:rPr>
                <w:rFonts w:cs="Arial"/>
              </w:rPr>
            </w:pPr>
            <w:r w:rsidRPr="002B023E">
              <w:rPr>
                <w:rFonts w:cs="Arial"/>
              </w:rPr>
              <w:t>2026 QCCS 1206</w:t>
            </w:r>
          </w:p>
        </w:tc>
      </w:tr>
      <w:tr w:rsidR="00121A72" w14:paraId="30644CD2" w14:textId="77777777" w:rsidTr="00407431">
        <w:trPr>
          <w:gridAfter w:val="1"/>
          <w:wAfter w:w="45" w:type="dxa"/>
          <w:trHeight w:val="900"/>
        </w:trPr>
        <w:tc>
          <w:tcPr>
            <w:tcW w:w="9505" w:type="dxa"/>
            <w:gridSpan w:val="8"/>
            <w:vAlign w:val="bottom"/>
          </w:tcPr>
          <w:p w14:paraId="499A57FE" w14:textId="77777777" w:rsidR="00121A72" w:rsidRDefault="00121A72" w:rsidP="00D26929">
            <w:pPr>
              <w:pStyle w:val="zSoquijlblCour"/>
            </w:pPr>
            <w:r>
              <w:t>COUR SUPÉRIEURE</w:t>
            </w:r>
          </w:p>
          <w:p w14:paraId="48639BFE" w14:textId="77777777" w:rsidR="005A6238" w:rsidRDefault="005A6238" w:rsidP="00D26929">
            <w:pPr>
              <w:pStyle w:val="zSoquijlblCour"/>
            </w:pPr>
          </w:p>
        </w:tc>
      </w:tr>
      <w:tr w:rsidR="00121A72" w14:paraId="4AA996E3" w14:textId="77777777" w:rsidTr="00407431">
        <w:trPr>
          <w:gridAfter w:val="1"/>
          <w:wAfter w:w="45" w:type="dxa"/>
          <w:trHeight w:val="540"/>
        </w:trPr>
        <w:tc>
          <w:tcPr>
            <w:tcW w:w="9505" w:type="dxa"/>
            <w:gridSpan w:val="8"/>
          </w:tcPr>
          <w:p w14:paraId="12E3DD33" w14:textId="0D776398" w:rsidR="00121A72" w:rsidRDefault="00121A72" w:rsidP="00D26929">
            <w:pPr>
              <w:pStyle w:val="zSoquijdatDivision"/>
            </w:pPr>
          </w:p>
        </w:tc>
      </w:tr>
      <w:tr w:rsidR="00121A72" w14:paraId="2E7EDC6C" w14:textId="77777777" w:rsidTr="00407431">
        <w:trPr>
          <w:gridAfter w:val="1"/>
          <w:wAfter w:w="45" w:type="dxa"/>
        </w:trPr>
        <w:tc>
          <w:tcPr>
            <w:tcW w:w="9505" w:type="dxa"/>
            <w:gridSpan w:val="8"/>
          </w:tcPr>
          <w:p w14:paraId="670E667E" w14:textId="77777777" w:rsidR="00121A72" w:rsidRPr="00C025FC" w:rsidRDefault="00121A72" w:rsidP="00D26929">
            <w:pPr>
              <w:pStyle w:val="zSoquijlblPays"/>
            </w:pPr>
            <w:r w:rsidRPr="00C025FC">
              <w:t>CANADA</w:t>
            </w:r>
          </w:p>
        </w:tc>
      </w:tr>
      <w:tr w:rsidR="00121A72" w14:paraId="0E6694B4" w14:textId="77777777" w:rsidTr="00407431">
        <w:trPr>
          <w:gridAfter w:val="1"/>
          <w:wAfter w:w="45" w:type="dxa"/>
        </w:trPr>
        <w:tc>
          <w:tcPr>
            <w:tcW w:w="9505" w:type="dxa"/>
            <w:gridSpan w:val="8"/>
          </w:tcPr>
          <w:p w14:paraId="53DADD3F" w14:textId="77777777" w:rsidR="00121A72" w:rsidRDefault="00121A72" w:rsidP="00D26929">
            <w:pPr>
              <w:pStyle w:val="zSoquijlblProvince"/>
            </w:pPr>
            <w:r>
              <w:t>PROVINCE DE QUÉBEC</w:t>
            </w:r>
          </w:p>
        </w:tc>
      </w:tr>
      <w:tr w:rsidR="00121A72" w14:paraId="66C580DE" w14:textId="77777777" w:rsidTr="00407431">
        <w:tblPrEx>
          <w:tblCellMar>
            <w:left w:w="0" w:type="dxa"/>
            <w:right w:w="0" w:type="dxa"/>
          </w:tblCellMar>
        </w:tblPrEx>
        <w:trPr>
          <w:gridAfter w:val="1"/>
          <w:wAfter w:w="45" w:type="dxa"/>
          <w:cantSplit/>
        </w:trPr>
        <w:tc>
          <w:tcPr>
            <w:tcW w:w="1615" w:type="dxa"/>
            <w:gridSpan w:val="4"/>
          </w:tcPr>
          <w:p w14:paraId="10637690" w14:textId="77777777" w:rsidR="00121A72" w:rsidRDefault="00121A72" w:rsidP="00D26929">
            <w:pPr>
              <w:pStyle w:val="zSoquijlblGreffe"/>
            </w:pPr>
            <w:r>
              <w:t>DISTRICT DE</w:t>
            </w:r>
          </w:p>
        </w:tc>
        <w:tc>
          <w:tcPr>
            <w:tcW w:w="7890" w:type="dxa"/>
            <w:gridSpan w:val="4"/>
          </w:tcPr>
          <w:p w14:paraId="52C83C7E" w14:textId="51664D64" w:rsidR="00121A72" w:rsidRDefault="00691D3F" w:rsidP="00D26929">
            <w:pPr>
              <w:pStyle w:val="zSoquijdatGreffe"/>
            </w:pPr>
            <w:r>
              <w:t>MONTRÉAL</w:t>
            </w:r>
          </w:p>
        </w:tc>
      </w:tr>
      <w:tr w:rsidR="00121A72" w14:paraId="238E576B" w14:textId="77777777" w:rsidTr="00407431">
        <w:tblPrEx>
          <w:tblCellMar>
            <w:left w:w="0" w:type="dxa"/>
            <w:right w:w="0" w:type="dxa"/>
          </w:tblCellMar>
        </w:tblPrEx>
        <w:trPr>
          <w:gridAfter w:val="1"/>
          <w:wAfter w:w="45" w:type="dxa"/>
          <w:cantSplit/>
        </w:trPr>
        <w:tc>
          <w:tcPr>
            <w:tcW w:w="1150" w:type="dxa"/>
            <w:gridSpan w:val="3"/>
          </w:tcPr>
          <w:p w14:paraId="41EDAF59" w14:textId="77777777" w:rsidR="00121A72" w:rsidRDefault="00121A72" w:rsidP="00D26929">
            <w:pPr>
              <w:pStyle w:val="zSoquijlblLocalite"/>
            </w:pPr>
          </w:p>
        </w:tc>
        <w:tc>
          <w:tcPr>
            <w:tcW w:w="8355" w:type="dxa"/>
            <w:gridSpan w:val="5"/>
          </w:tcPr>
          <w:p w14:paraId="566CB5FC" w14:textId="77777777" w:rsidR="00121A72" w:rsidRDefault="00121A72" w:rsidP="00D26929">
            <w:pPr>
              <w:pStyle w:val="zSoquijdatLocalite"/>
            </w:pPr>
          </w:p>
        </w:tc>
      </w:tr>
      <w:tr w:rsidR="00121A72" w14:paraId="279447C6" w14:textId="77777777" w:rsidTr="00407431">
        <w:trPr>
          <w:gridAfter w:val="1"/>
          <w:wAfter w:w="45" w:type="dxa"/>
          <w:trHeight w:val="540"/>
        </w:trPr>
        <w:tc>
          <w:tcPr>
            <w:tcW w:w="9505" w:type="dxa"/>
            <w:gridSpan w:val="8"/>
          </w:tcPr>
          <w:p w14:paraId="26BC79AA" w14:textId="77777777" w:rsidR="00121A72" w:rsidRDefault="00121A72" w:rsidP="00D26929">
            <w:pPr>
              <w:pStyle w:val="zSoquijlblNomChambre"/>
            </w:pPr>
          </w:p>
        </w:tc>
      </w:tr>
      <w:tr w:rsidR="00121A72" w14:paraId="529DBC82" w14:textId="77777777" w:rsidTr="00407431">
        <w:trPr>
          <w:gridAfter w:val="1"/>
          <w:wAfter w:w="45" w:type="dxa"/>
        </w:trPr>
        <w:tc>
          <w:tcPr>
            <w:tcW w:w="1105" w:type="dxa"/>
            <w:gridSpan w:val="2"/>
          </w:tcPr>
          <w:p w14:paraId="7E9248AC" w14:textId="77777777" w:rsidR="00121A72" w:rsidRDefault="00121A72" w:rsidP="00D26929">
            <w:pPr>
              <w:pStyle w:val="zSoquijlblNoDossier"/>
            </w:pPr>
            <w:r>
              <w:t>N° :</w:t>
            </w:r>
          </w:p>
        </w:tc>
        <w:tc>
          <w:tcPr>
            <w:tcW w:w="8400" w:type="dxa"/>
            <w:gridSpan w:val="6"/>
          </w:tcPr>
          <w:p w14:paraId="4CFAF534" w14:textId="7875BF0C" w:rsidR="00121A72" w:rsidRPr="005A6238" w:rsidRDefault="005A6238" w:rsidP="00BC5B90">
            <w:pPr>
              <w:pStyle w:val="zSoquijdatNoDossier"/>
              <w:ind w:left="-69"/>
            </w:pPr>
            <w:r w:rsidRPr="005A6238">
              <w:t>505-17-013869-237</w:t>
            </w:r>
          </w:p>
        </w:tc>
      </w:tr>
      <w:tr w:rsidR="00121A72" w14:paraId="647BCDE4" w14:textId="77777777" w:rsidTr="00407431">
        <w:tblPrEx>
          <w:tblCellMar>
            <w:left w:w="0" w:type="dxa"/>
            <w:right w:w="0" w:type="dxa"/>
          </w:tblCellMar>
        </w:tblPrEx>
        <w:trPr>
          <w:gridAfter w:val="1"/>
          <w:wAfter w:w="45" w:type="dxa"/>
          <w:cantSplit/>
        </w:trPr>
        <w:tc>
          <w:tcPr>
            <w:tcW w:w="1105" w:type="dxa"/>
            <w:gridSpan w:val="2"/>
          </w:tcPr>
          <w:p w14:paraId="0855A14B" w14:textId="77777777" w:rsidR="00121A72" w:rsidRDefault="00121A72" w:rsidP="00D26929">
            <w:pPr>
              <w:pStyle w:val="zSoquijlblGreffe"/>
            </w:pPr>
          </w:p>
        </w:tc>
        <w:tc>
          <w:tcPr>
            <w:tcW w:w="8400" w:type="dxa"/>
            <w:gridSpan w:val="6"/>
          </w:tcPr>
          <w:p w14:paraId="58197A75" w14:textId="77777777" w:rsidR="00121A72" w:rsidRDefault="00121A72" w:rsidP="00D26929">
            <w:pPr>
              <w:pStyle w:val="zSoquijdatNoDossierAnt"/>
            </w:pPr>
          </w:p>
        </w:tc>
      </w:tr>
      <w:tr w:rsidR="00121A72" w14:paraId="388D2AAF" w14:textId="77777777" w:rsidTr="00407431">
        <w:trPr>
          <w:gridAfter w:val="1"/>
          <w:wAfter w:w="45" w:type="dxa"/>
          <w:cantSplit/>
          <w:trHeight w:val="235"/>
        </w:trPr>
        <w:tc>
          <w:tcPr>
            <w:tcW w:w="9505" w:type="dxa"/>
            <w:gridSpan w:val="8"/>
          </w:tcPr>
          <w:p w14:paraId="7C969989" w14:textId="77777777" w:rsidR="00121A72" w:rsidRDefault="00121A72" w:rsidP="00D26929"/>
        </w:tc>
      </w:tr>
      <w:tr w:rsidR="00121A72" w14:paraId="74E67D59" w14:textId="77777777" w:rsidTr="00407431">
        <w:trPr>
          <w:gridAfter w:val="1"/>
          <w:wAfter w:w="45" w:type="dxa"/>
        </w:trPr>
        <w:tc>
          <w:tcPr>
            <w:tcW w:w="1036" w:type="dxa"/>
          </w:tcPr>
          <w:p w14:paraId="1AAB569D" w14:textId="77777777" w:rsidR="00121A72" w:rsidRDefault="00121A72" w:rsidP="00D26929">
            <w:pPr>
              <w:pStyle w:val="zSoquijlblDateJugement"/>
            </w:pPr>
            <w:r>
              <w:t>DATE :</w:t>
            </w:r>
          </w:p>
        </w:tc>
        <w:tc>
          <w:tcPr>
            <w:tcW w:w="8469" w:type="dxa"/>
            <w:gridSpan w:val="7"/>
          </w:tcPr>
          <w:p w14:paraId="3A26931C" w14:textId="353E962D" w:rsidR="00121A72" w:rsidRDefault="006C55F8" w:rsidP="00D26929">
            <w:pPr>
              <w:pStyle w:val="zSoquijdatDateJugement"/>
            </w:pPr>
            <w:r>
              <w:t>1</w:t>
            </w:r>
            <w:r w:rsidR="005A6238">
              <w:t>4 avril</w:t>
            </w:r>
            <w:r>
              <w:t xml:space="preserve"> 202</w:t>
            </w:r>
            <w:r w:rsidR="005A6238">
              <w:t>6</w:t>
            </w:r>
          </w:p>
        </w:tc>
      </w:tr>
      <w:tr w:rsidR="00121A72" w14:paraId="11E02625" w14:textId="77777777" w:rsidTr="00407431">
        <w:trPr>
          <w:gridAfter w:val="1"/>
          <w:wAfter w:w="45" w:type="dxa"/>
        </w:trPr>
        <w:tc>
          <w:tcPr>
            <w:tcW w:w="9505" w:type="dxa"/>
            <w:gridSpan w:val="8"/>
          </w:tcPr>
          <w:p w14:paraId="4963B9EA" w14:textId="77777777" w:rsidR="00121A72" w:rsidRDefault="00121A72" w:rsidP="00D26929">
            <w:pPr>
              <w:ind w:left="14" w:right="-67"/>
            </w:pPr>
            <w:r>
              <w:t>______________________________________________________________________</w:t>
            </w:r>
          </w:p>
        </w:tc>
      </w:tr>
      <w:tr w:rsidR="00121A72" w14:paraId="05528213" w14:textId="77777777" w:rsidTr="00407431">
        <w:trPr>
          <w:gridAfter w:val="1"/>
          <w:wAfter w:w="45" w:type="dxa"/>
        </w:trPr>
        <w:tc>
          <w:tcPr>
            <w:tcW w:w="9505" w:type="dxa"/>
            <w:gridSpan w:val="8"/>
          </w:tcPr>
          <w:p w14:paraId="5F240EA4" w14:textId="77777777" w:rsidR="00121A72" w:rsidRDefault="00121A72" w:rsidP="00D26929"/>
        </w:tc>
      </w:tr>
      <w:tr w:rsidR="00121A72" w:rsidRPr="009D36B8" w14:paraId="5F228169" w14:textId="77777777" w:rsidTr="00407431">
        <w:tblPrEx>
          <w:tblCellMar>
            <w:left w:w="0" w:type="dxa"/>
            <w:right w:w="0" w:type="dxa"/>
          </w:tblCellMar>
        </w:tblPrEx>
        <w:trPr>
          <w:gridAfter w:val="1"/>
          <w:wAfter w:w="45" w:type="dxa"/>
        </w:trPr>
        <w:tc>
          <w:tcPr>
            <w:tcW w:w="3200" w:type="dxa"/>
            <w:gridSpan w:val="5"/>
          </w:tcPr>
          <w:p w14:paraId="4954B3DF" w14:textId="77777777" w:rsidR="00121A72" w:rsidRDefault="00121A72" w:rsidP="00D26929">
            <w:pPr>
              <w:pStyle w:val="zSoquijlblJuge"/>
            </w:pPr>
            <w:r>
              <w:t>SOUS LA PRÉSIDENCE DE</w:t>
            </w:r>
          </w:p>
        </w:tc>
        <w:tc>
          <w:tcPr>
            <w:tcW w:w="1826" w:type="dxa"/>
          </w:tcPr>
          <w:p w14:paraId="518548DA" w14:textId="77777777" w:rsidR="00121A72" w:rsidRDefault="00121A72" w:rsidP="00D26929">
            <w:pPr>
              <w:pStyle w:val="zSoquijdatQteJuge"/>
            </w:pPr>
            <w:r>
              <w:t>L’HONORABLE</w:t>
            </w:r>
          </w:p>
        </w:tc>
        <w:tc>
          <w:tcPr>
            <w:tcW w:w="4479" w:type="dxa"/>
            <w:gridSpan w:val="2"/>
          </w:tcPr>
          <w:p w14:paraId="0148C10B" w14:textId="0BED008C" w:rsidR="00121A72" w:rsidRPr="00691D3F" w:rsidRDefault="00691D3F" w:rsidP="00D26929">
            <w:pPr>
              <w:pStyle w:val="zSoquijdatJuge"/>
            </w:pPr>
            <w:r w:rsidRPr="00691D3F">
              <w:t>MARIE-</w:t>
            </w:r>
            <w:r w:rsidR="005A6238">
              <w:t>CLAUDE LALANDE</w:t>
            </w:r>
            <w:r w:rsidR="002A0618" w:rsidRPr="00691D3F">
              <w:t>,</w:t>
            </w:r>
            <w:r w:rsidR="008A4532" w:rsidRPr="00691D3F">
              <w:t xml:space="preserve"> J.C.S.</w:t>
            </w:r>
          </w:p>
        </w:tc>
      </w:tr>
      <w:tr w:rsidR="00121A72" w14:paraId="1ECA5662" w14:textId="77777777" w:rsidTr="00407431">
        <w:trPr>
          <w:gridAfter w:val="1"/>
          <w:wAfter w:w="45" w:type="dxa"/>
        </w:trPr>
        <w:tc>
          <w:tcPr>
            <w:tcW w:w="9505" w:type="dxa"/>
            <w:gridSpan w:val="8"/>
          </w:tcPr>
          <w:p w14:paraId="49CB7EC0" w14:textId="77777777" w:rsidR="00121A72" w:rsidRDefault="00121A72" w:rsidP="00D26929">
            <w:pPr>
              <w:ind w:left="14" w:right="-67"/>
            </w:pPr>
            <w:r>
              <w:t>______________________________________________________________________</w:t>
            </w:r>
          </w:p>
        </w:tc>
      </w:tr>
      <w:tr w:rsidR="00691D3F" w14:paraId="59E6972C" w14:textId="77777777" w:rsidTr="00407431">
        <w:trPr>
          <w:gridAfter w:val="1"/>
          <w:wAfter w:w="45" w:type="dxa"/>
        </w:trPr>
        <w:tc>
          <w:tcPr>
            <w:tcW w:w="9505" w:type="dxa"/>
            <w:gridSpan w:val="8"/>
          </w:tcPr>
          <w:p w14:paraId="4AF5FC8D" w14:textId="18C59AB7" w:rsidR="00691D3F" w:rsidRDefault="00691D3F" w:rsidP="00691D3F">
            <w:pPr>
              <w:pStyle w:val="zSoquijdatQtePartieDem"/>
            </w:pPr>
          </w:p>
        </w:tc>
      </w:tr>
      <w:tr w:rsidR="00691D3F" w14:paraId="0AD09A05" w14:textId="77777777" w:rsidTr="00407431">
        <w:trPr>
          <w:gridAfter w:val="1"/>
          <w:wAfter w:w="45" w:type="dxa"/>
        </w:trPr>
        <w:tc>
          <w:tcPr>
            <w:tcW w:w="9505" w:type="dxa"/>
            <w:gridSpan w:val="8"/>
          </w:tcPr>
          <w:tbl>
            <w:tblPr>
              <w:tblW w:w="9498" w:type="dxa"/>
              <w:tblLayout w:type="fixed"/>
              <w:tblCellMar>
                <w:left w:w="70" w:type="dxa"/>
                <w:right w:w="70" w:type="dxa"/>
              </w:tblCellMar>
              <w:tblLook w:val="0000" w:firstRow="0" w:lastRow="0" w:firstColumn="0" w:lastColumn="0" w:noHBand="0" w:noVBand="0"/>
            </w:tblPr>
            <w:tblGrid>
              <w:gridCol w:w="9498"/>
            </w:tblGrid>
            <w:tr w:rsidR="00691D3F" w:rsidRPr="00205D75" w14:paraId="0AB9E269" w14:textId="77777777" w:rsidTr="00DE452D">
              <w:tc>
                <w:tcPr>
                  <w:tcW w:w="9498" w:type="dxa"/>
                </w:tcPr>
                <w:p w14:paraId="6B85E548" w14:textId="3CBA85EA" w:rsidR="00691D3F" w:rsidRPr="00205D75" w:rsidRDefault="005A6238" w:rsidP="00691D3F">
                  <w:pPr>
                    <w:pStyle w:val="zSoquijdatNomPartieDem"/>
                  </w:pPr>
                  <w:r>
                    <w:t>J. C.</w:t>
                  </w:r>
                </w:p>
              </w:tc>
            </w:tr>
            <w:tr w:rsidR="00691D3F" w:rsidRPr="00205D75" w14:paraId="747FD641" w14:textId="77777777" w:rsidTr="00DE452D">
              <w:tc>
                <w:tcPr>
                  <w:tcW w:w="9498" w:type="dxa"/>
                </w:tcPr>
                <w:p w14:paraId="182F9550" w14:textId="77777777" w:rsidR="00691D3F" w:rsidRPr="00205D75" w:rsidRDefault="00691D3F" w:rsidP="00691D3F">
                  <w:pPr>
                    <w:pStyle w:val="zSoquijdatQtePartieDem"/>
                  </w:pPr>
                  <w:r w:rsidRPr="00205D75">
                    <w:t>Demanderesse</w:t>
                  </w:r>
                </w:p>
              </w:tc>
            </w:tr>
            <w:tr w:rsidR="00691D3F" w:rsidRPr="00205D75" w14:paraId="74E8BFF0" w14:textId="77777777" w:rsidTr="00DE452D">
              <w:tc>
                <w:tcPr>
                  <w:tcW w:w="9498" w:type="dxa"/>
                </w:tcPr>
                <w:p w14:paraId="674B84A8" w14:textId="77777777" w:rsidR="00691D3F" w:rsidRPr="00205D75" w:rsidRDefault="00691D3F" w:rsidP="00691D3F">
                  <w:pPr>
                    <w:pStyle w:val="zSoquijlblLienParties"/>
                  </w:pPr>
                </w:p>
                <w:p w14:paraId="572D0369" w14:textId="77777777" w:rsidR="00691D3F" w:rsidRPr="00205D75" w:rsidRDefault="00691D3F" w:rsidP="00691D3F">
                  <w:pPr>
                    <w:pStyle w:val="zSoquijlblLienParties"/>
                  </w:pPr>
                  <w:r w:rsidRPr="00205D75">
                    <w:t>c.</w:t>
                  </w:r>
                </w:p>
              </w:tc>
            </w:tr>
            <w:tr w:rsidR="00691D3F" w:rsidRPr="00205D75" w14:paraId="21A36E94" w14:textId="77777777" w:rsidTr="00DE452D">
              <w:tc>
                <w:tcPr>
                  <w:tcW w:w="9498" w:type="dxa"/>
                </w:tcPr>
                <w:p w14:paraId="20185080" w14:textId="77777777" w:rsidR="00691D3F" w:rsidRPr="00205D75" w:rsidRDefault="00691D3F" w:rsidP="00691D3F">
                  <w:pPr>
                    <w:pStyle w:val="zSoquijlblLienParties"/>
                  </w:pPr>
                </w:p>
                <w:p w14:paraId="7C276B4C" w14:textId="49258293" w:rsidR="00691D3F" w:rsidRPr="00205D75" w:rsidRDefault="005A6238" w:rsidP="00691D3F">
                  <w:pPr>
                    <w:pStyle w:val="zSoquijlblLienParties"/>
                    <w:rPr>
                      <w:b/>
                      <w:bCs/>
                    </w:rPr>
                  </w:pPr>
                  <w:r>
                    <w:rPr>
                      <w:b/>
                      <w:bCs/>
                    </w:rPr>
                    <w:t>M. C.</w:t>
                  </w:r>
                </w:p>
                <w:p w14:paraId="0F4C4A88" w14:textId="5AB0430A" w:rsidR="00691D3F" w:rsidRPr="00205D75" w:rsidRDefault="00691D3F" w:rsidP="00691D3F">
                  <w:pPr>
                    <w:pStyle w:val="zSoquijdatQtePartieDem"/>
                  </w:pPr>
                  <w:r w:rsidRPr="00205D75">
                    <w:t>Défendeur</w:t>
                  </w:r>
                </w:p>
                <w:p w14:paraId="7CD40A0F" w14:textId="77777777" w:rsidR="00691D3F" w:rsidRPr="00205D75" w:rsidRDefault="00691D3F" w:rsidP="00691D3F">
                  <w:pPr>
                    <w:pStyle w:val="zSoquijdatQtePartieDem"/>
                    <w:ind w:left="0"/>
                  </w:pPr>
                </w:p>
                <w:p w14:paraId="6D92ECAA" w14:textId="77777777" w:rsidR="00691D3F" w:rsidRDefault="00691D3F" w:rsidP="00691D3F">
                  <w:pPr>
                    <w:pStyle w:val="zSoquijdatQtePartieDem"/>
                    <w:ind w:left="0"/>
                  </w:pPr>
                  <w:r w:rsidRPr="00205D75">
                    <w:t>-et-</w:t>
                  </w:r>
                </w:p>
                <w:p w14:paraId="066BFC18" w14:textId="77777777" w:rsidR="003D6C65" w:rsidRPr="00205D75" w:rsidRDefault="003D6C65" w:rsidP="00691D3F">
                  <w:pPr>
                    <w:pStyle w:val="zSoquijdatQtePartieDem"/>
                    <w:ind w:left="0"/>
                  </w:pPr>
                </w:p>
                <w:p w14:paraId="388E227B" w14:textId="5576A52E" w:rsidR="00691D3F" w:rsidRPr="00205D75" w:rsidRDefault="005A6238" w:rsidP="00691D3F">
                  <w:pPr>
                    <w:pStyle w:val="zSoquijdatQtePartieDem"/>
                    <w:ind w:left="0"/>
                    <w:rPr>
                      <w:b/>
                      <w:bCs/>
                    </w:rPr>
                  </w:pPr>
                  <w:r>
                    <w:rPr>
                      <w:b/>
                      <w:bCs/>
                    </w:rPr>
                    <w:t>PROCUREUR GÉNÉRAL DU QUÉBEC</w:t>
                  </w:r>
                </w:p>
                <w:p w14:paraId="3FCD91BD" w14:textId="43ABC6ED" w:rsidR="00691D3F" w:rsidRPr="00205D75" w:rsidRDefault="00691D3F" w:rsidP="00691D3F">
                  <w:pPr>
                    <w:pStyle w:val="zSoquijdatQtePartieDem"/>
                  </w:pPr>
                  <w:r w:rsidRPr="00205D75">
                    <w:t>Mis en cause</w:t>
                  </w:r>
                </w:p>
                <w:p w14:paraId="4C5CDD52" w14:textId="77777777" w:rsidR="00691D3F" w:rsidRPr="00205D75" w:rsidRDefault="00691D3F" w:rsidP="00691D3F">
                  <w:pPr>
                    <w:ind w:left="14" w:right="-95"/>
                  </w:pPr>
                  <w:r w:rsidRPr="00205D75">
                    <w:t>______________________________________________________________________</w:t>
                  </w:r>
                </w:p>
              </w:tc>
            </w:tr>
          </w:tbl>
          <w:p w14:paraId="0DB8EFB5" w14:textId="43388CFF" w:rsidR="00691D3F" w:rsidRDefault="00691D3F" w:rsidP="00691D3F">
            <w:pPr>
              <w:pStyle w:val="zSoquijdatQtePartieDef"/>
            </w:pPr>
          </w:p>
        </w:tc>
      </w:tr>
      <w:tr w:rsidR="00121A72" w14:paraId="4A4C7B3C" w14:textId="77777777" w:rsidTr="00407431">
        <w:trPr>
          <w:gridAfter w:val="1"/>
          <w:wAfter w:w="45" w:type="dxa"/>
        </w:trPr>
        <w:tc>
          <w:tcPr>
            <w:tcW w:w="9505" w:type="dxa"/>
            <w:gridSpan w:val="8"/>
          </w:tcPr>
          <w:p w14:paraId="552367A8" w14:textId="77777777" w:rsidR="00121A72" w:rsidRDefault="00121A72" w:rsidP="00D26929">
            <w:pPr>
              <w:jc w:val="center"/>
            </w:pPr>
          </w:p>
        </w:tc>
      </w:tr>
      <w:tr w:rsidR="00121A72" w14:paraId="44AE4C4C" w14:textId="77777777" w:rsidTr="00407431">
        <w:trPr>
          <w:gridAfter w:val="1"/>
          <w:wAfter w:w="45" w:type="dxa"/>
        </w:trPr>
        <w:tc>
          <w:tcPr>
            <w:tcW w:w="9505" w:type="dxa"/>
            <w:gridSpan w:val="8"/>
          </w:tcPr>
          <w:p w14:paraId="73209984" w14:textId="77777777" w:rsidR="00121A72" w:rsidRPr="005A6238" w:rsidRDefault="00121A72" w:rsidP="00D26929">
            <w:pPr>
              <w:pStyle w:val="zSoquijlblTypeDocument"/>
              <w:rPr>
                <w:b/>
                <w:bCs/>
              </w:rPr>
            </w:pPr>
            <w:r w:rsidRPr="005A6238">
              <w:rPr>
                <w:b/>
                <w:bCs/>
              </w:rPr>
              <w:t>JUGEMENT</w:t>
            </w:r>
            <w:r w:rsidR="009D36B8" w:rsidRPr="005A6238">
              <w:rPr>
                <w:b/>
                <w:bCs/>
              </w:rPr>
              <w:t xml:space="preserve"> RECTIFICATIF</w:t>
            </w:r>
          </w:p>
        </w:tc>
      </w:tr>
      <w:tr w:rsidR="00121A72" w14:paraId="5A7CE79F" w14:textId="77777777" w:rsidTr="00407431">
        <w:trPr>
          <w:gridAfter w:val="1"/>
          <w:wAfter w:w="45" w:type="dxa"/>
        </w:trPr>
        <w:tc>
          <w:tcPr>
            <w:tcW w:w="9505" w:type="dxa"/>
            <w:gridSpan w:val="8"/>
          </w:tcPr>
          <w:p w14:paraId="6DB1D673" w14:textId="77777777" w:rsidR="00121A72" w:rsidRDefault="00121A72" w:rsidP="00D26929">
            <w:pPr>
              <w:ind w:left="14" w:right="-70"/>
            </w:pPr>
            <w:r>
              <w:t>______________________________________________________________________</w:t>
            </w:r>
          </w:p>
        </w:tc>
      </w:tr>
      <w:tr w:rsidR="00121A72" w14:paraId="066A8A7B" w14:textId="77777777" w:rsidTr="00407431">
        <w:trPr>
          <w:gridAfter w:val="1"/>
          <w:wAfter w:w="45" w:type="dxa"/>
        </w:trPr>
        <w:tc>
          <w:tcPr>
            <w:tcW w:w="9505" w:type="dxa"/>
            <w:gridSpan w:val="8"/>
          </w:tcPr>
          <w:p w14:paraId="6EDBEE59" w14:textId="77777777" w:rsidR="00121A72" w:rsidRDefault="00121A72" w:rsidP="00D26929"/>
          <w:p w14:paraId="55BE0DD4" w14:textId="77777777" w:rsidR="002D7E59" w:rsidRDefault="002D7E59" w:rsidP="00D26929"/>
          <w:p w14:paraId="04CEA3B2" w14:textId="77777777" w:rsidR="002D7E59" w:rsidRDefault="002D7E59" w:rsidP="00D26929"/>
        </w:tc>
      </w:tr>
    </w:tbl>
    <w:p w14:paraId="12888C8A" w14:textId="2D661FCB" w:rsidR="00691D3F" w:rsidRDefault="009D36B8" w:rsidP="00782CFD">
      <w:pPr>
        <w:pStyle w:val="Paragrdouble"/>
        <w:spacing w:line="240" w:lineRule="auto"/>
      </w:pPr>
      <w:bookmarkStart w:id="0" w:name="_Toc486426449"/>
      <w:r>
        <w:t xml:space="preserve">CONSIDÉRANT </w:t>
      </w:r>
      <w:r w:rsidR="005A6238">
        <w:t>le jugement rendu le 10 avril 2026</w:t>
      </w:r>
      <w:r w:rsidR="000D1920">
        <w:t>;</w:t>
      </w:r>
    </w:p>
    <w:p w14:paraId="3C7AE49E" w14:textId="41DE8AFC" w:rsidR="009D36B8" w:rsidRDefault="009D36B8" w:rsidP="00782CFD">
      <w:pPr>
        <w:pStyle w:val="Paragrdouble"/>
        <w:spacing w:line="240" w:lineRule="auto"/>
      </w:pPr>
      <w:r>
        <w:t>CONSIDÉRANT</w:t>
      </w:r>
      <w:r w:rsidRPr="00A41364">
        <w:t xml:space="preserve"> </w:t>
      </w:r>
      <w:r w:rsidR="005A6238">
        <w:t>l’ordonnance d’anonymisation rendue dans ce dossier</w:t>
      </w:r>
      <w:r w:rsidRPr="00A41364">
        <w:t>;</w:t>
      </w:r>
    </w:p>
    <w:p w14:paraId="69E27426" w14:textId="2ED1C278" w:rsidR="005A6238" w:rsidRDefault="005A6238" w:rsidP="00782CFD">
      <w:pPr>
        <w:pStyle w:val="Paragrdouble"/>
        <w:spacing w:line="240" w:lineRule="auto"/>
      </w:pPr>
      <w:r>
        <w:t>CONSIDÉRANT qu’il y a lieu de corrig</w:t>
      </w:r>
      <w:r w:rsidR="00717336">
        <w:t>er</w:t>
      </w:r>
      <w:r>
        <w:t xml:space="preserve"> les erreurs qui se sont glissées au</w:t>
      </w:r>
      <w:r w:rsidR="001A3977">
        <w:t>x</w:t>
      </w:r>
      <w:r>
        <w:t xml:space="preserve"> paragraphe</w:t>
      </w:r>
      <w:r w:rsidR="00717336">
        <w:t>s</w:t>
      </w:r>
      <w:r>
        <w:t xml:space="preserve"> [49]</w:t>
      </w:r>
      <w:r w:rsidR="00717336">
        <w:t xml:space="preserve"> et</w:t>
      </w:r>
      <w:r>
        <w:t xml:space="preserve"> [56]</w:t>
      </w:r>
      <w:r w:rsidR="00717336">
        <w:t>;</w:t>
      </w:r>
    </w:p>
    <w:p w14:paraId="7A510F48" w14:textId="6665D92A" w:rsidR="001A3977" w:rsidRDefault="00717336" w:rsidP="00717336">
      <w:pPr>
        <w:pStyle w:val="Paragrdouble"/>
        <w:spacing w:line="240" w:lineRule="auto"/>
      </w:pPr>
      <w:r>
        <w:lastRenderedPageBreak/>
        <w:t>CONSIDÉRANT qu’il y a lieu également de corriger le montant apparaissant au paragraphe [195];</w:t>
      </w:r>
    </w:p>
    <w:p w14:paraId="51A15D09" w14:textId="77777777" w:rsidR="009D36B8" w:rsidRDefault="009D36B8" w:rsidP="00782CFD">
      <w:pPr>
        <w:pStyle w:val="Paragraphe"/>
        <w:spacing w:line="240" w:lineRule="auto"/>
        <w:outlineLvl w:val="0"/>
        <w:rPr>
          <w:b/>
        </w:rPr>
      </w:pPr>
      <w:bookmarkStart w:id="1" w:name="_Toc486426460"/>
      <w:bookmarkEnd w:id="0"/>
      <w:r w:rsidRPr="008B3C8E">
        <w:rPr>
          <w:b/>
        </w:rPr>
        <w:t>POUR CES MOTIFS, LE TRIBUNAL :</w:t>
      </w:r>
      <w:bookmarkEnd w:id="1"/>
    </w:p>
    <w:p w14:paraId="585556BB" w14:textId="134373EA" w:rsidR="00226213" w:rsidRPr="00C52249" w:rsidRDefault="00226213" w:rsidP="00226213">
      <w:pPr>
        <w:pStyle w:val="Paragrdouble"/>
        <w:spacing w:line="240" w:lineRule="auto"/>
        <w:rPr>
          <w:b/>
        </w:rPr>
      </w:pPr>
      <w:r w:rsidRPr="00226213">
        <w:rPr>
          <w:b/>
        </w:rPr>
        <w:t>RECTIFIE</w:t>
      </w:r>
      <w:r>
        <w:rPr>
          <w:bCs/>
        </w:rPr>
        <w:t xml:space="preserve"> le</w:t>
      </w:r>
      <w:r w:rsidR="00717336">
        <w:rPr>
          <w:bCs/>
        </w:rPr>
        <w:t>s</w:t>
      </w:r>
      <w:r>
        <w:rPr>
          <w:bCs/>
        </w:rPr>
        <w:t xml:space="preserve"> paragraphe</w:t>
      </w:r>
      <w:r w:rsidR="00717336">
        <w:rPr>
          <w:bCs/>
        </w:rPr>
        <w:t>s</w:t>
      </w:r>
      <w:r>
        <w:rPr>
          <w:bCs/>
        </w:rPr>
        <w:t xml:space="preserve"> [49], [56], </w:t>
      </w:r>
      <w:r w:rsidR="00717336">
        <w:rPr>
          <w:bCs/>
        </w:rPr>
        <w:t>ainsi que</w:t>
      </w:r>
      <w:r w:rsidR="00643C71">
        <w:rPr>
          <w:bCs/>
        </w:rPr>
        <w:t xml:space="preserve"> </w:t>
      </w:r>
      <w:r w:rsidR="00D92568">
        <w:rPr>
          <w:bCs/>
        </w:rPr>
        <w:t>[195],</w:t>
      </w:r>
      <w:r>
        <w:rPr>
          <w:bCs/>
        </w:rPr>
        <w:t xml:space="preserve"> </w:t>
      </w:r>
      <w:r w:rsidR="00717336">
        <w:rPr>
          <w:bCs/>
        </w:rPr>
        <w:t>tel qu’il apparait du</w:t>
      </w:r>
      <w:r>
        <w:rPr>
          <w:bCs/>
        </w:rPr>
        <w:t xml:space="preserve"> jugement </w:t>
      </w:r>
      <w:r w:rsidR="00717336">
        <w:rPr>
          <w:bCs/>
        </w:rPr>
        <w:t>rectifi</w:t>
      </w:r>
      <w:r w:rsidR="00643C71">
        <w:rPr>
          <w:bCs/>
        </w:rPr>
        <w:t>é</w:t>
      </w:r>
      <w:r w:rsidR="00717336">
        <w:rPr>
          <w:bCs/>
        </w:rPr>
        <w:t xml:space="preserve"> ci-joint</w:t>
      </w:r>
      <w:r w:rsidR="00C52249">
        <w:rPr>
          <w:bCs/>
        </w:rPr>
        <w:t>.</w:t>
      </w:r>
    </w:p>
    <w:p w14:paraId="45648CB0" w14:textId="051DA73C" w:rsidR="00C52249" w:rsidRPr="001D18DF" w:rsidRDefault="00C52249" w:rsidP="00226213">
      <w:pPr>
        <w:pStyle w:val="Paragrdouble"/>
        <w:spacing w:line="240" w:lineRule="auto"/>
        <w:rPr>
          <w:b/>
        </w:rPr>
      </w:pPr>
      <w:r>
        <w:rPr>
          <w:b/>
        </w:rPr>
        <w:t>LE TOUT</w:t>
      </w:r>
      <w:r w:rsidRPr="00C52249">
        <w:rPr>
          <w:bCs/>
        </w:rPr>
        <w:t>, sans frais</w:t>
      </w:r>
      <w:r>
        <w:rPr>
          <w:bCs/>
        </w:rPr>
        <w:t>.</w:t>
      </w:r>
    </w:p>
    <w:p w14:paraId="7B6A56B7" w14:textId="77777777" w:rsidR="00226213" w:rsidRDefault="00226213" w:rsidP="00226213">
      <w:pPr>
        <w:pStyle w:val="Paragrdouble"/>
        <w:numPr>
          <w:ilvl w:val="0"/>
          <w:numId w:val="0"/>
        </w:numPr>
        <w:spacing w:line="240" w:lineRule="auto"/>
        <w:rPr>
          <w:b/>
        </w:rPr>
      </w:pPr>
    </w:p>
    <w:p w14:paraId="2E0AE17F" w14:textId="77777777" w:rsidR="00C52249" w:rsidRPr="00226213" w:rsidRDefault="00C52249" w:rsidP="00226213">
      <w:pPr>
        <w:pStyle w:val="Paragrdouble"/>
        <w:numPr>
          <w:ilvl w:val="0"/>
          <w:numId w:val="0"/>
        </w:numPr>
        <w:spacing w:line="240" w:lineRule="auto"/>
        <w:rPr>
          <w:b/>
        </w:rPr>
      </w:pPr>
    </w:p>
    <w:p w14:paraId="1B525DE4" w14:textId="77777777" w:rsidR="00226213" w:rsidRPr="008B3C8E" w:rsidRDefault="00226213" w:rsidP="00226213">
      <w:pPr>
        <w:pStyle w:val="Paragrdouble"/>
        <w:numPr>
          <w:ilvl w:val="0"/>
          <w:numId w:val="0"/>
        </w:numPr>
        <w:spacing w:line="240" w:lineRule="auto"/>
        <w:rPr>
          <w:b/>
        </w:rPr>
      </w:pPr>
    </w:p>
    <w:tbl>
      <w:tblPr>
        <w:tblW w:w="8898" w:type="dxa"/>
        <w:tblLayout w:type="fixed"/>
        <w:tblCellMar>
          <w:left w:w="0" w:type="dxa"/>
          <w:right w:w="0" w:type="dxa"/>
        </w:tblCellMar>
        <w:tblLook w:val="0000" w:firstRow="0" w:lastRow="0" w:firstColumn="0" w:lastColumn="0" w:noHBand="0" w:noVBand="0"/>
      </w:tblPr>
      <w:tblGrid>
        <w:gridCol w:w="4253"/>
        <w:gridCol w:w="4645"/>
      </w:tblGrid>
      <w:tr w:rsidR="00121A72" w:rsidRPr="009D36B8" w14:paraId="4D6B28EF" w14:textId="77777777" w:rsidTr="00767077">
        <w:trPr>
          <w:cantSplit/>
        </w:trPr>
        <w:tc>
          <w:tcPr>
            <w:tcW w:w="4253" w:type="dxa"/>
          </w:tcPr>
          <w:p w14:paraId="1CB84719" w14:textId="77777777" w:rsidR="007E0486" w:rsidRPr="009D4B69" w:rsidRDefault="007E0486" w:rsidP="00D92568">
            <w:pPr>
              <w:rPr>
                <w:sz w:val="22"/>
                <w:szCs w:val="22"/>
              </w:rPr>
            </w:pPr>
          </w:p>
          <w:p w14:paraId="4B5984E9" w14:textId="77777777" w:rsidR="00121A72" w:rsidRDefault="00121A72" w:rsidP="007E0486">
            <w:pPr>
              <w:tabs>
                <w:tab w:val="left" w:pos="630"/>
              </w:tabs>
              <w:ind w:left="284"/>
              <w:jc w:val="right"/>
            </w:pPr>
          </w:p>
        </w:tc>
        <w:tc>
          <w:tcPr>
            <w:tcW w:w="4645" w:type="dxa"/>
          </w:tcPr>
          <w:p w14:paraId="65BC4A98" w14:textId="6B4FFE13" w:rsidR="007E0486" w:rsidRDefault="00767077" w:rsidP="007E0486">
            <w:pPr>
              <w:tabs>
                <w:tab w:val="left" w:pos="630"/>
                <w:tab w:val="left" w:pos="4962"/>
              </w:tabs>
              <w:ind w:left="284"/>
              <w:jc w:val="right"/>
              <w:rPr>
                <w:b/>
                <w:bCs/>
                <w:sz w:val="22"/>
                <w:szCs w:val="22"/>
              </w:rPr>
            </w:pPr>
            <w:r>
              <w:rPr>
                <w:b/>
                <w:bCs/>
                <w:sz w:val="22"/>
                <w:szCs w:val="22"/>
              </w:rPr>
              <w:t xml:space="preserve">    </w:t>
            </w:r>
            <w:r w:rsidR="007E0486">
              <w:rPr>
                <w:b/>
                <w:bCs/>
                <w:sz w:val="22"/>
                <w:szCs w:val="22"/>
              </w:rPr>
              <w:t>__________________________________</w:t>
            </w:r>
          </w:p>
          <w:p w14:paraId="03869259" w14:textId="2C12A659" w:rsidR="007E0486" w:rsidRPr="00C27B6F" w:rsidRDefault="007E0486" w:rsidP="007E0486">
            <w:pPr>
              <w:ind w:left="284"/>
              <w:jc w:val="right"/>
              <w:rPr>
                <w:b/>
                <w:bCs/>
              </w:rPr>
            </w:pPr>
            <w:r>
              <w:rPr>
                <w:b/>
                <w:bCs/>
                <w:sz w:val="22"/>
                <w:szCs w:val="22"/>
              </w:rPr>
              <w:tab/>
            </w:r>
            <w:r w:rsidRPr="00C27B6F">
              <w:rPr>
                <w:b/>
                <w:bCs/>
              </w:rPr>
              <w:t>MARIE-</w:t>
            </w:r>
            <w:r w:rsidR="00767077">
              <w:rPr>
                <w:b/>
                <w:bCs/>
              </w:rPr>
              <w:t>CLAUDE LALANDE</w:t>
            </w:r>
            <w:r w:rsidRPr="00C27B6F">
              <w:rPr>
                <w:b/>
                <w:bCs/>
              </w:rPr>
              <w:t>, J.C.S.</w:t>
            </w:r>
          </w:p>
          <w:p w14:paraId="444CB290" w14:textId="612D2A2F" w:rsidR="00121A72" w:rsidRPr="007E0486" w:rsidRDefault="00121A72" w:rsidP="007E0486">
            <w:pPr>
              <w:pStyle w:val="zSoquijdatSignature3Juge"/>
              <w:ind w:left="-1111" w:right="2065"/>
            </w:pPr>
          </w:p>
        </w:tc>
      </w:tr>
      <w:tr w:rsidR="00121A72" w:rsidRPr="009D36B8" w14:paraId="7574F600" w14:textId="77777777" w:rsidTr="007E0486">
        <w:tblPrEx>
          <w:tblCellMar>
            <w:left w:w="70" w:type="dxa"/>
            <w:right w:w="70" w:type="dxa"/>
          </w:tblCellMar>
        </w:tblPrEx>
        <w:tc>
          <w:tcPr>
            <w:tcW w:w="8898" w:type="dxa"/>
            <w:gridSpan w:val="2"/>
          </w:tcPr>
          <w:p w14:paraId="230E44DF" w14:textId="77777777" w:rsidR="00121A72" w:rsidRPr="007E0486" w:rsidRDefault="00121A72" w:rsidP="00D26929"/>
        </w:tc>
      </w:tr>
      <w:tr w:rsidR="00D92568" w14:paraId="78972A31" w14:textId="77777777" w:rsidTr="007E0486">
        <w:tblPrEx>
          <w:tblCellMar>
            <w:left w:w="70" w:type="dxa"/>
            <w:right w:w="70" w:type="dxa"/>
          </w:tblCellMar>
        </w:tblPrEx>
        <w:trPr>
          <w:cantSplit/>
        </w:trPr>
        <w:tc>
          <w:tcPr>
            <w:tcW w:w="8898" w:type="dxa"/>
            <w:gridSpan w:val="2"/>
          </w:tcPr>
          <w:p w14:paraId="4299C391" w14:textId="77777777" w:rsidR="00D92568" w:rsidRDefault="00D92568"/>
          <w:p w14:paraId="62FAF3E9" w14:textId="77777777" w:rsidR="00D92568" w:rsidRDefault="00D92568"/>
          <w:p w14:paraId="5FC45A65" w14:textId="77777777" w:rsidR="00D92568" w:rsidRDefault="00D92568"/>
          <w:tbl>
            <w:tblPr>
              <w:tblW w:w="9505" w:type="dxa"/>
              <w:tblLayout w:type="fixed"/>
              <w:tblCellMar>
                <w:left w:w="70" w:type="dxa"/>
                <w:right w:w="70" w:type="dxa"/>
              </w:tblCellMar>
              <w:tblLook w:val="0000" w:firstRow="0" w:lastRow="0" w:firstColumn="0" w:lastColumn="0" w:noHBand="0" w:noVBand="0"/>
            </w:tblPr>
            <w:tblGrid>
              <w:gridCol w:w="9505"/>
            </w:tblGrid>
            <w:tr w:rsidR="00D92568" w:rsidRPr="008D28BA" w14:paraId="69766F3E" w14:textId="77777777" w:rsidTr="001A7DAD">
              <w:trPr>
                <w:cantSplit/>
              </w:trPr>
              <w:tc>
                <w:tcPr>
                  <w:tcW w:w="9505" w:type="dxa"/>
                </w:tcPr>
                <w:p w14:paraId="1CF65E68" w14:textId="77777777" w:rsidR="00D92568" w:rsidRPr="008D28BA" w:rsidRDefault="00D92568" w:rsidP="00D92568">
                  <w:pPr>
                    <w:pStyle w:val="zSoquijdatNomProcureurDem"/>
                  </w:pPr>
                  <w:r w:rsidRPr="008D28BA">
                    <w:t>Me Megan Lapointe / Me Florence Rodrigue</w:t>
                  </w:r>
                </w:p>
                <w:p w14:paraId="32906B70" w14:textId="77777777" w:rsidR="00D92568" w:rsidRPr="008D28BA" w:rsidRDefault="00D92568" w:rsidP="00D92568">
                  <w:pPr>
                    <w:pStyle w:val="zSoquijdatNomProcureurDem"/>
                  </w:pPr>
                  <w:r w:rsidRPr="008D28BA">
                    <w:t>JURIPOP</w:t>
                  </w:r>
                </w:p>
              </w:tc>
            </w:tr>
            <w:tr w:rsidR="00D92568" w:rsidRPr="008D28BA" w14:paraId="4D1CFD8C" w14:textId="77777777" w:rsidTr="001A7DAD">
              <w:trPr>
                <w:cantSplit/>
              </w:trPr>
              <w:tc>
                <w:tcPr>
                  <w:tcW w:w="9505" w:type="dxa"/>
                </w:tcPr>
                <w:p w14:paraId="7F968944" w14:textId="77777777" w:rsidR="00D92568" w:rsidRPr="008D28BA" w:rsidRDefault="00D92568" w:rsidP="00D92568">
                  <w:pPr>
                    <w:pStyle w:val="zSoquijdatCabinetProcureurDem"/>
                  </w:pPr>
                  <w:r w:rsidRPr="008D28BA">
                    <w:t>Avocats de la partie demanderesse</w:t>
                  </w:r>
                </w:p>
              </w:tc>
            </w:tr>
            <w:tr w:rsidR="00D92568" w:rsidRPr="008D28BA" w14:paraId="3346F8C0" w14:textId="77777777" w:rsidTr="001A7DAD">
              <w:trPr>
                <w:cantSplit/>
              </w:trPr>
              <w:tc>
                <w:tcPr>
                  <w:tcW w:w="9505" w:type="dxa"/>
                </w:tcPr>
                <w:p w14:paraId="6C37C9D6" w14:textId="77777777" w:rsidR="00D92568" w:rsidRPr="008D28BA" w:rsidRDefault="00D92568" w:rsidP="00D92568">
                  <w:pPr>
                    <w:pStyle w:val="zSoquijlblProcureurDem"/>
                  </w:pPr>
                </w:p>
              </w:tc>
            </w:tr>
            <w:tr w:rsidR="00D92568" w:rsidRPr="008D28BA" w14:paraId="2FA65E90" w14:textId="77777777" w:rsidTr="001A7DAD">
              <w:trPr>
                <w:cantSplit/>
              </w:trPr>
              <w:tc>
                <w:tcPr>
                  <w:tcW w:w="9505" w:type="dxa"/>
                </w:tcPr>
                <w:p w14:paraId="44C1A7B4" w14:textId="77777777" w:rsidR="00D92568" w:rsidRPr="008D28BA" w:rsidRDefault="00D92568" w:rsidP="00D92568"/>
                <w:p w14:paraId="544B88F2" w14:textId="77777777" w:rsidR="00D92568" w:rsidRPr="008D28BA" w:rsidRDefault="00D92568" w:rsidP="00D92568">
                  <w:r w:rsidRPr="008D28BA">
                    <w:t>Me Raphaël Paquin</w:t>
                  </w:r>
                </w:p>
                <w:p w14:paraId="70D17C9C" w14:textId="77777777" w:rsidR="00D92568" w:rsidRPr="008D28BA" w:rsidRDefault="00D92568" w:rsidP="00D92568">
                  <w:r w:rsidRPr="008D28BA">
                    <w:t>LAVIGNE ANCTIL MERCIER, AVOCATS</w:t>
                  </w:r>
                </w:p>
              </w:tc>
            </w:tr>
            <w:tr w:rsidR="00D92568" w:rsidRPr="008D28BA" w14:paraId="727867A1" w14:textId="77777777" w:rsidTr="001A7DAD">
              <w:trPr>
                <w:cantSplit/>
              </w:trPr>
              <w:tc>
                <w:tcPr>
                  <w:tcW w:w="9505" w:type="dxa"/>
                </w:tcPr>
                <w:p w14:paraId="1C8697C0" w14:textId="77777777" w:rsidR="00D92568" w:rsidRPr="008D28BA" w:rsidRDefault="00D92568" w:rsidP="00D92568">
                  <w:pPr>
                    <w:pStyle w:val="zSoquijdatNomProcureurDef"/>
                  </w:pPr>
                  <w:r w:rsidRPr="008D28BA">
                    <w:t>Avocats de la partie défenderesse</w:t>
                  </w:r>
                </w:p>
              </w:tc>
            </w:tr>
            <w:tr w:rsidR="00D92568" w:rsidRPr="008D28BA" w14:paraId="0E5A3520" w14:textId="77777777" w:rsidTr="001A7DAD">
              <w:trPr>
                <w:cantSplit/>
              </w:trPr>
              <w:tc>
                <w:tcPr>
                  <w:tcW w:w="9505" w:type="dxa"/>
                </w:tcPr>
                <w:p w14:paraId="102C8540" w14:textId="77777777" w:rsidR="00D92568" w:rsidRPr="008D28BA" w:rsidRDefault="00D92568" w:rsidP="00D92568">
                  <w:pPr>
                    <w:pStyle w:val="zSoquijdatCabinetProcureurDef"/>
                  </w:pPr>
                </w:p>
                <w:p w14:paraId="1700A22C" w14:textId="77777777" w:rsidR="00D92568" w:rsidRPr="008D28BA" w:rsidRDefault="00D92568" w:rsidP="00D92568">
                  <w:pPr>
                    <w:pStyle w:val="zSoquijdatCabinetProcureurDef"/>
                  </w:pPr>
                  <w:r w:rsidRPr="008D28BA">
                    <w:t>Mes Marie-Philippe Tanguay / Andrea Alary Hoffman</w:t>
                  </w:r>
                </w:p>
              </w:tc>
            </w:tr>
            <w:tr w:rsidR="00D92568" w:rsidRPr="008D28BA" w14:paraId="6206CA90" w14:textId="77777777" w:rsidTr="001A7DAD">
              <w:trPr>
                <w:cantSplit/>
              </w:trPr>
              <w:tc>
                <w:tcPr>
                  <w:tcW w:w="9505" w:type="dxa"/>
                </w:tcPr>
                <w:p w14:paraId="35B4B683" w14:textId="77777777" w:rsidR="00D92568" w:rsidRPr="008D28BA" w:rsidRDefault="00D92568" w:rsidP="00D92568">
                  <w:pPr>
                    <w:pStyle w:val="zSoquijlblProcureurDef"/>
                  </w:pPr>
                  <w:r w:rsidRPr="008D28BA">
                    <w:t>BERNARD, ROY (JUSTICE-QUÉBEC)</w:t>
                  </w:r>
                </w:p>
                <w:p w14:paraId="70CA87AB" w14:textId="77777777" w:rsidR="00D92568" w:rsidRPr="008D28BA" w:rsidRDefault="00D92568" w:rsidP="00D92568">
                  <w:pPr>
                    <w:pStyle w:val="zSoquijlblProcureurDef"/>
                  </w:pPr>
                  <w:r w:rsidRPr="008D28BA">
                    <w:t>Avocats de la partie intervenante</w:t>
                  </w:r>
                </w:p>
                <w:p w14:paraId="24C3A149" w14:textId="77777777" w:rsidR="00D92568" w:rsidRPr="008D28BA" w:rsidRDefault="00D92568" w:rsidP="00D92568">
                  <w:pPr>
                    <w:pStyle w:val="zSoquijlblProcureurDef"/>
                  </w:pPr>
                </w:p>
                <w:p w14:paraId="000F323C" w14:textId="77777777" w:rsidR="00D92568" w:rsidRPr="008D28BA" w:rsidRDefault="00D92568" w:rsidP="00D92568">
                  <w:pPr>
                    <w:pStyle w:val="zSoquijlblProcureurDef"/>
                  </w:pPr>
                </w:p>
              </w:tc>
            </w:tr>
            <w:tr w:rsidR="00D92568" w:rsidRPr="008D28BA" w14:paraId="44FD34DB" w14:textId="77777777" w:rsidTr="001A7DAD">
              <w:tc>
                <w:tcPr>
                  <w:tcW w:w="9505" w:type="dxa"/>
                </w:tcPr>
                <w:p w14:paraId="3995DAF1" w14:textId="77777777" w:rsidR="00D92568" w:rsidRPr="008D28BA" w:rsidRDefault="00D92568" w:rsidP="00D92568"/>
              </w:tc>
            </w:tr>
          </w:tbl>
          <w:p w14:paraId="230E59C9" w14:textId="06C17348" w:rsidR="00D92568" w:rsidRPr="007E0486" w:rsidRDefault="00D92568" w:rsidP="00D92568">
            <w:pPr>
              <w:pStyle w:val="zSoquijdatNomProcureurDem"/>
              <w:rPr>
                <w:bCs/>
              </w:rPr>
            </w:pPr>
          </w:p>
        </w:tc>
      </w:tr>
    </w:tbl>
    <w:p w14:paraId="255FBBD8" w14:textId="77777777" w:rsidR="00DF4E65" w:rsidRDefault="00DF4E65" w:rsidP="00D26929">
      <w:pPr>
        <w:sectPr w:rsidR="00DF4E65" w:rsidSect="001D18DF">
          <w:headerReference w:type="default" r:id="rId11"/>
          <w:footerReference w:type="even" r:id="rId12"/>
          <w:footnotePr>
            <w:numRestart w:val="eachSect"/>
          </w:footnotePr>
          <w:pgSz w:w="12242" w:h="15842" w:code="1"/>
          <w:pgMar w:top="1440" w:right="1008" w:bottom="1440" w:left="1872" w:header="1440" w:footer="792" w:gutter="0"/>
          <w:pgNumType w:start="1"/>
          <w:cols w:space="720"/>
          <w:titlePg/>
          <w:docGrid w:linePitch="326"/>
        </w:sectPr>
      </w:pPr>
    </w:p>
    <w:tbl>
      <w:tblPr>
        <w:tblW w:w="9550" w:type="dxa"/>
        <w:tblLayout w:type="fixed"/>
        <w:tblCellMar>
          <w:left w:w="70" w:type="dxa"/>
          <w:right w:w="70" w:type="dxa"/>
        </w:tblCellMar>
        <w:tblLook w:val="0000" w:firstRow="0" w:lastRow="0" w:firstColumn="0" w:lastColumn="0" w:noHBand="0" w:noVBand="0"/>
      </w:tblPr>
      <w:tblGrid>
        <w:gridCol w:w="3240"/>
        <w:gridCol w:w="70"/>
        <w:gridCol w:w="510"/>
        <w:gridCol w:w="1246"/>
        <w:gridCol w:w="2069"/>
        <w:gridCol w:w="2415"/>
      </w:tblGrid>
      <w:tr w:rsidR="00407431" w14:paraId="4F094DB3" w14:textId="77777777" w:rsidTr="000923A6">
        <w:trPr>
          <w:trHeight w:val="360"/>
        </w:trPr>
        <w:tc>
          <w:tcPr>
            <w:tcW w:w="7135" w:type="dxa"/>
            <w:gridSpan w:val="5"/>
          </w:tcPr>
          <w:p w14:paraId="75A03CF6" w14:textId="6F0CB6B3" w:rsidR="00407431" w:rsidRDefault="00407431" w:rsidP="00407431">
            <w:pPr>
              <w:pStyle w:val="zSoquijdatRepertorie"/>
            </w:pPr>
            <w:r>
              <w:rPr>
                <w:rFonts w:cs="Arial"/>
                <w:lang w:eastAsia="fr-CA"/>
              </w:rPr>
              <w:lastRenderedPageBreak/>
              <w:t>J.C. c. M.C.</w:t>
            </w:r>
          </w:p>
        </w:tc>
        <w:tc>
          <w:tcPr>
            <w:tcW w:w="2415" w:type="dxa"/>
          </w:tcPr>
          <w:p w14:paraId="1F4FAF6B" w14:textId="55C9EB29" w:rsidR="00407431" w:rsidRDefault="00407431" w:rsidP="00407431">
            <w:pPr>
              <w:pStyle w:val="zSoquijdatRefNeutre"/>
              <w:jc w:val="right"/>
            </w:pPr>
            <w:r w:rsidRPr="002B023E">
              <w:rPr>
                <w:rFonts w:cs="Arial"/>
              </w:rPr>
              <w:t>2026 QCCS 1206</w:t>
            </w:r>
          </w:p>
        </w:tc>
      </w:tr>
      <w:tr w:rsidR="00DF4E65" w14:paraId="71256BE0" w14:textId="77777777" w:rsidTr="000923A6">
        <w:trPr>
          <w:trHeight w:val="900"/>
        </w:trPr>
        <w:tc>
          <w:tcPr>
            <w:tcW w:w="9550" w:type="dxa"/>
            <w:gridSpan w:val="6"/>
            <w:vAlign w:val="bottom"/>
          </w:tcPr>
          <w:p w14:paraId="32F69DDA" w14:textId="77777777" w:rsidR="00DF4E65" w:rsidRDefault="00DF4E65" w:rsidP="005C359B">
            <w:pPr>
              <w:pStyle w:val="zSoquijlblCour"/>
            </w:pPr>
            <w:r>
              <w:t>COUR SUPÉRIEURE</w:t>
            </w:r>
          </w:p>
          <w:p w14:paraId="3A127529" w14:textId="77777777" w:rsidR="00DF4E65" w:rsidRDefault="00DF4E65" w:rsidP="005C359B">
            <w:pPr>
              <w:pStyle w:val="zSoquijlblCour"/>
            </w:pPr>
          </w:p>
        </w:tc>
      </w:tr>
      <w:tr w:rsidR="00DF4E65" w14:paraId="1D9DB44B" w14:textId="77777777" w:rsidTr="000923A6">
        <w:trPr>
          <w:trHeight w:val="540"/>
        </w:trPr>
        <w:tc>
          <w:tcPr>
            <w:tcW w:w="9550" w:type="dxa"/>
            <w:gridSpan w:val="6"/>
          </w:tcPr>
          <w:p w14:paraId="43A8633D" w14:textId="77777777" w:rsidR="00DF4E65" w:rsidRDefault="00DF4E65" w:rsidP="00D26929">
            <w:pPr>
              <w:pStyle w:val="zSoquijdatDivision"/>
            </w:pPr>
          </w:p>
          <w:p w14:paraId="2DF40689" w14:textId="77777777" w:rsidR="00DF4E65" w:rsidRDefault="00DF4E65" w:rsidP="00D26929">
            <w:pPr>
              <w:pStyle w:val="zSoquijdatDivision"/>
            </w:pPr>
          </w:p>
          <w:p w14:paraId="05AB746A" w14:textId="77777777" w:rsidR="00DF4E65" w:rsidRDefault="00DF4E65" w:rsidP="00D26929">
            <w:pPr>
              <w:pStyle w:val="zSoquijdatDivision"/>
            </w:pPr>
          </w:p>
        </w:tc>
      </w:tr>
      <w:tr w:rsidR="00DF4E65" w14:paraId="7B17300A" w14:textId="77777777" w:rsidTr="000923A6">
        <w:tc>
          <w:tcPr>
            <w:tcW w:w="9550" w:type="dxa"/>
            <w:gridSpan w:val="6"/>
          </w:tcPr>
          <w:p w14:paraId="461A540C" w14:textId="77777777" w:rsidR="00DF4E65" w:rsidRPr="00C025FC" w:rsidRDefault="00DF4E65" w:rsidP="00D26929">
            <w:pPr>
              <w:pStyle w:val="zSoquijlblPays"/>
            </w:pPr>
            <w:r w:rsidRPr="00C025FC">
              <w:t>CANADA</w:t>
            </w:r>
          </w:p>
        </w:tc>
      </w:tr>
      <w:tr w:rsidR="00DF4E65" w14:paraId="29AD9964" w14:textId="77777777" w:rsidTr="000923A6">
        <w:tc>
          <w:tcPr>
            <w:tcW w:w="9550" w:type="dxa"/>
            <w:gridSpan w:val="6"/>
          </w:tcPr>
          <w:p w14:paraId="439AEE1D" w14:textId="77777777" w:rsidR="00DF4E65" w:rsidRDefault="00DF4E65" w:rsidP="00D26929">
            <w:pPr>
              <w:pStyle w:val="zSoquijlblProvince"/>
            </w:pPr>
            <w:r>
              <w:t>PROVINCE DE QUÉBEC</w:t>
            </w:r>
          </w:p>
        </w:tc>
      </w:tr>
      <w:tr w:rsidR="00DF4E65" w14:paraId="059DDCED" w14:textId="77777777" w:rsidTr="000923A6">
        <w:tblPrEx>
          <w:tblCellMar>
            <w:left w:w="0" w:type="dxa"/>
            <w:right w:w="0" w:type="dxa"/>
          </w:tblCellMar>
        </w:tblPrEx>
        <w:trPr>
          <w:cantSplit/>
        </w:trPr>
        <w:tc>
          <w:tcPr>
            <w:tcW w:w="3820" w:type="dxa"/>
            <w:gridSpan w:val="3"/>
          </w:tcPr>
          <w:p w14:paraId="03E2566A" w14:textId="77777777" w:rsidR="00DF4E65" w:rsidRDefault="00DF4E65" w:rsidP="00D26929">
            <w:pPr>
              <w:pStyle w:val="zSoquijlblGreffe"/>
            </w:pPr>
            <w:r>
              <w:t>DISTRICT DE LONGUEUIL</w:t>
            </w:r>
          </w:p>
        </w:tc>
        <w:tc>
          <w:tcPr>
            <w:tcW w:w="5730" w:type="dxa"/>
            <w:gridSpan w:val="3"/>
          </w:tcPr>
          <w:p w14:paraId="1D19E61E" w14:textId="77777777" w:rsidR="00DF4E65" w:rsidRDefault="00DF4E65" w:rsidP="00D26929">
            <w:pPr>
              <w:pStyle w:val="zSoquijdatGreffe"/>
            </w:pPr>
          </w:p>
        </w:tc>
      </w:tr>
      <w:tr w:rsidR="00DF4E65" w14:paraId="3C231098" w14:textId="77777777" w:rsidTr="000923A6">
        <w:trPr>
          <w:trHeight w:val="540"/>
        </w:trPr>
        <w:tc>
          <w:tcPr>
            <w:tcW w:w="9550" w:type="dxa"/>
            <w:gridSpan w:val="6"/>
          </w:tcPr>
          <w:p w14:paraId="14312347" w14:textId="77777777" w:rsidR="00DF4E65" w:rsidRDefault="00DF4E65" w:rsidP="00D26929">
            <w:pPr>
              <w:pStyle w:val="zSoquijlblNomChambre"/>
            </w:pPr>
          </w:p>
        </w:tc>
      </w:tr>
      <w:tr w:rsidR="00DF4E65" w14:paraId="044ACC79" w14:textId="77777777" w:rsidTr="000923A6">
        <w:tc>
          <w:tcPr>
            <w:tcW w:w="3310" w:type="dxa"/>
            <w:gridSpan w:val="2"/>
          </w:tcPr>
          <w:p w14:paraId="28405ABB" w14:textId="77777777" w:rsidR="00DF4E65" w:rsidRDefault="00DF4E65" w:rsidP="000923A6">
            <w:pPr>
              <w:pStyle w:val="zSoquijlblDateJugement"/>
            </w:pPr>
            <w:r>
              <w:t>N</w:t>
            </w:r>
            <w:r w:rsidRPr="000923A6">
              <w:t>o</w:t>
            </w:r>
            <w:r>
              <w:t> :   505-17-013869-237</w:t>
            </w:r>
          </w:p>
          <w:p w14:paraId="47E584A9" w14:textId="77777777" w:rsidR="00DF4E65" w:rsidRDefault="00DF4E65" w:rsidP="000923A6">
            <w:pPr>
              <w:pStyle w:val="zSoquijlblDateJugement"/>
            </w:pPr>
          </w:p>
        </w:tc>
        <w:tc>
          <w:tcPr>
            <w:tcW w:w="6240" w:type="dxa"/>
            <w:gridSpan w:val="4"/>
          </w:tcPr>
          <w:p w14:paraId="4B1F213C" w14:textId="77777777" w:rsidR="00DF4E65" w:rsidRDefault="00DF4E65" w:rsidP="000923A6">
            <w:pPr>
              <w:pStyle w:val="zSoquijlblDateJugement"/>
            </w:pPr>
          </w:p>
        </w:tc>
      </w:tr>
      <w:tr w:rsidR="00DF4E65" w14:paraId="5433C1C5" w14:textId="77777777" w:rsidTr="000923A6">
        <w:trPr>
          <w:cantSplit/>
          <w:trHeight w:val="235"/>
        </w:trPr>
        <w:tc>
          <w:tcPr>
            <w:tcW w:w="9550" w:type="dxa"/>
            <w:gridSpan w:val="6"/>
          </w:tcPr>
          <w:p w14:paraId="4492F0FC" w14:textId="77777777" w:rsidR="00DF4E65" w:rsidRDefault="00DF4E65" w:rsidP="00D26929"/>
        </w:tc>
      </w:tr>
      <w:tr w:rsidR="00DF4E65" w14:paraId="610A071A" w14:textId="77777777" w:rsidTr="000923A6">
        <w:tc>
          <w:tcPr>
            <w:tcW w:w="3240" w:type="dxa"/>
          </w:tcPr>
          <w:p w14:paraId="609D94AE" w14:textId="77777777" w:rsidR="00DF4E65" w:rsidRDefault="00DF4E65" w:rsidP="00541037">
            <w:pPr>
              <w:pStyle w:val="zSoquijlblDateJugement"/>
              <w:ind w:right="-6276"/>
            </w:pPr>
            <w:r>
              <w:t>DATE :  10 avril 2026</w:t>
            </w:r>
          </w:p>
        </w:tc>
        <w:tc>
          <w:tcPr>
            <w:tcW w:w="6310" w:type="dxa"/>
            <w:gridSpan w:val="5"/>
          </w:tcPr>
          <w:p w14:paraId="185DC98E" w14:textId="77777777" w:rsidR="00DF4E65" w:rsidRDefault="00DF4E65" w:rsidP="00D26929">
            <w:pPr>
              <w:pStyle w:val="zSoquijdatDateJugement"/>
            </w:pPr>
          </w:p>
        </w:tc>
      </w:tr>
      <w:tr w:rsidR="00DF4E65" w14:paraId="42854B29" w14:textId="77777777" w:rsidTr="000923A6">
        <w:tc>
          <w:tcPr>
            <w:tcW w:w="9550" w:type="dxa"/>
            <w:gridSpan w:val="6"/>
          </w:tcPr>
          <w:p w14:paraId="58BF6B54" w14:textId="77777777" w:rsidR="00DF4E65" w:rsidRDefault="00DF4E65" w:rsidP="00D26929">
            <w:pPr>
              <w:ind w:left="14" w:right="-67"/>
            </w:pPr>
            <w:r>
              <w:t>______________________________________________________________________</w:t>
            </w:r>
          </w:p>
        </w:tc>
      </w:tr>
      <w:tr w:rsidR="00DF4E65" w14:paraId="5893E072" w14:textId="77777777" w:rsidTr="000923A6">
        <w:tc>
          <w:tcPr>
            <w:tcW w:w="9550" w:type="dxa"/>
            <w:gridSpan w:val="6"/>
          </w:tcPr>
          <w:p w14:paraId="0EA12EFA" w14:textId="77777777" w:rsidR="00DF4E65" w:rsidRDefault="00DF4E65" w:rsidP="00D26929"/>
        </w:tc>
      </w:tr>
      <w:tr w:rsidR="00DF4E65" w14:paraId="4D0EAF7B" w14:textId="77777777" w:rsidTr="000923A6">
        <w:tblPrEx>
          <w:tblCellMar>
            <w:left w:w="0" w:type="dxa"/>
            <w:right w:w="0" w:type="dxa"/>
          </w:tblCellMar>
        </w:tblPrEx>
        <w:tc>
          <w:tcPr>
            <w:tcW w:w="3240" w:type="dxa"/>
          </w:tcPr>
          <w:p w14:paraId="3C165506" w14:textId="77777777" w:rsidR="00DF4E65" w:rsidRDefault="00DF4E65" w:rsidP="00D26929">
            <w:pPr>
              <w:pStyle w:val="zSoquijlblJuge"/>
            </w:pPr>
            <w:r>
              <w:t>SOUS LA PRÉSIDENCE DE</w:t>
            </w:r>
          </w:p>
        </w:tc>
        <w:tc>
          <w:tcPr>
            <w:tcW w:w="1826" w:type="dxa"/>
            <w:gridSpan w:val="3"/>
          </w:tcPr>
          <w:p w14:paraId="3FC89854" w14:textId="77777777" w:rsidR="00DF4E65" w:rsidRDefault="00DF4E65" w:rsidP="00D26929">
            <w:pPr>
              <w:pStyle w:val="zSoquijdatQteJuge"/>
            </w:pPr>
            <w:r>
              <w:t>L’HONORABLE</w:t>
            </w:r>
          </w:p>
        </w:tc>
        <w:tc>
          <w:tcPr>
            <w:tcW w:w="4484" w:type="dxa"/>
            <w:gridSpan w:val="2"/>
          </w:tcPr>
          <w:p w14:paraId="0D889D7E" w14:textId="77777777" w:rsidR="00DF4E65" w:rsidRDefault="00DF4E65" w:rsidP="00CC2C7A">
            <w:pPr>
              <w:pStyle w:val="zSoquijdatJuge"/>
              <w:ind w:left="0"/>
            </w:pPr>
            <w:r>
              <w:t xml:space="preserve"> MARIE-CLAUDE LALANDE, J.C.S.</w:t>
            </w:r>
          </w:p>
        </w:tc>
      </w:tr>
      <w:tr w:rsidR="00DF4E65" w14:paraId="06272FFB" w14:textId="77777777" w:rsidTr="000923A6">
        <w:tc>
          <w:tcPr>
            <w:tcW w:w="9550" w:type="dxa"/>
            <w:gridSpan w:val="6"/>
          </w:tcPr>
          <w:p w14:paraId="476EF12D" w14:textId="77777777" w:rsidR="00DF4E65" w:rsidRDefault="00DF4E65" w:rsidP="00D26929">
            <w:pPr>
              <w:ind w:left="14" w:right="-67"/>
            </w:pPr>
            <w:r>
              <w:t>______________________________________________________________________</w:t>
            </w:r>
          </w:p>
        </w:tc>
      </w:tr>
      <w:tr w:rsidR="00DF4E65" w14:paraId="4770BFD1" w14:textId="77777777" w:rsidTr="000923A6">
        <w:tc>
          <w:tcPr>
            <w:tcW w:w="9550" w:type="dxa"/>
            <w:gridSpan w:val="6"/>
          </w:tcPr>
          <w:p w14:paraId="2868617D" w14:textId="77777777" w:rsidR="00DF4E65" w:rsidRDefault="00DF4E65" w:rsidP="00D26929">
            <w:pPr>
              <w:pStyle w:val="zSoquijlblTitrePartie"/>
            </w:pPr>
          </w:p>
        </w:tc>
      </w:tr>
      <w:tr w:rsidR="00DF4E65" w14:paraId="7F0E44F7" w14:textId="77777777" w:rsidTr="000923A6">
        <w:tc>
          <w:tcPr>
            <w:tcW w:w="9550" w:type="dxa"/>
            <w:gridSpan w:val="6"/>
          </w:tcPr>
          <w:p w14:paraId="4B7B92BC" w14:textId="77777777" w:rsidR="00DF4E65" w:rsidRDefault="00DF4E65" w:rsidP="00D26929">
            <w:pPr>
              <w:rPr>
                <w:b/>
                <w:bCs/>
              </w:rPr>
            </w:pPr>
            <w:r>
              <w:rPr>
                <w:b/>
                <w:bCs/>
              </w:rPr>
              <w:t>J. C.</w:t>
            </w:r>
          </w:p>
          <w:p w14:paraId="5EB92005" w14:textId="77777777" w:rsidR="00DF4E65" w:rsidRPr="00FD5D5E" w:rsidRDefault="00DF4E65" w:rsidP="00D26929">
            <w:pPr>
              <w:rPr>
                <w:b/>
                <w:bCs/>
              </w:rPr>
            </w:pPr>
          </w:p>
        </w:tc>
      </w:tr>
      <w:tr w:rsidR="00DF4E65" w14:paraId="45FDCA5F" w14:textId="77777777" w:rsidTr="000923A6">
        <w:tc>
          <w:tcPr>
            <w:tcW w:w="9550" w:type="dxa"/>
            <w:gridSpan w:val="6"/>
          </w:tcPr>
          <w:p w14:paraId="6178C02C" w14:textId="77777777" w:rsidR="00DF4E65" w:rsidRDefault="00DF4E65" w:rsidP="00FD5D5E">
            <w:pPr>
              <w:pStyle w:val="zSoquijdatQtePartieDem"/>
              <w:ind w:left="0"/>
            </w:pPr>
            <w:r>
              <w:t xml:space="preserve">          Demanderesse</w:t>
            </w:r>
          </w:p>
          <w:p w14:paraId="70714F58" w14:textId="77777777" w:rsidR="00DF4E65" w:rsidRDefault="00DF4E65" w:rsidP="00FD5D5E">
            <w:pPr>
              <w:pStyle w:val="zSoquijdatQtePartieDem"/>
              <w:ind w:left="0"/>
            </w:pPr>
          </w:p>
        </w:tc>
      </w:tr>
      <w:tr w:rsidR="00DF4E65" w14:paraId="7FAC7C9C" w14:textId="77777777" w:rsidTr="000923A6">
        <w:tc>
          <w:tcPr>
            <w:tcW w:w="9550" w:type="dxa"/>
            <w:gridSpan w:val="6"/>
          </w:tcPr>
          <w:p w14:paraId="34496B77" w14:textId="77777777" w:rsidR="00DF4E65" w:rsidRDefault="00DF4E65" w:rsidP="00D26929">
            <w:pPr>
              <w:pStyle w:val="zSoquijlblLienParties"/>
            </w:pPr>
            <w:r>
              <w:t>c.</w:t>
            </w:r>
          </w:p>
        </w:tc>
      </w:tr>
      <w:tr w:rsidR="00DF4E65" w14:paraId="13EDF295" w14:textId="77777777" w:rsidTr="000923A6">
        <w:tc>
          <w:tcPr>
            <w:tcW w:w="9550" w:type="dxa"/>
            <w:gridSpan w:val="6"/>
          </w:tcPr>
          <w:p w14:paraId="17355859" w14:textId="77777777" w:rsidR="00DF4E65" w:rsidRDefault="00DF4E65" w:rsidP="00D26929">
            <w:pPr>
              <w:pStyle w:val="zSoquijdatNomPartieDef"/>
            </w:pPr>
          </w:p>
          <w:p w14:paraId="748B028E" w14:textId="77777777" w:rsidR="00DF4E65" w:rsidRDefault="00DF4E65" w:rsidP="00D26929">
            <w:pPr>
              <w:pStyle w:val="zSoquijdatNomPartieDef"/>
            </w:pPr>
            <w:r>
              <w:t xml:space="preserve">M. C. </w:t>
            </w:r>
          </w:p>
        </w:tc>
      </w:tr>
      <w:tr w:rsidR="00DF4E65" w14:paraId="33945001" w14:textId="77777777" w:rsidTr="000923A6">
        <w:tc>
          <w:tcPr>
            <w:tcW w:w="9550" w:type="dxa"/>
            <w:gridSpan w:val="6"/>
          </w:tcPr>
          <w:p w14:paraId="2A7FEE4F" w14:textId="77777777" w:rsidR="00DF4E65" w:rsidRDefault="00DF4E65" w:rsidP="00D26929">
            <w:pPr>
              <w:pStyle w:val="zSoquijdatQtePartieDef"/>
            </w:pPr>
          </w:p>
          <w:p w14:paraId="08E61EAD" w14:textId="77777777" w:rsidR="00DF4E65" w:rsidRDefault="00DF4E65" w:rsidP="00D26929">
            <w:pPr>
              <w:pStyle w:val="zSoquijdatQtePartieDef"/>
            </w:pPr>
            <w:r>
              <w:t>Défendeur</w:t>
            </w:r>
          </w:p>
          <w:p w14:paraId="7F337B61" w14:textId="77777777" w:rsidR="00DF4E65" w:rsidRDefault="00DF4E65" w:rsidP="00D26929">
            <w:pPr>
              <w:pStyle w:val="zSoquijdatQtePartieDef"/>
            </w:pPr>
          </w:p>
          <w:p w14:paraId="751142B4" w14:textId="77777777" w:rsidR="00DF4E65" w:rsidRDefault="00DF4E65" w:rsidP="002F187C">
            <w:pPr>
              <w:pStyle w:val="zSoquijdatQtePartieDef"/>
              <w:ind w:left="0"/>
            </w:pPr>
            <w:r>
              <w:t>et</w:t>
            </w:r>
          </w:p>
          <w:p w14:paraId="3238E702" w14:textId="77777777" w:rsidR="00DF4E65" w:rsidRDefault="00DF4E65" w:rsidP="002F187C">
            <w:pPr>
              <w:pStyle w:val="zSoquijdatQtePartieDef"/>
              <w:ind w:left="0"/>
            </w:pPr>
          </w:p>
          <w:p w14:paraId="4C02F5B1" w14:textId="77777777" w:rsidR="00DF4E65" w:rsidRDefault="00DF4E65" w:rsidP="002F187C">
            <w:pPr>
              <w:pStyle w:val="zSoquijdatQtePartieDef"/>
              <w:ind w:left="0"/>
              <w:rPr>
                <w:b/>
                <w:bCs/>
              </w:rPr>
            </w:pPr>
            <w:r>
              <w:rPr>
                <w:b/>
                <w:bCs/>
              </w:rPr>
              <w:t>PROCUREUR GÉNÉRAL DU QUÉBEC</w:t>
            </w:r>
          </w:p>
          <w:p w14:paraId="28986975" w14:textId="77777777" w:rsidR="00DF4E65" w:rsidRDefault="00DF4E65" w:rsidP="002F187C">
            <w:pPr>
              <w:pStyle w:val="zSoquijdatQtePartieDef"/>
              <w:ind w:left="0"/>
              <w:rPr>
                <w:b/>
                <w:bCs/>
              </w:rPr>
            </w:pPr>
          </w:p>
          <w:p w14:paraId="7A128564" w14:textId="77777777" w:rsidR="00DF4E65" w:rsidRPr="002F187C" w:rsidRDefault="00DF4E65" w:rsidP="002F187C">
            <w:pPr>
              <w:pStyle w:val="zSoquijdatQtePartieDef"/>
              <w:ind w:left="0"/>
            </w:pPr>
            <w:r>
              <w:rPr>
                <w:b/>
                <w:bCs/>
              </w:rPr>
              <w:t xml:space="preserve">          </w:t>
            </w:r>
            <w:r>
              <w:t>Mis en cause</w:t>
            </w:r>
          </w:p>
        </w:tc>
      </w:tr>
      <w:tr w:rsidR="00DF4E65" w14:paraId="0A0E7B0D" w14:textId="77777777" w:rsidTr="000923A6">
        <w:tc>
          <w:tcPr>
            <w:tcW w:w="9550" w:type="dxa"/>
            <w:gridSpan w:val="6"/>
          </w:tcPr>
          <w:p w14:paraId="5BCE07CF" w14:textId="77777777" w:rsidR="00DF4E65" w:rsidRDefault="00DF4E65" w:rsidP="00D26929">
            <w:pPr>
              <w:ind w:left="14" w:right="-95"/>
            </w:pPr>
          </w:p>
        </w:tc>
      </w:tr>
      <w:tr w:rsidR="00DF4E65" w14:paraId="775515E7" w14:textId="77777777" w:rsidTr="000923A6">
        <w:tc>
          <w:tcPr>
            <w:tcW w:w="9550" w:type="dxa"/>
            <w:gridSpan w:val="6"/>
          </w:tcPr>
          <w:p w14:paraId="689355F2" w14:textId="77777777" w:rsidR="00DF4E65" w:rsidRPr="002F187C" w:rsidRDefault="00DF4E65" w:rsidP="00D26929">
            <w:pPr>
              <w:ind w:left="14" w:right="-95"/>
            </w:pPr>
            <w:r w:rsidRPr="002F187C">
              <w:t>______________________________________________________________________</w:t>
            </w:r>
          </w:p>
        </w:tc>
      </w:tr>
      <w:tr w:rsidR="00DF4E65" w14:paraId="39A1DFB3" w14:textId="77777777" w:rsidTr="000923A6">
        <w:tc>
          <w:tcPr>
            <w:tcW w:w="9550" w:type="dxa"/>
            <w:gridSpan w:val="6"/>
          </w:tcPr>
          <w:p w14:paraId="16363BD4" w14:textId="77777777" w:rsidR="00DF4E65" w:rsidRDefault="00DF4E65" w:rsidP="00D26929">
            <w:pPr>
              <w:jc w:val="center"/>
            </w:pPr>
          </w:p>
        </w:tc>
      </w:tr>
      <w:tr w:rsidR="00DF4E65" w14:paraId="510A9BF9" w14:textId="77777777" w:rsidTr="000923A6">
        <w:tc>
          <w:tcPr>
            <w:tcW w:w="9550" w:type="dxa"/>
            <w:gridSpan w:val="6"/>
          </w:tcPr>
          <w:p w14:paraId="120FABE6" w14:textId="77777777" w:rsidR="00DF4E65" w:rsidRPr="00EA68E2" w:rsidRDefault="00DF4E65" w:rsidP="00D26929">
            <w:pPr>
              <w:pStyle w:val="zSoquijlblTypeDocument"/>
              <w:rPr>
                <w:b/>
                <w:bCs/>
                <w:u w:val="single"/>
              </w:rPr>
            </w:pPr>
            <w:r w:rsidRPr="00EA68E2">
              <w:rPr>
                <w:b/>
                <w:bCs/>
                <w:u w:val="single"/>
              </w:rPr>
              <w:t>JUGEMENT RECTIFIÉ</w:t>
            </w:r>
          </w:p>
          <w:p w14:paraId="7E42502C" w14:textId="77777777" w:rsidR="00DF4E65" w:rsidRPr="0024307D" w:rsidRDefault="00DF4E65" w:rsidP="003937C5">
            <w:pPr>
              <w:pStyle w:val="zSoquijlblTypeDocument"/>
              <w:jc w:val="left"/>
            </w:pPr>
            <w:r>
              <w:t xml:space="preserve">______________________________________________________________________ </w:t>
            </w:r>
          </w:p>
        </w:tc>
      </w:tr>
      <w:tr w:rsidR="00DF4E65" w14:paraId="0A589E63" w14:textId="77777777" w:rsidTr="000923A6">
        <w:tc>
          <w:tcPr>
            <w:tcW w:w="9550" w:type="dxa"/>
            <w:gridSpan w:val="6"/>
          </w:tcPr>
          <w:p w14:paraId="1F0E8031" w14:textId="77777777" w:rsidR="00DF4E65" w:rsidRDefault="00DF4E65" w:rsidP="00D26929">
            <w:pPr>
              <w:ind w:left="14" w:right="-70"/>
            </w:pPr>
          </w:p>
        </w:tc>
      </w:tr>
    </w:tbl>
    <w:p w14:paraId="04C0F37E" w14:textId="77777777" w:rsidR="00DF4E65" w:rsidRDefault="00DF4E65" w:rsidP="00C53C49">
      <w:pPr>
        <w:pStyle w:val="TM1"/>
        <w:tabs>
          <w:tab w:val="right" w:leader="dot" w:pos="9352"/>
        </w:tabs>
        <w:jc w:val="both"/>
        <w:rPr>
          <w:noProof/>
          <w:color w:val="0000FF"/>
        </w:rPr>
      </w:pPr>
      <w:bookmarkStart w:id="2" w:name="_Toc45807135"/>
      <w:bookmarkStart w:id="3" w:name="_Toc430945543"/>
    </w:p>
    <w:p w14:paraId="7949CCBC" w14:textId="77777777" w:rsidR="00DF4E65" w:rsidRPr="00DF4E65" w:rsidRDefault="00DF4E65" w:rsidP="00DF4E65">
      <w:pPr>
        <w:pStyle w:val="Paragrdouble"/>
        <w:numPr>
          <w:ilvl w:val="0"/>
          <w:numId w:val="55"/>
        </w:numPr>
        <w:tabs>
          <w:tab w:val="left" w:pos="720"/>
        </w:tabs>
        <w:spacing w:line="240" w:lineRule="auto"/>
        <w:rPr>
          <w:rFonts w:eastAsia="Arial" w:cs="Arial"/>
          <w:szCs w:val="24"/>
          <w:lang w:eastAsia="fr-CA"/>
        </w:rPr>
      </w:pPr>
      <w:r>
        <w:rPr>
          <w:noProof/>
        </w:rPr>
        <w:lastRenderedPageBreak/>
        <w:t xml:space="preserve">   </w:t>
      </w:r>
      <w:r w:rsidRPr="00DF4E65">
        <w:rPr>
          <w:rFonts w:eastAsia="Arial" w:cs="Arial"/>
          <w:szCs w:val="24"/>
          <w:lang w:eastAsia="fr-CA"/>
        </w:rPr>
        <w:t>J. C., poursuit son père, M. C., pour les dommages subis à la suite de nombreuses agressions sexuelles perpétrées par celui-ci durant les années 80, alors qu’elle n’était qu’une petite enfant.</w:t>
      </w:r>
    </w:p>
    <w:p w14:paraId="1F404FB2" w14:textId="77777777" w:rsidR="00DF4E65" w:rsidRPr="007D27E0" w:rsidRDefault="00DF4E65" w:rsidP="007D27E0">
      <w:pPr>
        <w:pStyle w:val="Paragrsimple"/>
        <w:spacing w:line="240" w:lineRule="exact"/>
      </w:pPr>
      <w:r>
        <w:rPr>
          <w:noProof/>
        </w:rPr>
        <w:t xml:space="preserve">Elle lui réclame la somme de 2 160 009$ à titre de dommages pécuniaires, 250 000$ à titre de dommages non-pécuniaires et 50 000$ à titre de dommages punitifs. </w:t>
      </w:r>
      <w:r>
        <w:t>Elle reconnaît par ailleurs avoir reçu de son père la somme de 210 000$ à la suite de la saisie avant-jugement de la résidence familiale de ce dernier qui a depuis été vendue.</w:t>
      </w:r>
    </w:p>
    <w:p w14:paraId="013E1BD6" w14:textId="77777777" w:rsidR="00DF4E65" w:rsidRDefault="00DF4E65" w:rsidP="00102F3E">
      <w:pPr>
        <w:pStyle w:val="Paragrsimple"/>
        <w:rPr>
          <w:rFonts w:eastAsia="Arial"/>
          <w:lang w:eastAsia="fr-CA"/>
        </w:rPr>
      </w:pPr>
      <w:r>
        <w:rPr>
          <w:rFonts w:eastAsia="Arial"/>
          <w:lang w:eastAsia="fr-CA"/>
        </w:rPr>
        <w:t xml:space="preserve">   Aujourd’hui, M. C. maintenant âgé de 75 ans, reconnaît avoir posé des gestes à caractère sexuel à l’encontre de sa fille, mais seulement à trois occasions en 1982 et affirme que la somme qu’il a déjà versée représente un montant suffisant pour réparer tous les préjudices résultant de ses gestes. Il nie qu’il ait pu y avoir d’autres agressions que celles reconnues.</w:t>
      </w:r>
    </w:p>
    <w:p w14:paraId="46BE8EC0" w14:textId="77777777" w:rsidR="00DF4E65" w:rsidRPr="00266A43" w:rsidRDefault="00DF4E65" w:rsidP="00102F3E">
      <w:pPr>
        <w:pStyle w:val="Paragrsimple"/>
        <w:rPr>
          <w:rFonts w:eastAsia="Arial"/>
          <w:lang w:eastAsia="fr-CA"/>
        </w:rPr>
      </w:pPr>
      <w:r>
        <w:rPr>
          <w:rFonts w:eastAsia="Arial"/>
          <w:lang w:eastAsia="fr-CA"/>
        </w:rPr>
        <w:t xml:space="preserve">   Le procureur général du Québec (PGQ), agissant au nom du ministre est mis en cause dans le dossier. Il est intervenu de plein droit afin de récupérer du défendeur les sommes d’argent déjà versées par la Direction générale des indemnisations des victimes d’actes criminels (DGIVAC) à la demanderesse à titre de victime d’un crime.</w:t>
      </w:r>
    </w:p>
    <w:p w14:paraId="17772376" w14:textId="77777777" w:rsidR="00DF4E65" w:rsidRPr="0024307D" w:rsidRDefault="00DF4E65" w:rsidP="00020EAA">
      <w:pPr>
        <w:pStyle w:val="Titre1"/>
        <w:rPr>
          <w:u w:val="none"/>
        </w:rPr>
      </w:pPr>
      <w:bookmarkStart w:id="4" w:name="_Toc172728831"/>
      <w:bookmarkEnd w:id="2"/>
      <w:r w:rsidRPr="0024307D">
        <w:rPr>
          <w:u w:val="none"/>
        </w:rPr>
        <w:t>CONTEXTE</w:t>
      </w:r>
      <w:bookmarkEnd w:id="4"/>
    </w:p>
    <w:p w14:paraId="50981E4A" w14:textId="77777777" w:rsidR="00DF4E65" w:rsidRPr="00542D86" w:rsidRDefault="00DF4E65" w:rsidP="00B54BDB">
      <w:pPr>
        <w:pStyle w:val="Paragrsimple"/>
        <w:tabs>
          <w:tab w:val="left" w:pos="540"/>
        </w:tabs>
      </w:pPr>
      <w:r>
        <w:t xml:space="preserve">   J. C. est née en 1977. Elle est l’aînée d’une fratrie de trois. Sa sœur et son frère sont respectivement 2 et 4 ans plus jeunes qu’elle.</w:t>
      </w:r>
    </w:p>
    <w:p w14:paraId="76CECE1A" w14:textId="77777777" w:rsidR="00DF4E65" w:rsidRDefault="00DF4E65" w:rsidP="00B54BDB">
      <w:pPr>
        <w:pStyle w:val="Paragrsimple"/>
        <w:tabs>
          <w:tab w:val="left" w:pos="720"/>
        </w:tabs>
      </w:pPr>
      <w:r>
        <w:t xml:space="preserve">   En 1982, alors que les enfants dorment, M. C. reconnaît s’être rendu dans la chambre où dormaient ses deux filles et avoir réveillé J. C. pour qu’elle le suive dans la salle de bain. Une fois rendu, le père demande à sa fille de le masturber en lui disant comment s’y prendre. Il prend soin de lui dire que c’est </w:t>
      </w:r>
      <w:r w:rsidRPr="00086AC0">
        <w:rPr>
          <w:i/>
          <w:iCs/>
        </w:rPr>
        <w:t>parce que papa doit faire sortir le méchant</w:t>
      </w:r>
      <w:r>
        <w:t>.</w:t>
      </w:r>
    </w:p>
    <w:p w14:paraId="76C5B7C0" w14:textId="77777777" w:rsidR="00DF4E65" w:rsidRDefault="00DF4E65" w:rsidP="0049626A">
      <w:pPr>
        <w:pStyle w:val="Paragrsimple"/>
        <w:tabs>
          <w:tab w:val="left" w:pos="720"/>
        </w:tabs>
      </w:pPr>
      <w:r>
        <w:t xml:space="preserve">   M. C. ne nie pas avoir répété ce stratagème à deux autres occasions, mais sa fille jure que les abus se sont multipliés dans le temps sur une période de 5 ans. Elle </w:t>
      </w:r>
      <w:r w:rsidRPr="0049626A">
        <w:rPr>
          <w:rFonts w:eastAsia="Arial" w:cs="Arial"/>
          <w:szCs w:val="24"/>
          <w:lang w:eastAsia="fr-CA"/>
        </w:rPr>
        <w:t>affirme</w:t>
      </w:r>
      <w:r>
        <w:t xml:space="preserve"> que son père abusait d’elle sur une base régulière, sans que sa mère ou la fratrie ne réalise le drame qui se déroulait sous leur toit. </w:t>
      </w:r>
    </w:p>
    <w:p w14:paraId="1A2727C7" w14:textId="77777777" w:rsidR="00DF4E65" w:rsidRDefault="00DF4E65" w:rsidP="00B54BDB">
      <w:pPr>
        <w:pStyle w:val="Paragrsimple"/>
        <w:tabs>
          <w:tab w:val="left" w:pos="540"/>
          <w:tab w:val="left" w:pos="720"/>
        </w:tabs>
      </w:pPr>
      <w:r>
        <w:t xml:space="preserve">   Des problèmes de comportement observés par les professeurs et des visites à l’hôpital </w:t>
      </w:r>
      <w:r w:rsidRPr="00B54BDB">
        <w:rPr>
          <w:rFonts w:eastAsia="Arial" w:cs="Arial"/>
          <w:szCs w:val="24"/>
          <w:lang w:eastAsia="fr-CA"/>
        </w:rPr>
        <w:t>pour</w:t>
      </w:r>
      <w:r>
        <w:t xml:space="preserve"> des douleurs aux parties génitales ne permettent pas à l’entourage de déceler ce qui cloche. Une première intervention de la DPJ n’arrive pas non plus à élucider le mystère.</w:t>
      </w:r>
    </w:p>
    <w:p w14:paraId="6B2DCDD7" w14:textId="77777777" w:rsidR="00DF4E65" w:rsidRPr="009E55D8" w:rsidRDefault="00DF4E65" w:rsidP="009E55D8">
      <w:pPr>
        <w:numPr>
          <w:ilvl w:val="0"/>
          <w:numId w:val="1"/>
        </w:numPr>
        <w:tabs>
          <w:tab w:val="clear" w:pos="360"/>
        </w:tabs>
        <w:spacing w:before="120" w:after="120"/>
        <w:jc w:val="both"/>
        <w:rPr>
          <w:kern w:val="28"/>
        </w:rPr>
      </w:pPr>
      <w:r w:rsidRPr="00FB18CF">
        <w:rPr>
          <w:kern w:val="28"/>
        </w:rPr>
        <w:t>Il faut attendre octobre 1987, moment où J. C. est hospitalisée en pédopsychiatrie pour qu’un psychiatre</w:t>
      </w:r>
      <w:r>
        <w:rPr>
          <w:kern w:val="28"/>
        </w:rPr>
        <w:t xml:space="preserve"> sonne la fin de la récréation pour le père et</w:t>
      </w:r>
      <w:r w:rsidRPr="00FB18CF">
        <w:rPr>
          <w:kern w:val="28"/>
        </w:rPr>
        <w:t xml:space="preserve"> pose le diagnostic</w:t>
      </w:r>
      <w:r>
        <w:rPr>
          <w:kern w:val="28"/>
        </w:rPr>
        <w:t xml:space="preserve"> à l’égard de J. C. </w:t>
      </w:r>
      <w:r w:rsidRPr="00FB18CF">
        <w:rPr>
          <w:kern w:val="28"/>
        </w:rPr>
        <w:t>Ce n’est qu’à partir de ce moment que les accès du père doivent s’exercer sous supervision, à la suite des recommandations de la DPJ.</w:t>
      </w:r>
    </w:p>
    <w:p w14:paraId="573E950F" w14:textId="77777777" w:rsidR="00DF4E65" w:rsidRPr="00FB18CF" w:rsidRDefault="00DF4E65" w:rsidP="00FB18CF">
      <w:pPr>
        <w:numPr>
          <w:ilvl w:val="0"/>
          <w:numId w:val="1"/>
        </w:numPr>
        <w:tabs>
          <w:tab w:val="clear" w:pos="360"/>
        </w:tabs>
        <w:spacing w:before="120" w:after="120"/>
        <w:jc w:val="both"/>
        <w:rPr>
          <w:kern w:val="28"/>
        </w:rPr>
      </w:pPr>
      <w:r>
        <w:rPr>
          <w:kern w:val="28"/>
        </w:rPr>
        <w:lastRenderedPageBreak/>
        <w:t>On apprend par ailleurs que tous les enfants ont éventuellement été placés dans des familles d’accueil, la mère n’ayant pas été capable de les protéger.</w:t>
      </w:r>
    </w:p>
    <w:p w14:paraId="16E94648" w14:textId="77777777" w:rsidR="00DF4E65" w:rsidRPr="00FB18CF" w:rsidRDefault="00DF4E65" w:rsidP="00582B55">
      <w:pPr>
        <w:numPr>
          <w:ilvl w:val="0"/>
          <w:numId w:val="1"/>
        </w:numPr>
        <w:tabs>
          <w:tab w:val="clear" w:pos="360"/>
        </w:tabs>
        <w:spacing w:before="120" w:after="120"/>
        <w:jc w:val="both"/>
        <w:rPr>
          <w:kern w:val="28"/>
        </w:rPr>
      </w:pPr>
      <w:r>
        <w:rPr>
          <w:kern w:val="28"/>
        </w:rPr>
        <w:t>Il y a peu de détails sur la relation de M. C. avec J. C. suivant la fin de sa longue hospitalisation, mais on comprend que d’autres contacts ont eu lieu dont un en 1991, moment où J. C. se rend chez son père qui vit alors</w:t>
      </w:r>
      <w:r w:rsidRPr="00FB18CF">
        <w:rPr>
          <w:kern w:val="28"/>
        </w:rPr>
        <w:t xml:space="preserve"> à Varennes avec sa nouvelle conjointe. Lors de cette visite, J. C. affirme avoir été l’objet de voyeurisme de la part de son père</w:t>
      </w:r>
      <w:r>
        <w:rPr>
          <w:kern w:val="28"/>
        </w:rPr>
        <w:t xml:space="preserve"> et de différents gestes inappropriés</w:t>
      </w:r>
      <w:r w:rsidRPr="00FB18CF">
        <w:rPr>
          <w:kern w:val="28"/>
        </w:rPr>
        <w:t>.</w:t>
      </w:r>
    </w:p>
    <w:p w14:paraId="0E39E5DE" w14:textId="77777777" w:rsidR="00DF4E65" w:rsidRDefault="00DF4E65" w:rsidP="009D382E">
      <w:pPr>
        <w:numPr>
          <w:ilvl w:val="0"/>
          <w:numId w:val="1"/>
        </w:numPr>
        <w:tabs>
          <w:tab w:val="clear" w:pos="360"/>
        </w:tabs>
        <w:spacing w:before="120" w:after="120"/>
        <w:jc w:val="both"/>
        <w:rPr>
          <w:kern w:val="28"/>
        </w:rPr>
      </w:pPr>
      <w:r>
        <w:rPr>
          <w:kern w:val="28"/>
        </w:rPr>
        <w:t>Au retour de cette visite, J. C. se souvient avoir relaté les événements à son psychoéducateur qui l’aurait encouragé à déposer une plainte contre son père.</w:t>
      </w:r>
    </w:p>
    <w:p w14:paraId="5E34217B" w14:textId="77777777" w:rsidR="00DF4E65" w:rsidRDefault="00DF4E65" w:rsidP="009D382E">
      <w:pPr>
        <w:numPr>
          <w:ilvl w:val="0"/>
          <w:numId w:val="1"/>
        </w:numPr>
        <w:tabs>
          <w:tab w:val="clear" w:pos="360"/>
        </w:tabs>
        <w:spacing w:before="120" w:after="120"/>
        <w:jc w:val="both"/>
        <w:rPr>
          <w:kern w:val="28"/>
        </w:rPr>
      </w:pPr>
      <w:r>
        <w:rPr>
          <w:kern w:val="28"/>
        </w:rPr>
        <w:t>À la suite de sa visite au poste de police, personne ne semble avoir contacté J. C. pour la tenir au courant du sort de sa démarche, mais elle a un vague souvenir que son père aurait été trouvé coupable, vers 1995, et condamné à 18 mois de prison.</w:t>
      </w:r>
    </w:p>
    <w:p w14:paraId="10F54F7E" w14:textId="77777777" w:rsidR="00DF4E65" w:rsidRDefault="00DF4E65" w:rsidP="009D382E">
      <w:pPr>
        <w:numPr>
          <w:ilvl w:val="0"/>
          <w:numId w:val="1"/>
        </w:numPr>
        <w:tabs>
          <w:tab w:val="clear" w:pos="360"/>
        </w:tabs>
        <w:spacing w:before="120" w:after="120"/>
        <w:jc w:val="both"/>
        <w:rPr>
          <w:kern w:val="28"/>
        </w:rPr>
      </w:pPr>
      <w:r>
        <w:rPr>
          <w:kern w:val="28"/>
        </w:rPr>
        <w:t>Vers 2020, et après plusieurs années de thérapie et ayant traversé différentes épreuves, tant aux niveaux personnel et professionnel qu’au niveau de sa santé physique et mentale, J. C. veut faire la lumière sur ce qui s’est réellement passé depuis le dépôt de sa plainte. Elle demeure convaincue que bien que son père ait pu faire de la prison, cela n’avait rien à voir avec les agressions sexuelles perpétrées contre elle de 1982 à 1987.</w:t>
      </w:r>
    </w:p>
    <w:p w14:paraId="2DF74627" w14:textId="77777777" w:rsidR="00DF4E65" w:rsidRDefault="00DF4E65" w:rsidP="009D382E">
      <w:pPr>
        <w:numPr>
          <w:ilvl w:val="0"/>
          <w:numId w:val="1"/>
        </w:numPr>
        <w:tabs>
          <w:tab w:val="clear" w:pos="360"/>
        </w:tabs>
        <w:spacing w:before="120" w:after="120"/>
        <w:jc w:val="both"/>
        <w:rPr>
          <w:kern w:val="28"/>
        </w:rPr>
      </w:pPr>
      <w:r>
        <w:rPr>
          <w:kern w:val="28"/>
        </w:rPr>
        <w:t>Après avoir parlé à un procureur de la couronne, celui-ci la dirige vers le sergent détective Pascal Sinclair, qui est attitré à son dossier et qui travaille au sein de la Direction des crimes majeurs.</w:t>
      </w:r>
    </w:p>
    <w:p w14:paraId="024B148C" w14:textId="77777777" w:rsidR="00DF4E65" w:rsidRDefault="00DF4E65" w:rsidP="009D382E">
      <w:pPr>
        <w:numPr>
          <w:ilvl w:val="0"/>
          <w:numId w:val="1"/>
        </w:numPr>
        <w:tabs>
          <w:tab w:val="clear" w:pos="360"/>
        </w:tabs>
        <w:spacing w:before="120" w:after="120"/>
        <w:jc w:val="both"/>
        <w:rPr>
          <w:kern w:val="28"/>
        </w:rPr>
      </w:pPr>
      <w:r>
        <w:rPr>
          <w:kern w:val="28"/>
        </w:rPr>
        <w:t xml:space="preserve">Celui-ci entreprend alors une recherche minutieuse pour trouver le dossier judiciaire de M. C., qui aurait mené à sa condamnation. Suivant plusieurs mois de recherches tant auprès du système judiciaire que du système carcéral, le dossier de M. C. demeure introuvable tout comme les preuves de son passage en milieu carcéral. </w:t>
      </w:r>
    </w:p>
    <w:p w14:paraId="155FF230" w14:textId="77777777" w:rsidR="00DF4E65" w:rsidRDefault="00DF4E65" w:rsidP="009D382E">
      <w:pPr>
        <w:numPr>
          <w:ilvl w:val="0"/>
          <w:numId w:val="1"/>
        </w:numPr>
        <w:tabs>
          <w:tab w:val="clear" w:pos="360"/>
        </w:tabs>
        <w:spacing w:before="120" w:after="120"/>
        <w:jc w:val="both"/>
        <w:rPr>
          <w:kern w:val="28"/>
        </w:rPr>
      </w:pPr>
      <w:r>
        <w:rPr>
          <w:kern w:val="28"/>
        </w:rPr>
        <w:t xml:space="preserve">Son incarcération n’est pas remise en doute puisque M. C. a bénéficié d’un pardon, mais la nature du crime pour lequel il a purgé 18 mois de prison demeure nébuleuse. </w:t>
      </w:r>
    </w:p>
    <w:p w14:paraId="1CDADF2D" w14:textId="77777777" w:rsidR="00DF4E65" w:rsidRDefault="00DF4E65" w:rsidP="009D382E">
      <w:pPr>
        <w:numPr>
          <w:ilvl w:val="0"/>
          <w:numId w:val="1"/>
        </w:numPr>
        <w:tabs>
          <w:tab w:val="clear" w:pos="360"/>
        </w:tabs>
        <w:spacing w:before="120" w:after="120"/>
        <w:jc w:val="both"/>
        <w:rPr>
          <w:kern w:val="28"/>
        </w:rPr>
      </w:pPr>
      <w:r>
        <w:rPr>
          <w:kern w:val="28"/>
        </w:rPr>
        <w:t>M. C. affirme que le verdict de culpabilité fait suite aux gestes qu’il a posés en 1982 alors que J. C. soumet que ce ne peut être que pour les gestes posés en 1991.</w:t>
      </w:r>
    </w:p>
    <w:p w14:paraId="13B0939F" w14:textId="77777777" w:rsidR="00DF4E65" w:rsidRDefault="00DF4E65" w:rsidP="009D382E">
      <w:pPr>
        <w:numPr>
          <w:ilvl w:val="0"/>
          <w:numId w:val="1"/>
        </w:numPr>
        <w:tabs>
          <w:tab w:val="clear" w:pos="360"/>
        </w:tabs>
        <w:spacing w:before="120" w:after="120"/>
        <w:jc w:val="both"/>
        <w:rPr>
          <w:kern w:val="28"/>
        </w:rPr>
      </w:pPr>
      <w:r>
        <w:rPr>
          <w:kern w:val="28"/>
        </w:rPr>
        <w:t>Malgré le fait que le sergent détective Sinclair n’ait pu mettre la main sur le dossier judiciaire ou celui du milieu carcéral, ce dernier continue ses recherches. Ainsi, après avoir épluché les dossiers médicaux de J. C. et divers autres documents dont le certificat de pardon, il recommande au Directeur des poursuites criminelles et pénales (DPCP) de porter des accusations d’agressions sexuelles (ou inceste) à l’endroit d’une enfant âgée de moins de 10 ans, contre M. C.</w:t>
      </w:r>
    </w:p>
    <w:p w14:paraId="781BFF2B" w14:textId="77777777" w:rsidR="00DF4E65" w:rsidRDefault="00DF4E65" w:rsidP="009D382E">
      <w:pPr>
        <w:numPr>
          <w:ilvl w:val="0"/>
          <w:numId w:val="1"/>
        </w:numPr>
        <w:tabs>
          <w:tab w:val="clear" w:pos="360"/>
        </w:tabs>
        <w:spacing w:before="120" w:after="120"/>
        <w:jc w:val="both"/>
        <w:rPr>
          <w:kern w:val="28"/>
        </w:rPr>
      </w:pPr>
      <w:r>
        <w:rPr>
          <w:kern w:val="28"/>
        </w:rPr>
        <w:lastRenderedPageBreak/>
        <w:t xml:space="preserve">Suivant l’étude du dossier, le procureur du DPCP informe le sergent détective Sinclair qu’il ne pourra aller de l’avant avec la plainte estimant qu’il ne serait pas capable de démontrer hors de tout doute raisonnable que lorsque M. C. a été déclaré coupable, en 1995, il ne s’agissait pas des gestes posés entre 1982 et 1987. </w:t>
      </w:r>
    </w:p>
    <w:p w14:paraId="65190E9A" w14:textId="77777777" w:rsidR="00DF4E65" w:rsidRDefault="00DF4E65" w:rsidP="009D382E">
      <w:pPr>
        <w:numPr>
          <w:ilvl w:val="0"/>
          <w:numId w:val="1"/>
        </w:numPr>
        <w:tabs>
          <w:tab w:val="clear" w:pos="360"/>
        </w:tabs>
        <w:spacing w:before="120" w:after="120"/>
        <w:jc w:val="both"/>
        <w:rPr>
          <w:kern w:val="28"/>
        </w:rPr>
      </w:pPr>
      <w:r>
        <w:rPr>
          <w:kern w:val="28"/>
        </w:rPr>
        <w:t xml:space="preserve">Insatisfait de cette réponse, l’enquêteur effectue d’autres recherches. À la suite de cet exercice, des éléments nouveaux sont portés à la connaissance du DCPC, mais la décision demeure la même. </w:t>
      </w:r>
    </w:p>
    <w:p w14:paraId="0D521F10" w14:textId="77777777" w:rsidR="00DF4E65" w:rsidRDefault="00DF4E65" w:rsidP="007B5FC2">
      <w:pPr>
        <w:numPr>
          <w:ilvl w:val="0"/>
          <w:numId w:val="1"/>
        </w:numPr>
        <w:tabs>
          <w:tab w:val="clear" w:pos="360"/>
        </w:tabs>
        <w:spacing w:before="120" w:after="120"/>
        <w:jc w:val="both"/>
        <w:rPr>
          <w:kern w:val="28"/>
        </w:rPr>
      </w:pPr>
      <w:r>
        <w:rPr>
          <w:kern w:val="28"/>
        </w:rPr>
        <w:t>Choquée de cette annonce, J. C. décide de poursuivre son père devant les tribunaux de droit civil. Elle entreprend tout d’abord une démarche à la Cour du Québec, division des Petites créances, mais a tôt fait d’abandonner cette avenue pour bifurquer en Cour supérieure avec le présent recours.</w:t>
      </w:r>
    </w:p>
    <w:p w14:paraId="227E589E" w14:textId="77777777" w:rsidR="00DF4E65" w:rsidRDefault="00DF4E65" w:rsidP="007B5FC2">
      <w:pPr>
        <w:numPr>
          <w:ilvl w:val="0"/>
          <w:numId w:val="1"/>
        </w:numPr>
        <w:tabs>
          <w:tab w:val="clear" w:pos="360"/>
        </w:tabs>
        <w:spacing w:before="120" w:after="120"/>
        <w:jc w:val="both"/>
        <w:rPr>
          <w:kern w:val="28"/>
        </w:rPr>
      </w:pPr>
      <w:r>
        <w:rPr>
          <w:kern w:val="28"/>
        </w:rPr>
        <w:t xml:space="preserve">En cours d’instance, J. C. </w:t>
      </w:r>
      <w:r w:rsidRPr="004A232A">
        <w:rPr>
          <w:kern w:val="28"/>
        </w:rPr>
        <w:t>saisit avant jugement</w:t>
      </w:r>
      <w:r>
        <w:rPr>
          <w:kern w:val="28"/>
        </w:rPr>
        <w:t xml:space="preserve"> la résidence de M. C. qu’il détient en indivision avec sa conjointe actuelle. À la suite de la vente de l’immeuble, le 15 octobre 2024, M. C. verse la somme de 210 000$ à J. C., à titre de paiement partiel de la présente réclamation. Dans les documents attestant de ce paiement, il est précisé que J. C. ne renonce à aucun droit</w:t>
      </w:r>
      <w:r>
        <w:rPr>
          <w:rStyle w:val="Appelnotedebasdep"/>
          <w:kern w:val="28"/>
        </w:rPr>
        <w:footnoteReference w:id="1"/>
      </w:r>
      <w:r>
        <w:rPr>
          <w:kern w:val="28"/>
        </w:rPr>
        <w:t>.</w:t>
      </w:r>
    </w:p>
    <w:p w14:paraId="641A7AE4" w14:textId="77777777" w:rsidR="00DF4E65" w:rsidRPr="007B5FC2" w:rsidRDefault="00DF4E65" w:rsidP="007B5FC2">
      <w:pPr>
        <w:numPr>
          <w:ilvl w:val="0"/>
          <w:numId w:val="1"/>
        </w:numPr>
        <w:tabs>
          <w:tab w:val="clear" w:pos="360"/>
        </w:tabs>
        <w:spacing w:before="120" w:after="120"/>
        <w:jc w:val="both"/>
        <w:rPr>
          <w:kern w:val="28"/>
        </w:rPr>
      </w:pPr>
      <w:r>
        <w:rPr>
          <w:kern w:val="28"/>
        </w:rPr>
        <w:t xml:space="preserve">Le PGQ intervient </w:t>
      </w:r>
      <w:r w:rsidRPr="00D900FB">
        <w:rPr>
          <w:i/>
          <w:iCs/>
          <w:kern w:val="28"/>
        </w:rPr>
        <w:t>a posteriori</w:t>
      </w:r>
      <w:r>
        <w:rPr>
          <w:kern w:val="28"/>
        </w:rPr>
        <w:t xml:space="preserve"> pour entériner le tout mais ajoute des conditions en lien avec sa ratification</w:t>
      </w:r>
      <w:r>
        <w:rPr>
          <w:rStyle w:val="Appelnotedebasdep"/>
          <w:kern w:val="28"/>
        </w:rPr>
        <w:footnoteReference w:id="2"/>
      </w:r>
      <w:r>
        <w:rPr>
          <w:kern w:val="28"/>
        </w:rPr>
        <w:t xml:space="preserve">. </w:t>
      </w:r>
    </w:p>
    <w:p w14:paraId="66E96055" w14:textId="77777777" w:rsidR="00DF4E65" w:rsidRPr="0024307D" w:rsidRDefault="00DF4E65" w:rsidP="00047BBC">
      <w:pPr>
        <w:pStyle w:val="Titre1"/>
        <w:rPr>
          <w:u w:val="none"/>
        </w:rPr>
      </w:pPr>
      <w:bookmarkStart w:id="5" w:name="_Toc172728833"/>
      <w:r w:rsidRPr="0024307D">
        <w:rPr>
          <w:u w:val="none"/>
        </w:rPr>
        <w:t>LES POINTS EN LITIGE</w:t>
      </w:r>
      <w:bookmarkEnd w:id="5"/>
    </w:p>
    <w:p w14:paraId="22217F1D" w14:textId="77777777" w:rsidR="00DF4E65" w:rsidRDefault="00DF4E65" w:rsidP="00DF4E65">
      <w:pPr>
        <w:pStyle w:val="Paragrdouble"/>
        <w:numPr>
          <w:ilvl w:val="0"/>
          <w:numId w:val="38"/>
        </w:numPr>
        <w:spacing w:line="240" w:lineRule="auto"/>
      </w:pPr>
      <w:r>
        <w:t>La faute</w:t>
      </w:r>
    </w:p>
    <w:p w14:paraId="7A163407" w14:textId="77777777" w:rsidR="00DF4E65" w:rsidRDefault="00DF4E65" w:rsidP="00DF4E65">
      <w:pPr>
        <w:pStyle w:val="Paragrdouble"/>
        <w:numPr>
          <w:ilvl w:val="0"/>
          <w:numId w:val="38"/>
        </w:numPr>
        <w:spacing w:line="240" w:lineRule="auto"/>
      </w:pPr>
      <w:r>
        <w:tab/>
      </w:r>
      <w:r w:rsidRPr="00BB30D1">
        <w:t xml:space="preserve">Les dommages </w:t>
      </w:r>
      <w:r>
        <w:t>et le lien de causalité</w:t>
      </w:r>
    </w:p>
    <w:p w14:paraId="40D6EF19" w14:textId="77777777" w:rsidR="00DF4E65" w:rsidRPr="00047BBC" w:rsidRDefault="00DF4E65" w:rsidP="00DF4E65">
      <w:pPr>
        <w:pStyle w:val="Paragrdouble"/>
        <w:numPr>
          <w:ilvl w:val="0"/>
          <w:numId w:val="38"/>
        </w:numPr>
        <w:spacing w:line="240" w:lineRule="auto"/>
      </w:pPr>
      <w:r>
        <w:tab/>
        <w:t>La subrogation</w:t>
      </w:r>
    </w:p>
    <w:p w14:paraId="109F63FB" w14:textId="77777777" w:rsidR="00DF4E65" w:rsidRPr="006E10BD" w:rsidRDefault="00DF4E65" w:rsidP="006E10BD">
      <w:pPr>
        <w:pStyle w:val="Titre1"/>
        <w:rPr>
          <w:u w:val="none"/>
        </w:rPr>
      </w:pPr>
      <w:bookmarkStart w:id="6" w:name="_Toc45807136"/>
      <w:bookmarkStart w:id="7" w:name="_Toc172728834"/>
      <w:r w:rsidRPr="0024307D">
        <w:rPr>
          <w:u w:val="none"/>
        </w:rPr>
        <w:t>ANALYSE</w:t>
      </w:r>
      <w:bookmarkEnd w:id="6"/>
      <w:bookmarkEnd w:id="7"/>
      <w:r w:rsidRPr="0024307D">
        <w:rPr>
          <w:u w:val="none"/>
        </w:rPr>
        <w:t xml:space="preserve"> </w:t>
      </w:r>
    </w:p>
    <w:p w14:paraId="4DCB5C1D" w14:textId="77777777" w:rsidR="00DF4E65" w:rsidRPr="0024307D" w:rsidRDefault="00DF4E65" w:rsidP="00DF4E65">
      <w:pPr>
        <w:pStyle w:val="Titre2"/>
        <w:numPr>
          <w:ilvl w:val="0"/>
          <w:numId w:val="37"/>
        </w:numPr>
        <w:rPr>
          <w:u w:val="none"/>
        </w:rPr>
      </w:pPr>
      <w:r>
        <w:rPr>
          <w:caps w:val="0"/>
          <w:u w:val="none"/>
        </w:rPr>
        <w:t>La faute</w:t>
      </w:r>
    </w:p>
    <w:p w14:paraId="0D99ACC4" w14:textId="77777777" w:rsidR="00DF4E65" w:rsidRPr="00772542" w:rsidRDefault="00DF4E65" w:rsidP="00DF4E65">
      <w:pPr>
        <w:pStyle w:val="Titre3"/>
        <w:numPr>
          <w:ilvl w:val="1"/>
          <w:numId w:val="37"/>
        </w:numPr>
      </w:pPr>
      <w:bookmarkStart w:id="8" w:name="_Toc172728836"/>
      <w:r>
        <w:t>Droit applicable</w:t>
      </w:r>
      <w:bookmarkEnd w:id="8"/>
    </w:p>
    <w:p w14:paraId="5B8581B7" w14:textId="77777777" w:rsidR="00DF4E65" w:rsidRDefault="00DF4E65" w:rsidP="000068AF">
      <w:pPr>
        <w:numPr>
          <w:ilvl w:val="0"/>
          <w:numId w:val="1"/>
        </w:numPr>
        <w:tabs>
          <w:tab w:val="clear" w:pos="360"/>
        </w:tabs>
        <w:spacing w:before="120" w:after="120"/>
        <w:jc w:val="both"/>
        <w:rPr>
          <w:kern w:val="28"/>
        </w:rPr>
      </w:pPr>
      <w:r>
        <w:rPr>
          <w:kern w:val="28"/>
        </w:rPr>
        <w:t xml:space="preserve">L’article 1457 C.c.Q. constitue l’assise juridique du recours entrepris. </w:t>
      </w:r>
    </w:p>
    <w:p w14:paraId="2BCE3142" w14:textId="77777777" w:rsidR="00DF4E65" w:rsidRPr="009208CD" w:rsidRDefault="00DF4E65" w:rsidP="00B54BDB">
      <w:pPr>
        <w:shd w:val="clear" w:color="auto" w:fill="FFFFFF"/>
        <w:jc w:val="both"/>
        <w:rPr>
          <w:rFonts w:cs="Arial"/>
          <w:color w:val="212529"/>
          <w:sz w:val="22"/>
          <w:szCs w:val="22"/>
          <w:lang w:eastAsia="fr-CA"/>
        </w:rPr>
      </w:pPr>
    </w:p>
    <w:p w14:paraId="20447A69" w14:textId="77777777" w:rsidR="00DF4E65" w:rsidRDefault="00DF4E65" w:rsidP="009208CD">
      <w:pPr>
        <w:numPr>
          <w:ilvl w:val="0"/>
          <w:numId w:val="1"/>
        </w:numPr>
        <w:tabs>
          <w:tab w:val="clear" w:pos="360"/>
        </w:tabs>
        <w:spacing w:before="120" w:after="120"/>
        <w:jc w:val="both"/>
        <w:rPr>
          <w:kern w:val="28"/>
        </w:rPr>
      </w:pPr>
      <w:r>
        <w:rPr>
          <w:kern w:val="28"/>
        </w:rPr>
        <w:lastRenderedPageBreak/>
        <w:t xml:space="preserve">Rappelons que </w:t>
      </w:r>
      <w:bookmarkStart w:id="9" w:name="_Hlk222764103"/>
      <w:r>
        <w:rPr>
          <w:kern w:val="28"/>
        </w:rPr>
        <w:t>c’est sur la demanderesse que repose le fardeau de démontrer, selon la prépondérance de preuve, chacun des éléments pouvant mener à la responsabilité du défendeur.</w:t>
      </w:r>
    </w:p>
    <w:p w14:paraId="7E18C1EB" w14:textId="77777777" w:rsidR="00DF4E65" w:rsidRPr="00BB30D1" w:rsidRDefault="00DF4E65" w:rsidP="009208CD">
      <w:pPr>
        <w:numPr>
          <w:ilvl w:val="0"/>
          <w:numId w:val="1"/>
        </w:numPr>
        <w:tabs>
          <w:tab w:val="clear" w:pos="360"/>
        </w:tabs>
        <w:spacing w:before="120" w:after="120"/>
        <w:jc w:val="both"/>
        <w:rPr>
          <w:kern w:val="28"/>
        </w:rPr>
      </w:pPr>
      <w:r>
        <w:rPr>
          <w:kern w:val="28"/>
        </w:rPr>
        <w:t>Ce</w:t>
      </w:r>
      <w:r w:rsidRPr="00BB30D1">
        <w:rPr>
          <w:kern w:val="28"/>
        </w:rPr>
        <w:t xml:space="preserve"> fardeau est, jusqu’à un certain point, facilité par l’une des présomptions incluses à l’art. 101 de la </w:t>
      </w:r>
      <w:r w:rsidRPr="00BB30D1">
        <w:rPr>
          <w:i/>
          <w:iCs/>
          <w:kern w:val="28"/>
        </w:rPr>
        <w:t>Loi visant à aider les personnes victimes d’infractions criminelles et à favoriser leur rétablissement</w:t>
      </w:r>
      <w:r>
        <w:rPr>
          <w:i/>
          <w:iCs/>
          <w:kern w:val="28"/>
        </w:rPr>
        <w:t xml:space="preserve"> </w:t>
      </w:r>
      <w:r>
        <w:rPr>
          <w:kern w:val="28"/>
        </w:rPr>
        <w:t>(LAPVIC)</w:t>
      </w:r>
      <w:r w:rsidRPr="006E10BD">
        <w:rPr>
          <w:rStyle w:val="Appelnotedebasdep"/>
          <w:kern w:val="28"/>
        </w:rPr>
        <w:footnoteReference w:id="3"/>
      </w:r>
      <w:r w:rsidRPr="006E10BD">
        <w:rPr>
          <w:kern w:val="28"/>
        </w:rPr>
        <w:t>.</w:t>
      </w:r>
      <w:r w:rsidRPr="00BB30D1">
        <w:rPr>
          <w:i/>
          <w:iCs/>
          <w:kern w:val="28"/>
        </w:rPr>
        <w:t xml:space="preserve"> </w:t>
      </w:r>
      <w:r w:rsidRPr="00BB30D1">
        <w:rPr>
          <w:kern w:val="28"/>
        </w:rPr>
        <w:t>Cette disposition, entrée en vigueur avec la nouvelle loi</w:t>
      </w:r>
      <w:r>
        <w:rPr>
          <w:kern w:val="28"/>
        </w:rPr>
        <w:t>,</w:t>
      </w:r>
      <w:r w:rsidRPr="00BB30D1">
        <w:rPr>
          <w:kern w:val="28"/>
        </w:rPr>
        <w:t xml:space="preserve"> le 13 octobre 2021, instaure une double présomption dans les cas où le défendeur </w:t>
      </w:r>
      <w:r>
        <w:rPr>
          <w:kern w:val="28"/>
        </w:rPr>
        <w:t xml:space="preserve">a </w:t>
      </w:r>
      <w:r w:rsidRPr="00BB30D1">
        <w:rPr>
          <w:kern w:val="28"/>
        </w:rPr>
        <w:t>été déclaré coupable d’une infraction. Elle présume d’une part qu’il est responsable de l’atteinte à l’intégrité de la victime et des préjudices qu’elle subit en raison de l’infraction criminelle. Elle présume également que la valeur de cette atteinte et des préjudices qui en résultent équivalent minimalement aux montants versés par le ministre à titre d’aide financière à la personne victime</w:t>
      </w:r>
      <w:r w:rsidRPr="00BB30D1">
        <w:rPr>
          <w:rStyle w:val="Appelnotedebasdep"/>
        </w:rPr>
        <w:footnoteReference w:id="4"/>
      </w:r>
      <w:r w:rsidRPr="00BB30D1">
        <w:rPr>
          <w:kern w:val="28"/>
        </w:rPr>
        <w:t>. Il convient de s’y attarder plus attentivement.</w:t>
      </w:r>
    </w:p>
    <w:p w14:paraId="16D441EB" w14:textId="77777777" w:rsidR="00DF4E65" w:rsidRPr="00BB30D1" w:rsidRDefault="00DF4E65" w:rsidP="00EB7208">
      <w:pPr>
        <w:pStyle w:val="Paragrsimple"/>
      </w:pPr>
      <w:bookmarkStart w:id="10" w:name="_Toc172728837"/>
      <w:r w:rsidRPr="00BB30D1">
        <w:t>L’article 1</w:t>
      </w:r>
      <w:r>
        <w:t>01</w:t>
      </w:r>
      <w:r w:rsidRPr="00BB30D1">
        <w:t xml:space="preserve"> </w:t>
      </w:r>
      <w:r>
        <w:t xml:space="preserve">de la </w:t>
      </w:r>
      <w:r w:rsidRPr="00BB30D1">
        <w:t>LAPVIC se lit ainsi :</w:t>
      </w:r>
    </w:p>
    <w:p w14:paraId="67F19D6D" w14:textId="77777777" w:rsidR="00DF4E65" w:rsidRPr="0023677D" w:rsidRDefault="00DF4E65" w:rsidP="00EB7208">
      <w:pPr>
        <w:ind w:left="731" w:right="573"/>
        <w:jc w:val="both"/>
      </w:pPr>
      <w:r w:rsidRPr="00BB30D1">
        <w:t xml:space="preserve">Si une personne est déclarée coupable d’une infraction criminelle, cette déclaration constitue, pour cette infraction, une présomption selon laquelle la personne déclarée coupable est, aux fins de la présente loi, responsable de l’atteinte à l’intégrité de la personne victime et des préjudices que cette dernière subit en raison de l’infraction criminelle et une présomption que la valeur de cette atteinte et celle de ces préjudices équivalent minimalement </w:t>
      </w:r>
      <w:r w:rsidRPr="0023677D">
        <w:t>aux montants versés par le ministre à titre d’aide financière à la personne victime.</w:t>
      </w:r>
    </w:p>
    <w:p w14:paraId="3B313C42" w14:textId="77777777" w:rsidR="00DF4E65" w:rsidRDefault="00DF4E65" w:rsidP="00EB7208">
      <w:pPr>
        <w:pStyle w:val="Paragrsimple"/>
      </w:pPr>
      <w:r w:rsidRPr="0023677D">
        <w:t xml:space="preserve">Cette disposition </w:t>
      </w:r>
      <w:r>
        <w:t>est</w:t>
      </w:r>
      <w:r w:rsidRPr="0023677D">
        <w:t xml:space="preserve"> invoquée par le PGQ, subrogé de plein droit aux droits de la demanderesse, qui revendique l’application des présomptions à son bénéfice dans le présent dossier. </w:t>
      </w:r>
    </w:p>
    <w:p w14:paraId="6AE18BC3" w14:textId="77777777" w:rsidR="00DF4E65" w:rsidRPr="0023677D" w:rsidRDefault="00DF4E65" w:rsidP="00EB7208">
      <w:pPr>
        <w:pStyle w:val="Paragrsimple"/>
      </w:pPr>
      <w:r>
        <w:t>Cela étant, l</w:t>
      </w:r>
      <w:r w:rsidRPr="0023677D">
        <w:t xml:space="preserve">e </w:t>
      </w:r>
      <w:r>
        <w:t>T</w:t>
      </w:r>
      <w:r w:rsidRPr="0023677D">
        <w:t xml:space="preserve">ribunal est d’avis que cette présomption de responsabilité - et l’allègement du fardeau de preuve qui en résulte - doit également et surtout bénéficier à la personne victime, en l’espèce à la demanderesse. </w:t>
      </w:r>
    </w:p>
    <w:p w14:paraId="69BBA53C" w14:textId="77777777" w:rsidR="00DF4E65" w:rsidRPr="0023677D" w:rsidRDefault="00DF4E65" w:rsidP="00EB7208">
      <w:pPr>
        <w:pStyle w:val="Paragrsimple"/>
      </w:pPr>
      <w:r w:rsidRPr="0023677D">
        <w:t>Dans des circonstances normales, cette présomption légale facilite le fardeau de la victime puisqu’elle la dispense de certaines preuves</w:t>
      </w:r>
      <w:r>
        <w:rPr>
          <w:rStyle w:val="Appelnotedebasdep"/>
        </w:rPr>
        <w:footnoteReference w:id="5"/>
      </w:r>
      <w:r w:rsidRPr="0023677D">
        <w:t xml:space="preserve">. Ainsi, la victime qui entreprend un recours civil n’a pas à convaincre le tribunal que les faits à la source de l’infraction criminelle ont bel et bien été posés et que la personne déclarée coupable en est </w:t>
      </w:r>
      <w:r w:rsidRPr="0023677D">
        <w:lastRenderedPageBreak/>
        <w:t xml:space="preserve">responsable, ni qu’elle est responsable de l’atteinte à son intégrité qui en résulte. Elle est également dispensée d’établir la preuve du lien causal puisque la disposition prévoit que la personne déclarée coupable est responsable des préjudices subis par la victime en raison de l’atteinte à son intégrité. </w:t>
      </w:r>
    </w:p>
    <w:p w14:paraId="5EBED021" w14:textId="77777777" w:rsidR="00DF4E65" w:rsidRDefault="00DF4E65" w:rsidP="006F11A8">
      <w:pPr>
        <w:pStyle w:val="Paragrsimple"/>
      </w:pPr>
      <w:r w:rsidRPr="0023677D">
        <w:t>Or, les circonstances du présent dossier sont pour le moins atypiques et singulières</w:t>
      </w:r>
      <w:r>
        <w:t xml:space="preserve"> puisqu’on ne peut affirmer avec certitude pour quels crimes le défendeur a été déclaré coupable. La présomption de responsabilité qu’établit l’art. 101 de la LAPVIC ne vaut que pour l’atteinte à l’intégrité et les préjudices que la victime subit en raison des infractions pour lesquelles il y a eu une déclaration de culpabilité. C’est du moins le sens que le Tribunal donne aux termes « pour cette infraction » que l’on retrouve à la disposition</w:t>
      </w:r>
      <w:r w:rsidRPr="0023677D">
        <w:t xml:space="preserve">. </w:t>
      </w:r>
    </w:p>
    <w:p w14:paraId="594359F4" w14:textId="77777777" w:rsidR="00DF4E65" w:rsidRPr="006F11A8" w:rsidRDefault="00DF4E65" w:rsidP="006F11A8">
      <w:pPr>
        <w:pStyle w:val="Paragrsimple"/>
      </w:pPr>
      <w:r>
        <w:t>En l’espèce, l</w:t>
      </w:r>
      <w:r w:rsidRPr="0023677D">
        <w:t>es versions des parties diffèrent quant aux gestes criminels pour lesquels M.C. a été accusé et condamné. Ce dernier affirm</w:t>
      </w:r>
      <w:r>
        <w:t>e</w:t>
      </w:r>
      <w:r w:rsidRPr="0023677D">
        <w:t xml:space="preserve"> avoir payé sa dette pour tous les crimes qui lui sont reprochés et avoir reçu un pardon</w:t>
      </w:r>
      <w:r w:rsidRPr="00073817">
        <w:rPr>
          <w:rStyle w:val="Appelnotedebasdep"/>
        </w:rPr>
        <w:footnoteReference w:id="6"/>
      </w:r>
      <w:r w:rsidRPr="00073817">
        <w:t xml:space="preserve">. </w:t>
      </w:r>
    </w:p>
    <w:p w14:paraId="07DEC8ED" w14:textId="77777777" w:rsidR="00DF4E65" w:rsidRPr="00086AC0" w:rsidRDefault="00DF4E65" w:rsidP="00E15726">
      <w:pPr>
        <w:pStyle w:val="Paragrsimple"/>
      </w:pPr>
      <w:r>
        <w:t xml:space="preserve">En revanche, </w:t>
      </w:r>
      <w:r w:rsidRPr="0023677D">
        <w:t xml:space="preserve">J.C. </w:t>
      </w:r>
      <w:r>
        <w:t>soutient</w:t>
      </w:r>
      <w:r w:rsidRPr="0023677D">
        <w:t xml:space="preserve"> que la déclaration de culpabilité de son père ne visait </w:t>
      </w:r>
      <w:r w:rsidRPr="00302586">
        <w:t xml:space="preserve">que des gestes s’étant déroulés au cours des années 90. Elle aurait souhaité que son père soit </w:t>
      </w:r>
      <w:r>
        <w:t xml:space="preserve">reconnu </w:t>
      </w:r>
      <w:r w:rsidRPr="00302586">
        <w:t xml:space="preserve">criminellement responsable pour toutes les agressions sexuelles répétées qu’il lui a fait subir entre 1982 et 1987, mais </w:t>
      </w:r>
      <w:r>
        <w:t>le</w:t>
      </w:r>
      <w:r w:rsidRPr="00302586">
        <w:t xml:space="preserve"> D</w:t>
      </w:r>
      <w:r>
        <w:t>PCP</w:t>
      </w:r>
      <w:r w:rsidRPr="00302586">
        <w:t xml:space="preserve"> a refusé d’autoriser de nouvelles poursuites criminelles dans ce dossier</w:t>
      </w:r>
      <w:r>
        <w:rPr>
          <w:color w:val="FF33CC"/>
        </w:rPr>
        <w:t xml:space="preserve"> </w:t>
      </w:r>
      <w:r w:rsidRPr="00086AC0">
        <w:t xml:space="preserve">en raison du fardeau de preuve que lui impose le </w:t>
      </w:r>
      <w:r w:rsidRPr="00086AC0">
        <w:rPr>
          <w:i/>
          <w:iCs/>
        </w:rPr>
        <w:t>Code criminel.</w:t>
      </w:r>
      <w:r w:rsidRPr="00086AC0">
        <w:t xml:space="preserve"> </w:t>
      </w:r>
    </w:p>
    <w:p w14:paraId="08CED310" w14:textId="77777777" w:rsidR="00DF4E65" w:rsidRPr="00302586" w:rsidRDefault="00DF4E65" w:rsidP="00917689">
      <w:pPr>
        <w:pStyle w:val="Paragrsimple"/>
      </w:pPr>
      <w:r>
        <w:t>Cela étant, l</w:t>
      </w:r>
      <w:r w:rsidRPr="00302586">
        <w:t>a discussion soulevée par cette disposition reste malgré tout théorique puisque</w:t>
      </w:r>
      <w:r>
        <w:t>,</w:t>
      </w:r>
      <w:r w:rsidRPr="00274E31">
        <w:t xml:space="preserve"> </w:t>
      </w:r>
      <w:r>
        <w:t>comme il en sera question ci-après,</w:t>
      </w:r>
      <w:r w:rsidRPr="00302586">
        <w:t xml:space="preserve"> la responsabilité du défendeur a été établie par une preuve prépondérante lors du procès. En effet,</w:t>
      </w:r>
      <w:r>
        <w:t xml:space="preserve"> </w:t>
      </w:r>
      <w:r w:rsidRPr="00302586">
        <w:t xml:space="preserve">la demanderesse a entrepris la douloureuse et courageuse tâche d’établir la preuve des agressions et attouchements </w:t>
      </w:r>
      <w:r w:rsidRPr="00302586">
        <w:lastRenderedPageBreak/>
        <w:t xml:space="preserve">sexuels répétés dont elle a été victime pendant des années. Il convient maintenant de s’y attarder. </w:t>
      </w:r>
    </w:p>
    <w:bookmarkEnd w:id="9"/>
    <w:p w14:paraId="0183D1AD" w14:textId="77777777" w:rsidR="00DF4E65" w:rsidRPr="00772542" w:rsidRDefault="00DF4E65" w:rsidP="00DF4E65">
      <w:pPr>
        <w:pStyle w:val="Titre3"/>
        <w:numPr>
          <w:ilvl w:val="1"/>
          <w:numId w:val="37"/>
        </w:numPr>
      </w:pPr>
      <w:r>
        <w:t>Discussion</w:t>
      </w:r>
      <w:bookmarkEnd w:id="10"/>
    </w:p>
    <w:p w14:paraId="390F8A8D" w14:textId="77777777" w:rsidR="00DF4E65" w:rsidRDefault="00DF4E65" w:rsidP="00425CE3">
      <w:pPr>
        <w:numPr>
          <w:ilvl w:val="0"/>
          <w:numId w:val="1"/>
        </w:numPr>
        <w:tabs>
          <w:tab w:val="clear" w:pos="360"/>
        </w:tabs>
        <w:spacing w:before="120" w:after="120"/>
        <w:jc w:val="both"/>
        <w:rPr>
          <w:kern w:val="28"/>
        </w:rPr>
      </w:pPr>
      <w:r>
        <w:rPr>
          <w:kern w:val="28"/>
        </w:rPr>
        <w:t>Bien que M. C. reconnaisse en partie les gestes reprochés, il demeure nécessaire de circonscrire l’ampleur de la faute, ce qui permettra de mieux évaluer les dommages.</w:t>
      </w:r>
    </w:p>
    <w:p w14:paraId="24431F9D" w14:textId="77777777" w:rsidR="00DF4E65" w:rsidRPr="004A232A" w:rsidRDefault="00DF4E65" w:rsidP="004A232A">
      <w:pPr>
        <w:spacing w:before="120" w:after="120"/>
        <w:jc w:val="both"/>
        <w:rPr>
          <w:kern w:val="28"/>
          <w:u w:val="single"/>
        </w:rPr>
      </w:pPr>
      <w:r>
        <w:rPr>
          <w:kern w:val="28"/>
          <w:u w:val="single"/>
        </w:rPr>
        <w:t>Version de J.C.</w:t>
      </w:r>
    </w:p>
    <w:p w14:paraId="3E20878D" w14:textId="77777777" w:rsidR="00DF4E65" w:rsidRDefault="00DF4E65" w:rsidP="00D713AF">
      <w:pPr>
        <w:numPr>
          <w:ilvl w:val="0"/>
          <w:numId w:val="1"/>
        </w:numPr>
        <w:tabs>
          <w:tab w:val="clear" w:pos="360"/>
        </w:tabs>
        <w:spacing w:before="120" w:after="120"/>
        <w:jc w:val="both"/>
        <w:rPr>
          <w:kern w:val="28"/>
        </w:rPr>
      </w:pPr>
      <w:r>
        <w:rPr>
          <w:kern w:val="28"/>
        </w:rPr>
        <w:t>J. C. soutient que son père s’est livré à de multiples agressions sexuelles de 1982 à 1987, alors qu’elle n’était âgée que de 5 ans jusqu’à l’âge de 10 ans.</w:t>
      </w:r>
    </w:p>
    <w:p w14:paraId="00FD0AF0" w14:textId="77777777" w:rsidR="00DF4E65" w:rsidRDefault="00DF4E65" w:rsidP="00D713AF">
      <w:pPr>
        <w:numPr>
          <w:ilvl w:val="0"/>
          <w:numId w:val="1"/>
        </w:numPr>
        <w:tabs>
          <w:tab w:val="clear" w:pos="360"/>
        </w:tabs>
        <w:spacing w:before="120" w:after="120"/>
        <w:jc w:val="both"/>
        <w:rPr>
          <w:kern w:val="28"/>
        </w:rPr>
      </w:pPr>
      <w:r>
        <w:rPr>
          <w:kern w:val="28"/>
        </w:rPr>
        <w:t xml:space="preserve">En plus des trois occasions où son père reconnaît être allé la chercher dans son lit, pour la forcer à le masturber, et </w:t>
      </w:r>
      <w:r>
        <w:rPr>
          <w:kern w:val="28"/>
          <w:lang w:val="fr-FR"/>
        </w:rPr>
        <w:t>bien que J. C. ne puisse situer dans le temps les diverses agressions dont elle a été victime, celle-ci</w:t>
      </w:r>
      <w:r>
        <w:rPr>
          <w:kern w:val="28"/>
        </w:rPr>
        <w:t xml:space="preserve"> relate avec détails et nuances de nombreuses autres agressions sexuelles.</w:t>
      </w:r>
    </w:p>
    <w:p w14:paraId="06993D15" w14:textId="77777777" w:rsidR="00DF4E65" w:rsidRDefault="00DF4E65" w:rsidP="009E4BC6">
      <w:pPr>
        <w:numPr>
          <w:ilvl w:val="0"/>
          <w:numId w:val="1"/>
        </w:numPr>
        <w:tabs>
          <w:tab w:val="clear" w:pos="360"/>
        </w:tabs>
        <w:spacing w:before="120" w:after="120"/>
        <w:jc w:val="both"/>
        <w:rPr>
          <w:kern w:val="28"/>
          <w:lang w:val="fr-FR"/>
        </w:rPr>
      </w:pPr>
      <w:r>
        <w:rPr>
          <w:kern w:val="28"/>
          <w:lang w:val="fr-FR"/>
        </w:rPr>
        <w:t xml:space="preserve">Ces abus pouvaient tout autant avoir lieu la nuit que le jour. Bien que la mère de J. C. ne </w:t>
      </w:r>
      <w:proofErr w:type="gramStart"/>
      <w:r>
        <w:rPr>
          <w:kern w:val="28"/>
          <w:lang w:val="fr-FR"/>
        </w:rPr>
        <w:t>travaillait</w:t>
      </w:r>
      <w:proofErr w:type="gramEnd"/>
      <w:r>
        <w:rPr>
          <w:kern w:val="28"/>
          <w:lang w:val="fr-FR"/>
        </w:rPr>
        <w:t xml:space="preserve"> pas à l’extérieur du foyer, M. C. profitait de la nuit ou des moments où son épouse se rendait à la messe pour assouvir ses pulsions sexuelles sur son enfant.</w:t>
      </w:r>
    </w:p>
    <w:p w14:paraId="3FC90255" w14:textId="77777777" w:rsidR="00DF4E65" w:rsidRDefault="00DF4E65" w:rsidP="00482B08">
      <w:pPr>
        <w:numPr>
          <w:ilvl w:val="0"/>
          <w:numId w:val="1"/>
        </w:numPr>
        <w:tabs>
          <w:tab w:val="clear" w:pos="360"/>
        </w:tabs>
        <w:spacing w:before="120" w:after="120"/>
        <w:jc w:val="both"/>
        <w:rPr>
          <w:kern w:val="28"/>
          <w:lang w:val="fr-FR"/>
        </w:rPr>
      </w:pPr>
      <w:r>
        <w:rPr>
          <w:kern w:val="28"/>
          <w:lang w:val="fr-FR"/>
        </w:rPr>
        <w:t>J. C. assure que son père ne s’est pas arrêté à lui demander de le masturber. Elle témoigne à l’effet qu’à d’innombrables reprises, elle a dû lui faire des fellations. Comme le goût lui déplaisait, M. C. a alors choisi d’apposer toute sorte de produits alimentaires plaisant à sa fille pour qu’elle continue d’assouvir ses pulsions.</w:t>
      </w:r>
    </w:p>
    <w:p w14:paraId="1D6B4297" w14:textId="77777777" w:rsidR="00DF4E65" w:rsidRPr="009E4BC6" w:rsidRDefault="00DF4E65" w:rsidP="00482B08">
      <w:pPr>
        <w:numPr>
          <w:ilvl w:val="0"/>
          <w:numId w:val="1"/>
        </w:numPr>
        <w:tabs>
          <w:tab w:val="clear" w:pos="360"/>
        </w:tabs>
        <w:spacing w:before="120" w:after="120"/>
        <w:jc w:val="both"/>
        <w:rPr>
          <w:kern w:val="28"/>
          <w:lang w:val="fr-FR"/>
        </w:rPr>
      </w:pPr>
      <w:r>
        <w:rPr>
          <w:kern w:val="28"/>
          <w:lang w:val="fr-FR"/>
        </w:rPr>
        <w:t>Elle se rappelle également que son père lui a demandé de prendre la position soixante-neuf et qu’il a tenté au moins à une occasion de la pénétrer avec son pénis</w:t>
      </w:r>
      <w:r w:rsidRPr="009E4BC6">
        <w:rPr>
          <w:kern w:val="28"/>
          <w:lang w:val="fr-FR"/>
        </w:rPr>
        <w:t xml:space="preserve">. </w:t>
      </w:r>
    </w:p>
    <w:p w14:paraId="36E66EED" w14:textId="77777777" w:rsidR="00DF4E65" w:rsidRDefault="00DF4E65" w:rsidP="00482B08">
      <w:pPr>
        <w:numPr>
          <w:ilvl w:val="0"/>
          <w:numId w:val="1"/>
        </w:numPr>
        <w:tabs>
          <w:tab w:val="clear" w:pos="360"/>
        </w:tabs>
        <w:spacing w:before="120" w:after="120"/>
        <w:jc w:val="both"/>
        <w:rPr>
          <w:kern w:val="28"/>
          <w:lang w:val="fr-FR"/>
        </w:rPr>
      </w:pPr>
      <w:r>
        <w:rPr>
          <w:kern w:val="28"/>
          <w:lang w:val="fr-FR"/>
        </w:rPr>
        <w:t xml:space="preserve"> Encore aujourd’hui elle a</w:t>
      </w:r>
      <w:r w:rsidRPr="009E4BC6">
        <w:rPr>
          <w:kern w:val="28"/>
          <w:lang w:val="fr-FR"/>
        </w:rPr>
        <w:t xml:space="preserve"> des reviviscences </w:t>
      </w:r>
      <w:r>
        <w:rPr>
          <w:kern w:val="28"/>
          <w:lang w:val="fr-FR"/>
        </w:rPr>
        <w:t>de ces agressions, notamment la couleur du divan où certains des sévices ont eu lieu et le goût du sperme de son père.</w:t>
      </w:r>
    </w:p>
    <w:p w14:paraId="413A4C4B" w14:textId="77777777" w:rsidR="00DF4E65" w:rsidRPr="0064603F" w:rsidRDefault="00DF4E65" w:rsidP="00F7270C">
      <w:pPr>
        <w:numPr>
          <w:ilvl w:val="0"/>
          <w:numId w:val="1"/>
        </w:numPr>
        <w:tabs>
          <w:tab w:val="clear" w:pos="360"/>
        </w:tabs>
        <w:spacing w:before="120" w:after="120"/>
        <w:jc w:val="both"/>
        <w:rPr>
          <w:lang w:val="fr-FR"/>
        </w:rPr>
      </w:pPr>
      <w:r>
        <w:rPr>
          <w:lang w:val="fr-FR"/>
        </w:rPr>
        <w:t>J. C. ajoute</w:t>
      </w:r>
      <w:r w:rsidRPr="006313F2">
        <w:rPr>
          <w:lang w:val="fr-FR"/>
        </w:rPr>
        <w:t xml:space="preserve"> que son père, qu’elle adorait et à qui elle voulait plaire, lui donnait de l’argent après ses agressions pour qu’elle s’achète des bonbons.</w:t>
      </w:r>
      <w:r>
        <w:rPr>
          <w:lang w:val="fr-FR"/>
        </w:rPr>
        <w:t xml:space="preserve"> J. C. se souvient que cela rendait ses frère et sœur jaloux.</w:t>
      </w:r>
    </w:p>
    <w:p w14:paraId="748DBD0C" w14:textId="77777777" w:rsidR="00DF4E65" w:rsidRDefault="00DF4E65" w:rsidP="00482B08">
      <w:pPr>
        <w:numPr>
          <w:ilvl w:val="0"/>
          <w:numId w:val="1"/>
        </w:numPr>
        <w:tabs>
          <w:tab w:val="clear" w:pos="360"/>
        </w:tabs>
        <w:spacing w:before="120" w:after="120"/>
        <w:jc w:val="both"/>
        <w:rPr>
          <w:kern w:val="28"/>
          <w:lang w:val="fr-FR"/>
        </w:rPr>
      </w:pPr>
      <w:r>
        <w:rPr>
          <w:kern w:val="28"/>
          <w:lang w:val="fr-FR"/>
        </w:rPr>
        <w:t xml:space="preserve">On comprend que bien que M. C. ait éventuellement quitté le domicile, en raison du fait que son épouse venait de découvrir qu’il avait une relation extra-maritale, celui-ci a continué de venir à la maison de manière régulière. En outre, </w:t>
      </w:r>
      <w:r w:rsidRPr="00482B08">
        <w:rPr>
          <w:kern w:val="28"/>
          <w:lang w:val="fr-FR"/>
        </w:rPr>
        <w:t>après des interventions de travailleurs sociaux, la mère ét</w:t>
      </w:r>
      <w:r>
        <w:rPr>
          <w:kern w:val="28"/>
          <w:lang w:val="fr-FR"/>
        </w:rPr>
        <w:t>ait</w:t>
      </w:r>
      <w:r w:rsidRPr="00482B08">
        <w:rPr>
          <w:kern w:val="28"/>
          <w:lang w:val="fr-FR"/>
        </w:rPr>
        <w:t xml:space="preserve"> même prête à </w:t>
      </w:r>
      <w:r>
        <w:rPr>
          <w:kern w:val="28"/>
          <w:lang w:val="fr-FR"/>
        </w:rPr>
        <w:t xml:space="preserve">le </w:t>
      </w:r>
      <w:r w:rsidRPr="00482B08">
        <w:rPr>
          <w:kern w:val="28"/>
          <w:lang w:val="fr-FR"/>
        </w:rPr>
        <w:t xml:space="preserve">reprendre </w:t>
      </w:r>
      <w:r>
        <w:rPr>
          <w:kern w:val="28"/>
          <w:lang w:val="fr-FR"/>
        </w:rPr>
        <w:t xml:space="preserve">à la maison et continuer leur </w:t>
      </w:r>
      <w:r w:rsidRPr="00482B08">
        <w:rPr>
          <w:kern w:val="28"/>
          <w:lang w:val="fr-FR"/>
        </w:rPr>
        <w:t>vie commune.</w:t>
      </w:r>
      <w:r>
        <w:rPr>
          <w:kern w:val="28"/>
          <w:lang w:val="fr-FR"/>
        </w:rPr>
        <w:t xml:space="preserve"> </w:t>
      </w:r>
    </w:p>
    <w:p w14:paraId="7C9A7376" w14:textId="77777777" w:rsidR="00DF4E65" w:rsidRPr="00482B08" w:rsidRDefault="00DF4E65" w:rsidP="00482B08">
      <w:pPr>
        <w:numPr>
          <w:ilvl w:val="0"/>
          <w:numId w:val="1"/>
        </w:numPr>
        <w:tabs>
          <w:tab w:val="clear" w:pos="360"/>
        </w:tabs>
        <w:spacing w:before="120" w:after="120"/>
        <w:jc w:val="both"/>
        <w:rPr>
          <w:kern w:val="28"/>
          <w:lang w:val="fr-FR"/>
        </w:rPr>
      </w:pPr>
      <w:r w:rsidRPr="00482B08">
        <w:rPr>
          <w:kern w:val="28"/>
          <w:lang w:val="fr-FR"/>
        </w:rPr>
        <w:t xml:space="preserve">Il faudra attendre l’hospitalisation de J. C. en 1987 pour que la DPJ ordonne que les contacts entre l’enfant et son père </w:t>
      </w:r>
      <w:r>
        <w:rPr>
          <w:kern w:val="28"/>
          <w:lang w:val="fr-FR"/>
        </w:rPr>
        <w:t>soient</w:t>
      </w:r>
      <w:r w:rsidRPr="00482B08">
        <w:rPr>
          <w:kern w:val="28"/>
          <w:lang w:val="fr-FR"/>
        </w:rPr>
        <w:t xml:space="preserve"> supervisés.</w:t>
      </w:r>
    </w:p>
    <w:p w14:paraId="4C4C6AAE" w14:textId="77777777" w:rsidR="00DF4E65" w:rsidRPr="00C71C3E" w:rsidRDefault="00DF4E65" w:rsidP="00C71C3E">
      <w:pPr>
        <w:numPr>
          <w:ilvl w:val="0"/>
          <w:numId w:val="1"/>
        </w:numPr>
        <w:tabs>
          <w:tab w:val="clear" w:pos="360"/>
        </w:tabs>
        <w:spacing w:before="120" w:after="120"/>
        <w:jc w:val="both"/>
        <w:rPr>
          <w:kern w:val="28"/>
        </w:rPr>
      </w:pPr>
      <w:r>
        <w:rPr>
          <w:kern w:val="28"/>
        </w:rPr>
        <w:lastRenderedPageBreak/>
        <w:t>Évidemment, comme c’est souvent le cas dans des situations incestueuses, personne ne peut corroborer les dires de J. C. Toutefois</w:t>
      </w:r>
      <w:r w:rsidRPr="00C71C3E">
        <w:rPr>
          <w:kern w:val="28"/>
        </w:rPr>
        <w:t xml:space="preserve">, divers éléments de preuve, tels que les dossiers médicaux et les bulletins scolaires, permettent de constater que la version des faits relatée par J. C. demeure </w:t>
      </w:r>
      <w:r>
        <w:rPr>
          <w:kern w:val="28"/>
        </w:rPr>
        <w:t xml:space="preserve">hautement </w:t>
      </w:r>
      <w:r w:rsidRPr="00C71C3E">
        <w:rPr>
          <w:kern w:val="28"/>
        </w:rPr>
        <w:t>plus probable que celle offerte par le père.</w:t>
      </w:r>
    </w:p>
    <w:p w14:paraId="2AA575F2" w14:textId="77777777" w:rsidR="00DF4E65" w:rsidRPr="004F4577" w:rsidRDefault="00DF4E65" w:rsidP="00DF4E65">
      <w:pPr>
        <w:pStyle w:val="Paragraphedeliste"/>
        <w:numPr>
          <w:ilvl w:val="0"/>
          <w:numId w:val="40"/>
        </w:numPr>
        <w:spacing w:before="120" w:after="120"/>
        <w:contextualSpacing/>
        <w:jc w:val="both"/>
        <w:rPr>
          <w:kern w:val="28"/>
        </w:rPr>
      </w:pPr>
      <w:r>
        <w:rPr>
          <w:kern w:val="28"/>
        </w:rPr>
        <w:t>Dossiers médicaux</w:t>
      </w:r>
    </w:p>
    <w:p w14:paraId="28AA8B80" w14:textId="77777777" w:rsidR="00DF4E65" w:rsidRPr="00BE0AB5" w:rsidRDefault="00DF4E65" w:rsidP="00BE0AB5">
      <w:pPr>
        <w:numPr>
          <w:ilvl w:val="0"/>
          <w:numId w:val="1"/>
        </w:numPr>
        <w:tabs>
          <w:tab w:val="clear" w:pos="360"/>
        </w:tabs>
        <w:spacing w:before="120" w:after="120"/>
        <w:jc w:val="both"/>
        <w:rPr>
          <w:rFonts w:cs="Arial"/>
          <w:lang w:eastAsia="en-US"/>
        </w:rPr>
      </w:pPr>
      <w:r>
        <w:rPr>
          <w:rFonts w:cs="Arial"/>
        </w:rPr>
        <w:t xml:space="preserve">Certains extraits du dossier médical de J. C. à l’hôpital Ste-Justine </w:t>
      </w:r>
      <w:r w:rsidRPr="00BE0AB5">
        <w:rPr>
          <w:rFonts w:cs="Arial"/>
        </w:rPr>
        <w:t>décrivent des faits rapportés par J.C. en 1985 et 1987, de manière contemporaine aux faits reprochés :</w:t>
      </w:r>
    </w:p>
    <w:p w14:paraId="31B66506" w14:textId="77777777" w:rsidR="00DF4E65" w:rsidRDefault="00DF4E65" w:rsidP="00BE0AB5">
      <w:pPr>
        <w:pStyle w:val="Paragraphedeliste"/>
        <w:rPr>
          <w:rFonts w:cs="Arial"/>
        </w:rPr>
      </w:pPr>
    </w:p>
    <w:p w14:paraId="3D4E6182" w14:textId="77777777" w:rsidR="00DF4E65" w:rsidRPr="00B843D9" w:rsidRDefault="00DF4E65" w:rsidP="00DF4E65">
      <w:pPr>
        <w:pStyle w:val="Paragraphedeliste"/>
        <w:numPr>
          <w:ilvl w:val="0"/>
          <w:numId w:val="40"/>
        </w:numPr>
        <w:spacing w:before="240" w:after="160"/>
        <w:contextualSpacing/>
        <w:jc w:val="both"/>
        <w:rPr>
          <w:rFonts w:cs="Arial"/>
        </w:rPr>
      </w:pPr>
      <w:r w:rsidRPr="00B843D9">
        <w:rPr>
          <w:rFonts w:cs="Arial"/>
        </w:rPr>
        <w:t xml:space="preserve">9 juillet 1985 : </w:t>
      </w:r>
      <w:r w:rsidRPr="00B843D9">
        <w:rPr>
          <w:rFonts w:cs="Arial"/>
          <w:i/>
          <w:iCs/>
        </w:rPr>
        <w:t>Raison de la consultation : hymen perforé ?</w:t>
      </w:r>
      <w:r w:rsidRPr="00B843D9">
        <w:rPr>
          <w:rFonts w:cs="Arial"/>
        </w:rPr>
        <w:t> </w:t>
      </w:r>
      <w:r>
        <w:rPr>
          <w:rStyle w:val="Appelnotedebasdep"/>
          <w:rFonts w:cs="Arial"/>
        </w:rPr>
        <w:footnoteReference w:id="7"/>
      </w:r>
    </w:p>
    <w:p w14:paraId="02FF9943" w14:textId="77777777" w:rsidR="00DF4E65" w:rsidRDefault="00DF4E65" w:rsidP="00B843D9">
      <w:pPr>
        <w:pStyle w:val="Paragraphedeliste"/>
        <w:spacing w:before="240" w:after="160"/>
        <w:ind w:left="792"/>
        <w:jc w:val="both"/>
        <w:rPr>
          <w:rFonts w:cs="Arial"/>
        </w:rPr>
      </w:pPr>
    </w:p>
    <w:p w14:paraId="22A75B6F" w14:textId="77777777" w:rsidR="00DF4E65" w:rsidRPr="00B843D9" w:rsidRDefault="00DF4E65" w:rsidP="00DF4E65">
      <w:pPr>
        <w:pStyle w:val="Paragraphedeliste"/>
        <w:numPr>
          <w:ilvl w:val="0"/>
          <w:numId w:val="40"/>
        </w:numPr>
        <w:spacing w:before="240" w:after="160"/>
        <w:contextualSpacing/>
        <w:jc w:val="both"/>
        <w:rPr>
          <w:rFonts w:cs="Arial"/>
        </w:rPr>
      </w:pPr>
      <w:r w:rsidRPr="00B843D9">
        <w:rPr>
          <w:rFonts w:cs="Arial"/>
        </w:rPr>
        <w:t xml:space="preserve">6 avril 1987 : </w:t>
      </w:r>
      <w:r w:rsidRPr="00B843D9">
        <w:rPr>
          <w:rFonts w:cs="Arial"/>
          <w:i/>
          <w:iCs/>
        </w:rPr>
        <w:t>Le père demande à sa fille de boire “liquide blanche” du pénis — attouchement jeune vulve — pénétration</w:t>
      </w:r>
      <w:r w:rsidRPr="00B843D9">
        <w:rPr>
          <w:rFonts w:cs="Arial"/>
        </w:rPr>
        <w:t> (…) lèvres : hyperhémie (…) hymen : perméable à 1 doigt</w:t>
      </w:r>
      <w:r w:rsidRPr="00593759">
        <w:rPr>
          <w:rStyle w:val="Appelnotedebasdep"/>
          <w:rFonts w:cs="Arial"/>
        </w:rPr>
        <w:footnoteReference w:id="8"/>
      </w:r>
    </w:p>
    <w:p w14:paraId="096B7EBB" w14:textId="77777777" w:rsidR="00DF4E65" w:rsidRPr="00B843D9" w:rsidRDefault="00DF4E65" w:rsidP="00B843D9">
      <w:pPr>
        <w:pStyle w:val="Paragraphedeliste"/>
        <w:spacing w:before="240" w:after="160"/>
        <w:ind w:left="792"/>
        <w:jc w:val="both"/>
        <w:rPr>
          <w:rFonts w:cs="Arial"/>
          <w:i/>
          <w:iCs/>
        </w:rPr>
      </w:pPr>
    </w:p>
    <w:p w14:paraId="7BE98866" w14:textId="77777777" w:rsidR="00DF4E65" w:rsidRPr="00B843D9" w:rsidRDefault="00DF4E65" w:rsidP="00DF4E65">
      <w:pPr>
        <w:pStyle w:val="Paragraphedeliste"/>
        <w:numPr>
          <w:ilvl w:val="0"/>
          <w:numId w:val="40"/>
        </w:numPr>
        <w:spacing w:before="240" w:after="160"/>
        <w:contextualSpacing/>
        <w:jc w:val="both"/>
        <w:rPr>
          <w:rFonts w:cs="Arial"/>
          <w:i/>
          <w:iCs/>
        </w:rPr>
      </w:pPr>
      <w:r w:rsidRPr="00B843D9">
        <w:rPr>
          <w:rFonts w:cs="Arial"/>
        </w:rPr>
        <w:t xml:space="preserve">21 avril 1987 : </w:t>
      </w:r>
      <w:r w:rsidRPr="00B843D9">
        <w:rPr>
          <w:rFonts w:cs="Arial"/>
          <w:i/>
          <w:iCs/>
        </w:rPr>
        <w:t>J. est une petite fille maintenant âgée de 9 ans qui a été amenée à l’urgence de l’hôpital Ste-Justine le 8 avril pour un motif d’abus sexuel semble-t-il de la part du père. Selon les informations contenues au dossier, le lundi, 6 avril 1987, alors que la mère était absente, le père aurait demandé à la petite fille de participer à des contacts oro-génitaux (sic) et des attouchements.</w:t>
      </w:r>
      <w:r w:rsidRPr="00DC4B17">
        <w:rPr>
          <w:rStyle w:val="Appelnotedebasdep"/>
          <w:rFonts w:cs="Arial"/>
          <w:i/>
          <w:iCs/>
        </w:rPr>
        <w:footnoteReference w:id="9"/>
      </w:r>
    </w:p>
    <w:p w14:paraId="4922A14C" w14:textId="77777777" w:rsidR="00DF4E65" w:rsidRPr="004B6692" w:rsidRDefault="00DF4E65" w:rsidP="00BE0AB5">
      <w:pPr>
        <w:numPr>
          <w:ilvl w:val="0"/>
          <w:numId w:val="1"/>
        </w:numPr>
        <w:tabs>
          <w:tab w:val="clear" w:pos="360"/>
        </w:tabs>
        <w:spacing w:before="120" w:after="120"/>
        <w:jc w:val="both"/>
        <w:rPr>
          <w:kern w:val="28"/>
        </w:rPr>
      </w:pPr>
      <w:r>
        <w:rPr>
          <w:rFonts w:cs="Arial"/>
        </w:rPr>
        <w:t>Plus tard en 1987, la situation devient intenable pour J. C. Elle est hospitalisée en pédopsychiatrie à l</w:t>
      </w:r>
      <w:r w:rsidRPr="00BE0AB5">
        <w:rPr>
          <w:rFonts w:cs="Arial"/>
        </w:rPr>
        <w:t>’hôpital Charles-Le</w:t>
      </w:r>
      <w:r>
        <w:rPr>
          <w:rFonts w:cs="Arial"/>
        </w:rPr>
        <w:t>M</w:t>
      </w:r>
      <w:r w:rsidRPr="00BE0AB5">
        <w:rPr>
          <w:rFonts w:cs="Arial"/>
        </w:rPr>
        <w:t>oyne</w:t>
      </w:r>
      <w:r>
        <w:rPr>
          <w:rFonts w:cs="Arial"/>
        </w:rPr>
        <w:t>. L</w:t>
      </w:r>
      <w:r w:rsidRPr="00BE0AB5">
        <w:rPr>
          <w:rFonts w:cs="Arial"/>
        </w:rPr>
        <w:t>e Dr Péloquin</w:t>
      </w:r>
      <w:r>
        <w:rPr>
          <w:rFonts w:cs="Arial"/>
        </w:rPr>
        <w:t>, qui prend en charge l’enfant à son arrivée, affirme</w:t>
      </w:r>
      <w:r w:rsidRPr="00BE0AB5">
        <w:rPr>
          <w:rFonts w:cs="Arial"/>
        </w:rPr>
        <w:t xml:space="preserve"> que les gestes incestueux ont duré plusieurs mois : </w:t>
      </w:r>
      <w:r w:rsidRPr="00BE0AB5">
        <w:rPr>
          <w:rFonts w:cs="Arial"/>
          <w:i/>
          <w:iCs/>
        </w:rPr>
        <w:t xml:space="preserve"> Il y a au sein de la famille une problématique importante, incluant une histoire de relation incestueuse avec le père </w:t>
      </w:r>
      <w:r w:rsidRPr="001510D2">
        <w:rPr>
          <w:rFonts w:cs="Arial"/>
          <w:i/>
          <w:iCs/>
        </w:rPr>
        <w:t>qui aurait duré pendant plusieurs mois</w:t>
      </w:r>
      <w:r>
        <w:rPr>
          <w:rStyle w:val="Appelnotedebasdep"/>
          <w:rFonts w:cs="Arial"/>
          <w:i/>
          <w:iCs/>
        </w:rPr>
        <w:footnoteReference w:id="10"/>
      </w:r>
      <w:r w:rsidRPr="00BE0AB5">
        <w:rPr>
          <w:rFonts w:cs="Arial"/>
          <w:i/>
          <w:iCs/>
        </w:rPr>
        <w:t>.</w:t>
      </w:r>
    </w:p>
    <w:p w14:paraId="5092BE58" w14:textId="77777777" w:rsidR="00DF4E65" w:rsidRPr="00F62463" w:rsidRDefault="00DF4E65" w:rsidP="00BE0AB5">
      <w:pPr>
        <w:numPr>
          <w:ilvl w:val="0"/>
          <w:numId w:val="1"/>
        </w:numPr>
        <w:tabs>
          <w:tab w:val="clear" w:pos="360"/>
        </w:tabs>
        <w:spacing w:before="120" w:after="120"/>
        <w:jc w:val="both"/>
        <w:rPr>
          <w:kern w:val="28"/>
        </w:rPr>
      </w:pPr>
      <w:r>
        <w:rPr>
          <w:rFonts w:cs="Arial"/>
        </w:rPr>
        <w:t>Le passage suivant démontre l’état dans lequel J. C. est prise en charge à son arrivée à l’hôpital</w:t>
      </w:r>
      <w:r>
        <w:rPr>
          <w:rStyle w:val="Appelnotedebasdep"/>
          <w:rFonts w:cs="Arial"/>
        </w:rPr>
        <w:footnoteReference w:id="11"/>
      </w:r>
      <w:r>
        <w:rPr>
          <w:rFonts w:cs="Arial"/>
        </w:rPr>
        <w:t xml:space="preserve">: </w:t>
      </w:r>
    </w:p>
    <w:p w14:paraId="289D18BA" w14:textId="77777777" w:rsidR="00DF4E65" w:rsidRDefault="00DF4E65" w:rsidP="00A2574D">
      <w:pPr>
        <w:pStyle w:val="Citationenretrait"/>
      </w:pPr>
      <w:r>
        <w:t>(…)</w:t>
      </w:r>
    </w:p>
    <w:p w14:paraId="2DCA5A7C" w14:textId="77777777" w:rsidR="00DF4E65" w:rsidRDefault="00DF4E65" w:rsidP="00C320F0">
      <w:pPr>
        <w:pStyle w:val="Citationenretrait"/>
      </w:pPr>
      <w:r w:rsidRPr="00686AD0">
        <w:rPr>
          <w:u w:val="single"/>
        </w:rPr>
        <w:t>Nous n’avons pas beaucoup d’information sur le fonctionnement dans les de</w:t>
      </w:r>
      <w:r>
        <w:rPr>
          <w:u w:val="single"/>
        </w:rPr>
        <w:t>r</w:t>
      </w:r>
      <w:r w:rsidRPr="00686AD0">
        <w:rPr>
          <w:u w:val="single"/>
        </w:rPr>
        <w:t>niers mois de J</w:t>
      </w:r>
      <w:r>
        <w:rPr>
          <w:u w:val="single"/>
        </w:rPr>
        <w:t>.</w:t>
      </w:r>
      <w:r w:rsidRPr="00686AD0">
        <w:rPr>
          <w:u w:val="single"/>
        </w:rPr>
        <w:t xml:space="preserve"> tant à la maison qu’au niveau scolaire. Nous savons cependant ce qui suit : à la suite des démarches entreprises par les services de la Protection de la </w:t>
      </w:r>
      <w:r w:rsidRPr="00686AD0">
        <w:rPr>
          <w:u w:val="single"/>
        </w:rPr>
        <w:lastRenderedPageBreak/>
        <w:t>jeunesse, certaines mesures auraient été prises pour interdire des contacts du père avec sa fille.</w:t>
      </w:r>
      <w:r>
        <w:t xml:space="preserve"> </w:t>
      </w:r>
      <w:r w:rsidRPr="0026109C">
        <w:rPr>
          <w:u w:val="single"/>
        </w:rPr>
        <w:t>On sait cependant que le père, chauffeur de taxi, demeure en contact avec sa famille par téléphone</w:t>
      </w:r>
      <w:r>
        <w:t>. Dans les derniers jours, il aurait été question d’un réaménagement du mode de paiement du loyer qui jusque-là semble avoir été à la charge du père. Et c’est précisément autour de ce changement, de la visite du propriétaire pour faire signer les nouveaux papiers, semble-t-il, que J. a explosé de colère lundi le 26 octobre 1987, face au refus de sa mère de l’informer sur ce qui se passait, sur le réaménagement de la situation du loyer, plus spécifiquement, entre son père et elle. J. aurait réagi fortement en menaçant son frère et sa sœur de les frapper avec un marteau. Mme C. (mère) aurait appelé alors une tante de J. pour qu’elle la conduise à l’hôpital Charles LeMoyne. De là, le médecin généraliste qui l’a vue, le docteur Bruno Lussier, a décidé de garder l’enfant en observation, compte-tenu qu’elle menaçait de récidiver si elle retournait à la maison. Une fois admise à l’Unité interne de psychiatrie pour enfants, J. a eu un comportement très acceptable, semble avoir bien dormi. Elle s’inquiète du party d’Halloween qu’elle pourrait manquer si elle demeure hospitalisée.</w:t>
      </w:r>
    </w:p>
    <w:p w14:paraId="46FE0264" w14:textId="77777777" w:rsidR="00DF4E65" w:rsidRPr="00F90197" w:rsidRDefault="00DF4E65" w:rsidP="00A2574D">
      <w:pPr>
        <w:pStyle w:val="Citationenretrait"/>
        <w:rPr>
          <w:u w:val="single"/>
        </w:rPr>
      </w:pPr>
      <w:r w:rsidRPr="00F90197">
        <w:rPr>
          <w:u w:val="single"/>
        </w:rPr>
        <w:t>En entrevue avec J</w:t>
      </w:r>
      <w:r>
        <w:rPr>
          <w:u w:val="single"/>
        </w:rPr>
        <w:t>.</w:t>
      </w:r>
      <w:r w:rsidRPr="00F90197">
        <w:rPr>
          <w:u w:val="single"/>
        </w:rPr>
        <w:t xml:space="preserve"> seule,</w:t>
      </w:r>
      <w:r>
        <w:t xml:space="preserve"> </w:t>
      </w:r>
      <w:r>
        <w:rPr>
          <w:u w:val="single"/>
        </w:rPr>
        <w:t>nous constatons chez elle beaucoup d’anxiété</w:t>
      </w:r>
      <w:r>
        <w:t>, et il nous a semblé que le nouveau réaménagement du paiement de loyer semblait l’inquièter, du fait notamment qu’il s’agit-là d’une nouvelle tâche pour la mère</w:t>
      </w:r>
      <w:r w:rsidRPr="00302586">
        <w:t xml:space="preserve">. </w:t>
      </w:r>
      <w:r w:rsidRPr="00F90197">
        <w:rPr>
          <w:u w:val="single"/>
        </w:rPr>
        <w:t>Il semble par ailleurs que J. ait toujours été très proche des choses qui concernaient ses parents, par exemple autour de leurs relations plutôt tumultueuses et cahotiques des dernières années (séparation physique, qui ne semble pas confirmée légalement).</w:t>
      </w:r>
    </w:p>
    <w:p w14:paraId="19AE8AC6" w14:textId="77777777" w:rsidR="00DF4E65" w:rsidRDefault="00DF4E65" w:rsidP="00A2574D">
      <w:pPr>
        <w:pStyle w:val="Citationenretrait"/>
      </w:pPr>
      <w:r>
        <w:t>(…)</w:t>
      </w:r>
    </w:p>
    <w:p w14:paraId="580E9C9A" w14:textId="77777777" w:rsidR="00DF4E65" w:rsidRDefault="00DF4E65" w:rsidP="009D31B4">
      <w:pPr>
        <w:pStyle w:val="Citationenretrait"/>
      </w:pPr>
      <w:r w:rsidRPr="00F90197">
        <w:rPr>
          <w:u w:val="single"/>
        </w:rPr>
        <w:t>C’est avec beaucoup de peine et d’anxiété que J. arrivera à me parler des incidents qui se sont déroulés avec son père (contacts incestueux) et je la sens fortement gênée et inconfortable lorsque je lui demande de me raconter les évènements.</w:t>
      </w:r>
      <w:r>
        <w:t xml:space="preserve"> C’est en bégayant, en hésitant, en revenant sur des mots, en se serrant la bouche, se cachant le visage, se bouchant les oreilles lorsque je lui demande une question, qu’elle arrivera avec beaucoup de peine à m’écrire d’abord que quelque chose de </w:t>
      </w:r>
      <w:r>
        <w:rPr>
          <w:rFonts w:cs="Arial"/>
        </w:rPr>
        <w:t>«</w:t>
      </w:r>
      <w:r>
        <w:t>stupéfiant, cochon, maléfique, pas gentil, stupide</w:t>
      </w:r>
      <w:r>
        <w:rPr>
          <w:rFonts w:cs="Arial"/>
        </w:rPr>
        <w:t>»</w:t>
      </w:r>
      <w:r>
        <w:t xml:space="preserve"> s’est déroulé avec son père, par exemple lorsque sa mère était partie à la messe le dimanche. En fait, J. semble incapable de me dire ce qui s’est passé avec son père, plus directement, malgré une invitation ferme de ma part pour le faire. </w:t>
      </w:r>
      <w:r w:rsidRPr="00F90197">
        <w:rPr>
          <w:u w:val="single"/>
        </w:rPr>
        <w:t>Elle é</w:t>
      </w:r>
      <w:r>
        <w:rPr>
          <w:u w:val="single"/>
        </w:rPr>
        <w:t xml:space="preserve">crira cependant en réponse à une question de ma part, ce qui suit : </w:t>
      </w:r>
      <w:r>
        <w:rPr>
          <w:rFonts w:cs="Arial"/>
          <w:u w:val="single"/>
        </w:rPr>
        <w:t>«</w:t>
      </w:r>
      <w:r>
        <w:rPr>
          <w:u w:val="single"/>
        </w:rPr>
        <w:t>Il a touché mes fesses, ma vulve, mes seins…Il a rentré son pénis dans ma vulve…</w:t>
      </w:r>
      <w:r>
        <w:rPr>
          <w:rFonts w:cs="Arial"/>
          <w:u w:val="single"/>
        </w:rPr>
        <w:t>»</w:t>
      </w:r>
      <w:r>
        <w:t xml:space="preserve"> Lorsque je répète tout haut ce qu’elle a écrit, elle se bouche les oreilles. Nous reparlons ensemble de sa gêne et de son malaise, notamment en raison du fait qu’elle exprime ceci à un homme comme son père.  </w:t>
      </w:r>
      <w:r w:rsidRPr="00F90197">
        <w:rPr>
          <w:u w:val="single"/>
        </w:rPr>
        <w:t>Malgré ces évènements, elle semble demeurer très proche effectivement de son père, donnant le récit par exemple de ses inquiétudes à son égard,</w:t>
      </w:r>
      <w:r>
        <w:t xml:space="preserve"> lorsqu’il avait appelé d’une cabine téléphonique, souffrant une indigestion alimentaire, ayant paniqué et ayant considéré le pire pour son père (</w:t>
      </w:r>
      <w:r>
        <w:rPr>
          <w:rFonts w:cs="Arial"/>
        </w:rPr>
        <w:t>«</w:t>
      </w:r>
      <w:r>
        <w:t>Quelqu’un qui l’attaquait</w:t>
      </w:r>
      <w:r>
        <w:rPr>
          <w:rFonts w:cs="Arial"/>
        </w:rPr>
        <w:t>»</w:t>
      </w:r>
      <w:r>
        <w:t xml:space="preserve">). </w:t>
      </w:r>
      <w:r w:rsidRPr="00F90197">
        <w:rPr>
          <w:u w:val="single"/>
        </w:rPr>
        <w:t xml:space="preserve">Elle dit assez clairement qu’elle ne souhaite pas être seule avec lui pour l’instant, mais elle nous dit </w:t>
      </w:r>
      <w:proofErr w:type="gramStart"/>
      <w:r w:rsidRPr="00F90197">
        <w:rPr>
          <w:u w:val="single"/>
        </w:rPr>
        <w:t>par contre</w:t>
      </w:r>
      <w:proofErr w:type="gramEnd"/>
      <w:r w:rsidRPr="00F90197">
        <w:rPr>
          <w:u w:val="single"/>
        </w:rPr>
        <w:t xml:space="preserve"> qu’elle souhaiterait sa visite (en présence d’un autre membre du personnel).</w:t>
      </w:r>
    </w:p>
    <w:p w14:paraId="439AB582" w14:textId="77777777" w:rsidR="00DF4E65" w:rsidRDefault="00DF4E65" w:rsidP="009D31B4">
      <w:pPr>
        <w:pStyle w:val="Citationenretrait"/>
      </w:pPr>
      <w:r w:rsidRPr="00CC2EF6">
        <w:rPr>
          <w:u w:val="single"/>
        </w:rPr>
        <w:lastRenderedPageBreak/>
        <w:t>Globalement, je sens une forte tendance chez J. à garder sous silence l’objet de ses inquiétudes, au prix cependant d’une énorme anxiété, d’une appréhension des évènements présents et de l’avenir et du développement d’une image de soi empreinte de culpabilité, notamment</w:t>
      </w:r>
      <w:r>
        <w:t xml:space="preserve">. Nous ne notons pas d’élément dépressif significatif, dans le sens d’un trouble affectif majeur par exemple et l’examen de la pensée est par ailleurs dans les limites de la normale. Il n’y a pas d’anomalie du contenu non plus que du processus de la pensée, sinon la très grande circonstancialité (sic) en ce qui a trait à des souvenirs très conflictuels, notamment en ce qui regarde les contacts intimes avec son père. Il n’y a pas d’idéation suicidaire exprimée d’aucune façon. </w:t>
      </w:r>
      <w:r w:rsidRPr="005F04A4">
        <w:rPr>
          <w:b/>
          <w:bCs/>
          <w:u w:val="single"/>
        </w:rPr>
        <w:t>J.</w:t>
      </w:r>
      <w:r>
        <w:t xml:space="preserve"> semble s’accrocher à des projets concrets, comme le party d’Halloween qui approche. L’examen des fonctions cognitives nous suggère par ailleurs que J. est une fille au moins moyennement intelligente, qui ne présente pas de difficulté significative </w:t>
      </w:r>
      <w:proofErr w:type="gramStart"/>
      <w:r>
        <w:t>au</w:t>
      </w:r>
      <w:proofErr w:type="gramEnd"/>
      <w:r>
        <w:t xml:space="preserve"> plan cognitif, si ce n’est que l’attention apparaît fortement diminuée par moments, en rapport avec une anxiété très grande.</w:t>
      </w:r>
    </w:p>
    <w:p w14:paraId="213215D8" w14:textId="77777777" w:rsidR="00DF4E65" w:rsidRPr="00CC2EF6" w:rsidRDefault="00DF4E65" w:rsidP="009D31B4">
      <w:pPr>
        <w:pStyle w:val="Citationenretrait"/>
        <w:rPr>
          <w:u w:val="single"/>
        </w:rPr>
      </w:pPr>
      <w:r>
        <w:t xml:space="preserve">Il apparaît important de clarifier la situation familiale actuelle, notamment en ce qui a trait aux sources présentes d’anxiété pour J., dans le sens notamment de diminuer et de contenir ces sources d’anxiété. J. est une enfant anxieuse, qui tant (sic) à se préoccuper beaucoup d’un environnement dont elle n’est plus trop sûre, alors que ces préoccupations devraient être celles de l’adulte autour d’elle. </w:t>
      </w:r>
      <w:r w:rsidRPr="00CC2EF6">
        <w:rPr>
          <w:u w:val="single"/>
        </w:rPr>
        <w:t>J. a besoin d’un maximum de sécurité offert par le monde adulte autour d’elle, d’autant plus qu’elle a à liquider beaucoup d’anxiété avec des évènements traumatiques dans les dernières années (séparation des parents, contacts incestueux avec le père, notamment).</w:t>
      </w:r>
    </w:p>
    <w:p w14:paraId="197CBC3D" w14:textId="77777777" w:rsidR="00DF4E65" w:rsidRDefault="00DF4E65" w:rsidP="009D31B4">
      <w:pPr>
        <w:pStyle w:val="Citationenretrait"/>
      </w:pPr>
      <w:r>
        <w:t>(…)</w:t>
      </w:r>
    </w:p>
    <w:p w14:paraId="614E2F8C" w14:textId="77777777" w:rsidR="00DF4E65" w:rsidRDefault="00DF4E65" w:rsidP="009D31B4">
      <w:pPr>
        <w:pStyle w:val="Citationenretrait"/>
      </w:pPr>
      <w:r>
        <w:t xml:space="preserve">Pour l’instant, </w:t>
      </w:r>
      <w:r w:rsidRPr="00CC2EF6">
        <w:rPr>
          <w:u w:val="single"/>
        </w:rPr>
        <w:t xml:space="preserve">nous gardons </w:t>
      </w:r>
      <w:r w:rsidRPr="005F04A4">
        <w:rPr>
          <w:b/>
          <w:bCs/>
          <w:u w:val="single"/>
        </w:rPr>
        <w:t>J.</w:t>
      </w:r>
      <w:r w:rsidRPr="00CC2EF6">
        <w:rPr>
          <w:u w:val="single"/>
        </w:rPr>
        <w:t xml:space="preserve"> hospitalisée à l’unité interne de psychiatrie d’abord pour mieux cerner la situation plus actuelle, et possiblement faire en sorte qu’elle ne se répète plus. Cette histoire d’éclatement s’est répétée déjà trop de fois et maintenant </w:t>
      </w:r>
      <w:r w:rsidRPr="001B68AF">
        <w:rPr>
          <w:b/>
          <w:bCs/>
          <w:u w:val="single"/>
        </w:rPr>
        <w:t>J.</w:t>
      </w:r>
      <w:r w:rsidRPr="00CC2EF6">
        <w:rPr>
          <w:u w:val="single"/>
        </w:rPr>
        <w:t xml:space="preserve"> a besoin d’un maximum de sécurité dans son milieu</w:t>
      </w:r>
      <w:r>
        <w:t>.</w:t>
      </w:r>
    </w:p>
    <w:p w14:paraId="0F830154" w14:textId="77777777" w:rsidR="00DF4E65" w:rsidRDefault="00DF4E65" w:rsidP="009D31B4">
      <w:pPr>
        <w:pStyle w:val="Citationenretrait"/>
      </w:pPr>
      <w:r>
        <w:t xml:space="preserve">D’un point de vue thérapeutique par ailleurs, il m’apparaît important que </w:t>
      </w:r>
      <w:r w:rsidRPr="00F772AB">
        <w:rPr>
          <w:b/>
          <w:bCs/>
          <w:u w:val="single"/>
        </w:rPr>
        <w:t>J.</w:t>
      </w:r>
      <w:r>
        <w:t xml:space="preserve"> arrive à raconter, à exprimer ce qu’elle ressent et ce qu’elle a vécu en relation avec des évènements traumatiques récents; nous avons une belle occasion de tenter de prévenir des séquelles à l’âge adulte de traumatisme important chez une fillette qui par ailleurs pourrait avoir un bon potentiel.</w:t>
      </w:r>
    </w:p>
    <w:p w14:paraId="2FD6A379" w14:textId="77777777" w:rsidR="00DF4E65" w:rsidRDefault="00DF4E65" w:rsidP="009D31B4">
      <w:pPr>
        <w:pStyle w:val="Citationenretrait"/>
      </w:pPr>
      <w:r>
        <w:t xml:space="preserve">                                                                             (Soulignements ajoutés)</w:t>
      </w:r>
    </w:p>
    <w:p w14:paraId="584A1606" w14:textId="77777777" w:rsidR="00DF4E65" w:rsidRPr="00B0363C" w:rsidRDefault="00DF4E65" w:rsidP="00FD29B0">
      <w:pPr>
        <w:numPr>
          <w:ilvl w:val="0"/>
          <w:numId w:val="1"/>
        </w:numPr>
        <w:tabs>
          <w:tab w:val="clear" w:pos="360"/>
        </w:tabs>
        <w:spacing w:before="120" w:after="120"/>
        <w:jc w:val="both"/>
      </w:pPr>
      <w:r>
        <w:t>Malgré ce sombre et dévastateur portrait, on comprend que le père continue néanmoins de tenter d’entrer en contact avec J. C.</w:t>
      </w:r>
    </w:p>
    <w:p w14:paraId="2D3BBF72" w14:textId="77777777" w:rsidR="00DF4E65" w:rsidRPr="004F4577" w:rsidRDefault="00DF4E65" w:rsidP="00DF4E65">
      <w:pPr>
        <w:pStyle w:val="Paragraphedeliste"/>
        <w:numPr>
          <w:ilvl w:val="0"/>
          <w:numId w:val="40"/>
        </w:numPr>
        <w:spacing w:before="120" w:after="120"/>
        <w:contextualSpacing/>
        <w:jc w:val="both"/>
        <w:rPr>
          <w:kern w:val="28"/>
        </w:rPr>
      </w:pPr>
      <w:r>
        <w:rPr>
          <w:kern w:val="28"/>
        </w:rPr>
        <w:t>Bulletins scolaires et notes des professeurs</w:t>
      </w:r>
    </w:p>
    <w:p w14:paraId="682C3507" w14:textId="77777777" w:rsidR="00DF4E65" w:rsidRDefault="00DF4E65" w:rsidP="00D713AF">
      <w:pPr>
        <w:numPr>
          <w:ilvl w:val="0"/>
          <w:numId w:val="1"/>
        </w:numPr>
        <w:tabs>
          <w:tab w:val="clear" w:pos="360"/>
        </w:tabs>
        <w:spacing w:before="120" w:after="120"/>
        <w:jc w:val="both"/>
        <w:rPr>
          <w:kern w:val="28"/>
        </w:rPr>
      </w:pPr>
      <w:r>
        <w:rPr>
          <w:kern w:val="28"/>
        </w:rPr>
        <w:t>Comme on peut facilement s’en douter, le parcours scolaire de J. C. a été semé d’embûches.</w:t>
      </w:r>
    </w:p>
    <w:p w14:paraId="02FB4BBA" w14:textId="77777777" w:rsidR="00DF4E65" w:rsidRDefault="00DF4E65" w:rsidP="00D713AF">
      <w:pPr>
        <w:numPr>
          <w:ilvl w:val="0"/>
          <w:numId w:val="1"/>
        </w:numPr>
        <w:tabs>
          <w:tab w:val="clear" w:pos="360"/>
        </w:tabs>
        <w:spacing w:before="120" w:after="120"/>
        <w:jc w:val="both"/>
        <w:rPr>
          <w:kern w:val="28"/>
        </w:rPr>
      </w:pPr>
      <w:r>
        <w:rPr>
          <w:kern w:val="28"/>
        </w:rPr>
        <w:lastRenderedPageBreak/>
        <w:t>Dès la maternelle, on note qu’elle éprouve certaines difficultés dans ses relations avec les autres</w:t>
      </w:r>
      <w:r>
        <w:rPr>
          <w:rStyle w:val="Appelnotedebasdep"/>
          <w:kern w:val="28"/>
        </w:rPr>
        <w:footnoteReference w:id="12"/>
      </w:r>
      <w:r>
        <w:rPr>
          <w:kern w:val="28"/>
        </w:rPr>
        <w:t>.</w:t>
      </w:r>
    </w:p>
    <w:p w14:paraId="7D94CD8C" w14:textId="77777777" w:rsidR="00DF4E65" w:rsidRDefault="00DF4E65" w:rsidP="00D713AF">
      <w:pPr>
        <w:numPr>
          <w:ilvl w:val="0"/>
          <w:numId w:val="1"/>
        </w:numPr>
        <w:tabs>
          <w:tab w:val="clear" w:pos="360"/>
        </w:tabs>
        <w:spacing w:before="120" w:after="120"/>
        <w:jc w:val="both"/>
        <w:rPr>
          <w:kern w:val="28"/>
        </w:rPr>
      </w:pPr>
      <w:r>
        <w:rPr>
          <w:kern w:val="28"/>
        </w:rPr>
        <w:t>Lors d’une de ses communications aux parents, sa professeure écrit :</w:t>
      </w:r>
    </w:p>
    <w:p w14:paraId="509E6FCB" w14:textId="77777777" w:rsidR="00DF4E65" w:rsidRDefault="00DF4E65" w:rsidP="000311C9">
      <w:pPr>
        <w:pStyle w:val="Citationenretrait"/>
      </w:pPr>
      <w:r w:rsidRPr="0099180E">
        <w:t>J. fait des essais et cherche à expérimenter</w:t>
      </w:r>
      <w:r>
        <w:t>,</w:t>
      </w:r>
      <w:r w:rsidRPr="0099180E">
        <w:t xml:space="preserve"> mais accepte difficilement les erreurs qu’elle fait; elle se culpabilise très souvent, elle demande beaucoup d’aide, d’attention et a un grand besoin de pouvoir décider tout; les règles du groupe la contrarient beaucoup et elle le démontre fréquemment.</w:t>
      </w:r>
    </w:p>
    <w:p w14:paraId="693399EE" w14:textId="77777777" w:rsidR="00DF4E65" w:rsidRPr="007046CE" w:rsidRDefault="00DF4E65" w:rsidP="0099180E">
      <w:pPr>
        <w:numPr>
          <w:ilvl w:val="0"/>
          <w:numId w:val="1"/>
        </w:numPr>
        <w:tabs>
          <w:tab w:val="clear" w:pos="360"/>
        </w:tabs>
        <w:spacing w:before="120" w:after="120"/>
        <w:jc w:val="both"/>
        <w:rPr>
          <w:kern w:val="28"/>
          <w:szCs w:val="24"/>
        </w:rPr>
      </w:pPr>
      <w:r w:rsidRPr="007046CE">
        <w:rPr>
          <w:kern w:val="28"/>
          <w:szCs w:val="24"/>
        </w:rPr>
        <w:t xml:space="preserve">Malgré le fait qu’elle n’intégrera pas immédiatement la première année, étant plutôt dirigée vers une classe de </w:t>
      </w:r>
      <w:r w:rsidRPr="001510D2">
        <w:rPr>
          <w:i/>
          <w:iCs/>
          <w:kern w:val="28"/>
          <w:szCs w:val="24"/>
        </w:rPr>
        <w:t>maturation</w:t>
      </w:r>
      <w:r w:rsidRPr="007046CE">
        <w:rPr>
          <w:kern w:val="28"/>
          <w:szCs w:val="24"/>
        </w:rPr>
        <w:t>, J. C. continue de vivre des difficultés. Sa professeure note ce qui suit dans son bulletin :</w:t>
      </w:r>
    </w:p>
    <w:p w14:paraId="7BA541D5" w14:textId="77777777" w:rsidR="00DF4E65" w:rsidRPr="0099180E" w:rsidRDefault="00DF4E65" w:rsidP="000311C9">
      <w:pPr>
        <w:pStyle w:val="Citationenretrait"/>
      </w:pPr>
      <w:r>
        <w:t>J. n’éprouve aucune difficulté majeure au niveau des apprentissages. Elle éprouve des difficultés à se conformer aux directives de l’adulte. Souvent agressive avec ses amis.</w:t>
      </w:r>
    </w:p>
    <w:p w14:paraId="0DDB8AAF" w14:textId="77777777" w:rsidR="00DF4E65" w:rsidRDefault="00DF4E65" w:rsidP="00724EFE">
      <w:pPr>
        <w:numPr>
          <w:ilvl w:val="0"/>
          <w:numId w:val="1"/>
        </w:numPr>
        <w:tabs>
          <w:tab w:val="clear" w:pos="360"/>
        </w:tabs>
        <w:spacing w:before="120" w:after="120"/>
        <w:jc w:val="both"/>
        <w:rPr>
          <w:kern w:val="28"/>
        </w:rPr>
      </w:pPr>
      <w:r>
        <w:rPr>
          <w:kern w:val="28"/>
        </w:rPr>
        <w:t>Dans son bulletin de l’année 1987-1988, on y lit que J. C. est souvent absente et que sa participation ne paraît pas être au rendez-vous. Il y est également mentionné qu’aux étapes 3 et 4, J. C. n’est pas présente puisqu’elle est hospitalisée.</w:t>
      </w:r>
    </w:p>
    <w:p w14:paraId="3A640A41" w14:textId="77777777" w:rsidR="00DF4E65" w:rsidRDefault="00DF4E65" w:rsidP="00DF4E65">
      <w:pPr>
        <w:pStyle w:val="Paragraphedeliste"/>
        <w:numPr>
          <w:ilvl w:val="0"/>
          <w:numId w:val="40"/>
        </w:numPr>
        <w:spacing w:before="120" w:after="120"/>
        <w:contextualSpacing/>
        <w:jc w:val="both"/>
        <w:rPr>
          <w:kern w:val="28"/>
        </w:rPr>
      </w:pPr>
      <w:r w:rsidRPr="00B913C1">
        <w:rPr>
          <w:kern w:val="28"/>
        </w:rPr>
        <w:t>Rapports de la DPJ</w:t>
      </w:r>
    </w:p>
    <w:p w14:paraId="2AEA3FAC" w14:textId="77777777" w:rsidR="00DF4E65" w:rsidRPr="00B913C1" w:rsidRDefault="00DF4E65" w:rsidP="00B913C1">
      <w:pPr>
        <w:numPr>
          <w:ilvl w:val="0"/>
          <w:numId w:val="1"/>
        </w:numPr>
        <w:tabs>
          <w:tab w:val="clear" w:pos="360"/>
        </w:tabs>
        <w:spacing w:before="120" w:after="120"/>
        <w:jc w:val="both"/>
        <w:rPr>
          <w:kern w:val="28"/>
        </w:rPr>
      </w:pPr>
      <w:r>
        <w:rPr>
          <w:kern w:val="28"/>
        </w:rPr>
        <w:t>Malgré les signaux alarmants, cela prendra un certain temps avant que la DPJ n’intervienne. L’extrait suivant, daté du 27 juillet 1988, fournit certaines explications</w:t>
      </w:r>
      <w:r>
        <w:rPr>
          <w:rStyle w:val="Appelnotedebasdep"/>
          <w:kern w:val="28"/>
        </w:rPr>
        <w:footnoteReference w:id="13"/>
      </w:r>
      <w:r>
        <w:rPr>
          <w:kern w:val="28"/>
        </w:rPr>
        <w:t> : </w:t>
      </w:r>
    </w:p>
    <w:p w14:paraId="77997E13" w14:textId="77777777" w:rsidR="00DF4E65" w:rsidRDefault="00DF4E65" w:rsidP="00B913C1">
      <w:pPr>
        <w:pStyle w:val="Citationenretrait"/>
      </w:pPr>
      <w:r>
        <w:t xml:space="preserve">Au moment de la demande, J. venait d’être hospitalisée. Il s’agissait de faire une ré-évaluation de la situation familiale dans son ensemble et d’un point de vue clinique. </w:t>
      </w:r>
      <w:r w:rsidRPr="00B913C1">
        <w:rPr>
          <w:u w:val="single"/>
        </w:rPr>
        <w:t>La famille était connue du secteur de la Protection de la jeunesse au Centre de Services Sociaux Richelieu et notre collègue, Claudine Sauriol travaillait auprès de cette famille depuis un an environ</w:t>
      </w:r>
      <w:r>
        <w:t xml:space="preserve">. </w:t>
      </w:r>
      <w:r w:rsidRPr="00B913C1">
        <w:rPr>
          <w:u w:val="single"/>
        </w:rPr>
        <w:t>C’est à partir d’une problématique incestueuse que la Protection de la jeunesse était intervenue</w:t>
      </w:r>
      <w:r>
        <w:t>.</w:t>
      </w:r>
    </w:p>
    <w:p w14:paraId="5686A1E0" w14:textId="77777777" w:rsidR="00DF4E65" w:rsidRDefault="00DF4E65" w:rsidP="00B913C1">
      <w:pPr>
        <w:pStyle w:val="Citationenretrait"/>
      </w:pPr>
      <w:r>
        <w:t>(…)</w:t>
      </w:r>
    </w:p>
    <w:p w14:paraId="05FCFBB3" w14:textId="77777777" w:rsidR="00DF4E65" w:rsidRPr="00B913C1" w:rsidRDefault="00DF4E65" w:rsidP="00B913C1">
      <w:pPr>
        <w:pStyle w:val="Citationenretrait"/>
        <w:rPr>
          <w:u w:val="single"/>
        </w:rPr>
      </w:pPr>
      <w:r w:rsidRPr="00B913C1">
        <w:rPr>
          <w:u w:val="single"/>
        </w:rPr>
        <w:t>La mère fait un premier signalement d’abus sexuel durant l’été 1985 et J</w:t>
      </w:r>
      <w:r>
        <w:rPr>
          <w:u w:val="single"/>
        </w:rPr>
        <w:t>.</w:t>
      </w:r>
      <w:r w:rsidRPr="00B913C1">
        <w:rPr>
          <w:u w:val="single"/>
        </w:rPr>
        <w:t xml:space="preserve"> est conduite à l’hôpital pour un examen</w:t>
      </w:r>
      <w:r>
        <w:rPr>
          <w:u w:val="single"/>
        </w:rPr>
        <w:t>,</w:t>
      </w:r>
      <w:r w:rsidRPr="00B913C1">
        <w:rPr>
          <w:u w:val="single"/>
        </w:rPr>
        <w:t xml:space="preserve"> mais rien n’est prouvé et le signalement n’est pas retenu.</w:t>
      </w:r>
    </w:p>
    <w:p w14:paraId="5550B607" w14:textId="77777777" w:rsidR="00DF4E65" w:rsidRPr="00B913C1" w:rsidRDefault="00DF4E65" w:rsidP="00B913C1">
      <w:pPr>
        <w:pStyle w:val="Citationenretrait"/>
        <w:rPr>
          <w:u w:val="single"/>
        </w:rPr>
      </w:pPr>
      <w:r w:rsidRPr="00B913C1">
        <w:rPr>
          <w:u w:val="single"/>
        </w:rPr>
        <w:t>Deux autres signalements sont faits pour abus physique, l’un en automne 1985 et l’autre au printemps 1986. La prise en charge protection jeunesse se fait à l’été 1986. Il faudra attendre le mois de mars 1987 pour que la situation s’éclaire et que la situation d’inceste soit reconnue.</w:t>
      </w:r>
    </w:p>
    <w:p w14:paraId="146406A2" w14:textId="77777777" w:rsidR="00DF4E65" w:rsidRPr="00B913C1" w:rsidRDefault="00DF4E65" w:rsidP="00B913C1">
      <w:pPr>
        <w:pStyle w:val="Citationenretrait"/>
        <w:rPr>
          <w:u w:val="single"/>
        </w:rPr>
      </w:pPr>
      <w:r w:rsidRPr="00B913C1">
        <w:rPr>
          <w:u w:val="single"/>
        </w:rPr>
        <w:lastRenderedPageBreak/>
        <w:t>À ce moment, les choses se passent rapidement et le père accepte de quitter la maison en juillet 1987.</w:t>
      </w:r>
    </w:p>
    <w:p w14:paraId="5C5F3164" w14:textId="77777777" w:rsidR="00DF4E65" w:rsidRDefault="00DF4E65" w:rsidP="00B913C1">
      <w:pPr>
        <w:pStyle w:val="Citationenretrait"/>
      </w:pPr>
      <w:r w:rsidRPr="00B913C1">
        <w:rPr>
          <w:u w:val="single"/>
        </w:rPr>
        <w:t>Le 2 décembre 1987</w:t>
      </w:r>
      <w:r>
        <w:t xml:space="preserve">, la situation de la famille est présentée à la cour et </w:t>
      </w:r>
      <w:r w:rsidRPr="005F04A4">
        <w:rPr>
          <w:b/>
          <w:bCs/>
          <w:u w:val="single"/>
        </w:rPr>
        <w:t>J.</w:t>
      </w:r>
      <w:r>
        <w:t xml:space="preserve"> est maintenue dans sa famille auprès de la mère qui conserve la garde légale des trois enfants.  Il est demandé au père de se soumettre à une évaluation psychologique et il est suggéré de suivre une thérapie individuelle. Le père accepte ces conditions. </w:t>
      </w:r>
      <w:r w:rsidRPr="00B913C1">
        <w:rPr>
          <w:u w:val="single"/>
        </w:rPr>
        <w:t xml:space="preserve">Il y a interdiction de contact entre le père et </w:t>
      </w:r>
      <w:r w:rsidRPr="00277260">
        <w:rPr>
          <w:b/>
          <w:bCs/>
          <w:u w:val="single"/>
        </w:rPr>
        <w:t>J.</w:t>
      </w:r>
      <w:r w:rsidRPr="00B913C1">
        <w:rPr>
          <w:u w:val="single"/>
        </w:rPr>
        <w:t xml:space="preserve"> Les visites doivent être préparées et supervisées</w:t>
      </w:r>
      <w:r>
        <w:t>.</w:t>
      </w:r>
    </w:p>
    <w:p w14:paraId="4AF6C08A" w14:textId="77777777" w:rsidR="00DF4E65" w:rsidRDefault="00DF4E65" w:rsidP="00B913C1">
      <w:pPr>
        <w:pStyle w:val="Citationenretrait"/>
      </w:pPr>
      <w:r>
        <w:t>(…)</w:t>
      </w:r>
    </w:p>
    <w:p w14:paraId="77454798" w14:textId="77777777" w:rsidR="00DF4E65" w:rsidRDefault="00DF4E65" w:rsidP="00B913C1">
      <w:pPr>
        <w:pStyle w:val="Citationenretrait"/>
      </w:pPr>
      <w:r>
        <w:t>Nous avons également eu des contacts avec notre collègue Claudine Sauriol. Pour nous permettre de bien asseoir l’intervention nous avons fait une évaluation prolongée qui a débouché sur une aide individuelle pour madame et un certain travail au niveau des attitudes parentales et de la famille. S. et A. ont été évalués par le docteur jean Péloquin. Les enfants défient l’autorité de la mère et elle devient inquiète et débordée lorsqu’ils se désorganisent. En entrevue la mère amène ses difficultés en rapport avec A. et S. et elle exprime son incapacité de les cadrer : ils s’opposent, n’obéissent pas. Ce sont des enfants turbulents et entre eux il y a de nombreuses chicanes. Nous sentons la mère très insécure dans son rôle.</w:t>
      </w:r>
    </w:p>
    <w:p w14:paraId="37D88DC7" w14:textId="77777777" w:rsidR="00DF4E65" w:rsidRDefault="00DF4E65" w:rsidP="00B913C1">
      <w:pPr>
        <w:pStyle w:val="Citationenretrait"/>
      </w:pPr>
      <w:r>
        <w:t>J. se sent abandonnée, elle montre des sentiments ambivalents envers la mère. Elle a besoin d’une période de calme dans un milieu sécurisant et permettant une certaine neutralité affective.</w:t>
      </w:r>
    </w:p>
    <w:p w14:paraId="09C3D301" w14:textId="77777777" w:rsidR="00DF4E65" w:rsidRDefault="00DF4E65" w:rsidP="00B913C1">
      <w:pPr>
        <w:pStyle w:val="Citationenretrait"/>
      </w:pPr>
      <w:r>
        <w:t>J. a connu une sexualité précoce et maintenant le but des personnes qui l’aident est qu’elle se retrouve dans son intériorité et qu’elle développe une personnalité qui lui soit propre car actuellement, elle est un peu comme à l’image de la mère. Confrontée à l’autorité, elle va chercher à louvoyer, éviter les règlements et elle demeure superficielle. Il est difficile de la rejoindre.</w:t>
      </w:r>
    </w:p>
    <w:p w14:paraId="38827A52" w14:textId="77777777" w:rsidR="00DF4E65" w:rsidRPr="006C4E1F" w:rsidRDefault="00DF4E65" w:rsidP="00B913C1">
      <w:pPr>
        <w:pStyle w:val="Citationenretrait"/>
      </w:pPr>
      <w:r w:rsidRPr="006C4E1F">
        <w:t>(…)</w:t>
      </w:r>
    </w:p>
    <w:p w14:paraId="009B7508" w14:textId="77777777" w:rsidR="00DF4E65" w:rsidRPr="006C4E1F" w:rsidRDefault="00DF4E65" w:rsidP="00B843D9">
      <w:pPr>
        <w:pStyle w:val="Paragrsimple"/>
      </w:pPr>
      <w:r w:rsidRPr="006C4E1F">
        <w:t xml:space="preserve">Le Tribunal constate qu’il aura fallu attendre plusieurs années avant que l’horreur que vivait J.C. soit révélée au grand jour et que des mesures soient prises pour la protéger et lui fournir de l’aide. </w:t>
      </w:r>
    </w:p>
    <w:p w14:paraId="66E57431" w14:textId="77777777" w:rsidR="00DF4E65" w:rsidRPr="00425CE3" w:rsidRDefault="00DF4E65" w:rsidP="00425CE3">
      <w:pPr>
        <w:spacing w:before="120" w:after="120"/>
        <w:jc w:val="both"/>
        <w:rPr>
          <w:kern w:val="28"/>
          <w:u w:val="single"/>
        </w:rPr>
      </w:pPr>
      <w:r w:rsidRPr="00425CE3">
        <w:rPr>
          <w:kern w:val="28"/>
          <w:u w:val="single"/>
        </w:rPr>
        <w:t>Version de M. C.</w:t>
      </w:r>
    </w:p>
    <w:p w14:paraId="0BA7762A" w14:textId="77777777" w:rsidR="00DF4E65" w:rsidRDefault="00DF4E65" w:rsidP="00724EFE">
      <w:pPr>
        <w:numPr>
          <w:ilvl w:val="0"/>
          <w:numId w:val="1"/>
        </w:numPr>
        <w:tabs>
          <w:tab w:val="clear" w:pos="360"/>
        </w:tabs>
        <w:spacing w:before="120" w:after="120"/>
        <w:jc w:val="both"/>
        <w:rPr>
          <w:kern w:val="28"/>
        </w:rPr>
      </w:pPr>
      <w:r>
        <w:rPr>
          <w:kern w:val="28"/>
        </w:rPr>
        <w:t>M. C. oppose à cet épouvantable récit, le fait qu’il n’a pu perpétrer tous les gestes que J. C. lui reproche puisqu’il avait quitté le domicile conjugal au début de l’année 1983, à la suite de la découverte, par son ex-épouse, d’une relation extra-conjugale qu’il entretenait avec une autre femme.</w:t>
      </w:r>
    </w:p>
    <w:p w14:paraId="326CD996" w14:textId="77777777" w:rsidR="00DF4E65" w:rsidRDefault="00DF4E65" w:rsidP="00724EFE">
      <w:pPr>
        <w:numPr>
          <w:ilvl w:val="0"/>
          <w:numId w:val="1"/>
        </w:numPr>
        <w:tabs>
          <w:tab w:val="clear" w:pos="360"/>
        </w:tabs>
        <w:spacing w:before="120" w:after="120"/>
        <w:jc w:val="both"/>
        <w:rPr>
          <w:kern w:val="28"/>
        </w:rPr>
      </w:pPr>
      <w:r>
        <w:rPr>
          <w:kern w:val="28"/>
        </w:rPr>
        <w:t>Dans un témoignage qui commence au départ avec une revue des différents emplois qu’il a tenus au courant de sa vie active, M. C. relate le tout avec une précision qui surprend.</w:t>
      </w:r>
    </w:p>
    <w:p w14:paraId="14E42F67" w14:textId="77777777" w:rsidR="00DF4E65" w:rsidRPr="00BE4A03" w:rsidRDefault="00DF4E65" w:rsidP="00BE4A03">
      <w:pPr>
        <w:numPr>
          <w:ilvl w:val="0"/>
          <w:numId w:val="1"/>
        </w:numPr>
        <w:tabs>
          <w:tab w:val="clear" w:pos="360"/>
        </w:tabs>
        <w:spacing w:before="120" w:after="120"/>
        <w:jc w:val="both"/>
        <w:rPr>
          <w:kern w:val="28"/>
        </w:rPr>
      </w:pPr>
      <w:r>
        <w:rPr>
          <w:kern w:val="28"/>
        </w:rPr>
        <w:lastRenderedPageBreak/>
        <w:t>Puis, avec cette même précision, il explique comment le récit de J. C. ne peut être retenu puisqu’en 1983, il avait déjà quitté le domicile familial.</w:t>
      </w:r>
    </w:p>
    <w:p w14:paraId="10FB4914" w14:textId="77777777" w:rsidR="00DF4E65" w:rsidRDefault="00DF4E65" w:rsidP="00724EFE">
      <w:pPr>
        <w:numPr>
          <w:ilvl w:val="0"/>
          <w:numId w:val="1"/>
        </w:numPr>
        <w:tabs>
          <w:tab w:val="clear" w:pos="360"/>
        </w:tabs>
        <w:spacing w:before="120" w:after="120"/>
        <w:jc w:val="both"/>
        <w:rPr>
          <w:kern w:val="28"/>
        </w:rPr>
      </w:pPr>
      <w:r>
        <w:rPr>
          <w:kern w:val="28"/>
        </w:rPr>
        <w:t>Il affirmera tout d’abord qu’il n’avait donc plus de contacts avec les enfants après 1983.</w:t>
      </w:r>
    </w:p>
    <w:p w14:paraId="132F42C2" w14:textId="77777777" w:rsidR="00DF4E65" w:rsidRDefault="00DF4E65" w:rsidP="00724EFE">
      <w:pPr>
        <w:numPr>
          <w:ilvl w:val="0"/>
          <w:numId w:val="1"/>
        </w:numPr>
        <w:tabs>
          <w:tab w:val="clear" w:pos="360"/>
        </w:tabs>
        <w:spacing w:before="120" w:after="120"/>
        <w:jc w:val="both"/>
        <w:rPr>
          <w:kern w:val="28"/>
        </w:rPr>
      </w:pPr>
      <w:r>
        <w:rPr>
          <w:kern w:val="28"/>
        </w:rPr>
        <w:t>Puis, dans le cadre d’une longue et inutile explication sur ses horaires de travail en tant que chauffeur d’autobus, il nuancera son témoignage pour dire qu’avant le début de ses quarts de travail, il lui arrivait souvent de garer son autobus juste en retrait de l’arrêt et se rendait alors à pied à la résidence de la famille. Il s’empresse ensuite de préciser que les enfants n’y étaient pas puisqu’ils étaient tous à l’école.</w:t>
      </w:r>
    </w:p>
    <w:p w14:paraId="1720D2B0" w14:textId="77777777" w:rsidR="00DF4E65" w:rsidRDefault="00DF4E65" w:rsidP="00724EFE">
      <w:pPr>
        <w:numPr>
          <w:ilvl w:val="0"/>
          <w:numId w:val="1"/>
        </w:numPr>
        <w:tabs>
          <w:tab w:val="clear" w:pos="360"/>
        </w:tabs>
        <w:spacing w:before="120" w:after="120"/>
        <w:jc w:val="both"/>
        <w:rPr>
          <w:kern w:val="28"/>
        </w:rPr>
      </w:pPr>
      <w:r>
        <w:rPr>
          <w:kern w:val="28"/>
        </w:rPr>
        <w:t>Lorsque questionné par le Tribunal sur cette partie de son témoignage, M. C. réalisera que son récit n’est probablement pas tout à fait juste puisque, à l’exception de J. C., les deux autres enfants n’étaient pas d’âge scolaire et que de toute façon, étant donné que ses petites visites avaient lieu en fin d’après-midi, les trois enfants étaient vraisemblablement tous présents à la maison.</w:t>
      </w:r>
    </w:p>
    <w:p w14:paraId="613F64FB" w14:textId="77777777" w:rsidR="00DF4E65" w:rsidRDefault="00DF4E65" w:rsidP="00724EFE">
      <w:pPr>
        <w:numPr>
          <w:ilvl w:val="0"/>
          <w:numId w:val="1"/>
        </w:numPr>
        <w:tabs>
          <w:tab w:val="clear" w:pos="360"/>
        </w:tabs>
        <w:spacing w:before="120" w:after="120"/>
        <w:jc w:val="both"/>
        <w:rPr>
          <w:kern w:val="28"/>
        </w:rPr>
      </w:pPr>
      <w:r>
        <w:rPr>
          <w:kern w:val="28"/>
        </w:rPr>
        <w:t>M.C. reconnaît avoir abusé de sa fille à trois occasions en lui demandant de le masturber. Il jure que ces gestes ne se sont produits qu’en 1982 et nie avoir posé quelque autre geste de nature sexuelle que ce soit vis-à-vis sa fille.</w:t>
      </w:r>
    </w:p>
    <w:p w14:paraId="5811D01E" w14:textId="77777777" w:rsidR="00DF4E65" w:rsidRDefault="00DF4E65" w:rsidP="00724EFE">
      <w:pPr>
        <w:numPr>
          <w:ilvl w:val="0"/>
          <w:numId w:val="1"/>
        </w:numPr>
        <w:tabs>
          <w:tab w:val="clear" w:pos="360"/>
        </w:tabs>
        <w:spacing w:before="120" w:after="120"/>
        <w:jc w:val="both"/>
        <w:rPr>
          <w:kern w:val="28"/>
        </w:rPr>
      </w:pPr>
      <w:r>
        <w:rPr>
          <w:kern w:val="28"/>
        </w:rPr>
        <w:t>En plus d’affirmer qu’on ne peut plus rien lui reprocher après 1983, puisqu’il ne vivait plus avec les enfants, M. C. soutient qu’il n’a revu J.C. qu’en 1991 alors que cette dernière lui rendait visite, dans sa nouvelle maison à Varennes.</w:t>
      </w:r>
    </w:p>
    <w:p w14:paraId="3E69EE0F" w14:textId="77777777" w:rsidR="00DF4E65" w:rsidRDefault="00DF4E65" w:rsidP="00724EFE">
      <w:pPr>
        <w:numPr>
          <w:ilvl w:val="0"/>
          <w:numId w:val="1"/>
        </w:numPr>
        <w:tabs>
          <w:tab w:val="clear" w:pos="360"/>
        </w:tabs>
        <w:spacing w:before="120" w:after="120"/>
        <w:jc w:val="both"/>
        <w:rPr>
          <w:kern w:val="28"/>
        </w:rPr>
      </w:pPr>
      <w:r>
        <w:rPr>
          <w:kern w:val="28"/>
        </w:rPr>
        <w:t>Dans un récit qu’on pourrait qualifier de rocambolesque, il relate avoir été surpris de l’arrivée soudaine de sa fille puis explique avoir décidé de lui offrir d’aller courir avec elle, puisque sa conjointe de l’époque n’était pas à la maison. Spontanément, il précisera qu’au retour de cette sortie, en plein mois de février, il a enlevé ses pantalons pour montrer à sa fille combien ses cuisses étaient froides en lui demandant de mettre sa main sur sa peau pour le constater. Il assure que rien d’autre ne se serait passé entre lui et J. C, ce jour-là.</w:t>
      </w:r>
    </w:p>
    <w:p w14:paraId="00DE8327" w14:textId="77777777" w:rsidR="00DF4E65" w:rsidRDefault="00DF4E65" w:rsidP="00724EFE">
      <w:pPr>
        <w:numPr>
          <w:ilvl w:val="0"/>
          <w:numId w:val="1"/>
        </w:numPr>
        <w:tabs>
          <w:tab w:val="clear" w:pos="360"/>
        </w:tabs>
        <w:spacing w:before="120" w:after="120"/>
        <w:jc w:val="both"/>
        <w:rPr>
          <w:kern w:val="28"/>
        </w:rPr>
      </w:pPr>
      <w:r>
        <w:rPr>
          <w:kern w:val="28"/>
        </w:rPr>
        <w:t>Lorsque confronté aux nombreuses références de professionnels de la santé qui ont fait des suivis auprès de J. C., alors qu’elle n’était qu’une enfant, et qui soupçonnaient que l’enfant était victime d’inceste, M. C. niera systématiquement tout implication, se contentant de dire qu’il n’avait plus de contact avec sa fille depuis 1983.</w:t>
      </w:r>
    </w:p>
    <w:p w14:paraId="735A3081" w14:textId="77777777" w:rsidR="00DF4E65" w:rsidRDefault="00DF4E65" w:rsidP="00724EFE">
      <w:pPr>
        <w:numPr>
          <w:ilvl w:val="0"/>
          <w:numId w:val="1"/>
        </w:numPr>
        <w:tabs>
          <w:tab w:val="clear" w:pos="360"/>
        </w:tabs>
        <w:spacing w:before="120" w:after="120"/>
        <w:jc w:val="both"/>
        <w:rPr>
          <w:kern w:val="28"/>
        </w:rPr>
      </w:pPr>
      <w:r>
        <w:rPr>
          <w:kern w:val="28"/>
        </w:rPr>
        <w:t>La crédibilité de M. C. est faible voire nulle.</w:t>
      </w:r>
    </w:p>
    <w:p w14:paraId="6603ADB0" w14:textId="77777777" w:rsidR="00DF4E65" w:rsidRDefault="00DF4E65" w:rsidP="00724EFE">
      <w:pPr>
        <w:numPr>
          <w:ilvl w:val="0"/>
          <w:numId w:val="1"/>
        </w:numPr>
        <w:tabs>
          <w:tab w:val="clear" w:pos="360"/>
        </w:tabs>
        <w:spacing w:before="120" w:after="120"/>
        <w:jc w:val="both"/>
        <w:rPr>
          <w:kern w:val="28"/>
        </w:rPr>
      </w:pPr>
      <w:r>
        <w:rPr>
          <w:kern w:val="28"/>
        </w:rPr>
        <w:t>En tenant compte que M. C. reconnaît avoir abusé de sa fille en 1982, il devient fort difficile d’expliquer les consultations médicales à l’urgence de l’Hôpital Ste-Justine, en 1985 et 1987 pour des problèmes au niveau des parties génitales, les nombreuses interventions de la DPJ et l’hospitalisation de J. C. en pédopsychiatrie, pour une durée de 6 mois, en 1987.</w:t>
      </w:r>
    </w:p>
    <w:p w14:paraId="362B22D0" w14:textId="77777777" w:rsidR="00DF4E65" w:rsidRDefault="00DF4E65" w:rsidP="00724EFE">
      <w:pPr>
        <w:numPr>
          <w:ilvl w:val="0"/>
          <w:numId w:val="1"/>
        </w:numPr>
        <w:tabs>
          <w:tab w:val="clear" w:pos="360"/>
        </w:tabs>
        <w:spacing w:before="120" w:after="120"/>
        <w:jc w:val="both"/>
        <w:rPr>
          <w:kern w:val="28"/>
        </w:rPr>
      </w:pPr>
      <w:r>
        <w:rPr>
          <w:kern w:val="28"/>
        </w:rPr>
        <w:lastRenderedPageBreak/>
        <w:t>Bien que cette preuve n’ait pu mener à des accusations criminelles de manière contemporaine, la preuve est amplement prépondérante pour conclure à leur existence dans le cadre de ce procès civil.</w:t>
      </w:r>
    </w:p>
    <w:p w14:paraId="2FE3524A" w14:textId="77777777" w:rsidR="00DF4E65" w:rsidRDefault="00DF4E65" w:rsidP="00724EFE">
      <w:pPr>
        <w:numPr>
          <w:ilvl w:val="0"/>
          <w:numId w:val="1"/>
        </w:numPr>
        <w:tabs>
          <w:tab w:val="clear" w:pos="360"/>
        </w:tabs>
        <w:spacing w:before="120" w:after="120"/>
        <w:jc w:val="both"/>
        <w:rPr>
          <w:kern w:val="28"/>
        </w:rPr>
      </w:pPr>
      <w:r>
        <w:rPr>
          <w:kern w:val="28"/>
        </w:rPr>
        <w:t xml:space="preserve">Même si M. C. a pu quitter la résidence familiale quelque part en 1983, il n’a jamais, contrairement à ce qu’il avance, cessé de fréquenter la famille. </w:t>
      </w:r>
    </w:p>
    <w:p w14:paraId="3ED8BAB9" w14:textId="77777777" w:rsidR="00DF4E65" w:rsidRDefault="00DF4E65" w:rsidP="00E058CB">
      <w:pPr>
        <w:numPr>
          <w:ilvl w:val="0"/>
          <w:numId w:val="1"/>
        </w:numPr>
        <w:tabs>
          <w:tab w:val="clear" w:pos="360"/>
        </w:tabs>
        <w:spacing w:before="120" w:after="120"/>
        <w:jc w:val="both"/>
        <w:rPr>
          <w:kern w:val="28"/>
        </w:rPr>
      </w:pPr>
      <w:r>
        <w:rPr>
          <w:kern w:val="28"/>
        </w:rPr>
        <w:t xml:space="preserve">À la lecture du dossier médical de J. C., plus particulièrement dans une note du psychiatre de l’enfant datée du 15 mai 1985, celui-ci indique, suivant une rencontre avec les parents que le père demeure toujours en contact avec les enfants. </w:t>
      </w:r>
      <w:r w:rsidRPr="00625CC6">
        <w:rPr>
          <w:kern w:val="28"/>
        </w:rPr>
        <w:t>Il y est</w:t>
      </w:r>
      <w:r>
        <w:rPr>
          <w:kern w:val="28"/>
        </w:rPr>
        <w:t xml:space="preserve"> </w:t>
      </w:r>
      <w:r w:rsidRPr="00625CC6">
        <w:rPr>
          <w:kern w:val="28"/>
        </w:rPr>
        <w:t>écrit que M. C. passe environ 20 heures par semaine avec la famille et qu’il lui arrive de coucher là</w:t>
      </w:r>
      <w:r>
        <w:rPr>
          <w:rStyle w:val="Appelnotedebasdep"/>
          <w:kern w:val="28"/>
        </w:rPr>
        <w:footnoteReference w:id="14"/>
      </w:r>
      <w:r w:rsidRPr="00625CC6">
        <w:rPr>
          <w:kern w:val="28"/>
        </w:rPr>
        <w:t>.</w:t>
      </w:r>
    </w:p>
    <w:p w14:paraId="1B801CE2" w14:textId="77777777" w:rsidR="00DF4E65" w:rsidRDefault="00DF4E65" w:rsidP="00D6178F">
      <w:pPr>
        <w:numPr>
          <w:ilvl w:val="0"/>
          <w:numId w:val="1"/>
        </w:numPr>
        <w:tabs>
          <w:tab w:val="clear" w:pos="360"/>
        </w:tabs>
        <w:spacing w:before="120" w:after="120"/>
        <w:jc w:val="both"/>
        <w:rPr>
          <w:kern w:val="28"/>
        </w:rPr>
      </w:pPr>
      <w:r>
        <w:rPr>
          <w:kern w:val="28"/>
        </w:rPr>
        <w:t>À une autre occasion, cette fois durant la période où l’enfant est hospitalisée et que les contacts père-fille sont encadrés par la DPJ, il est indiqué que J. C. attend une lettre de son père qui doit lui être acheminée par une autre patiente. Son psychiatre l’encourage alors à parler à la travailleuse sociale de la DPJ afin qu’elle supervise le tout</w:t>
      </w:r>
      <w:r>
        <w:rPr>
          <w:rStyle w:val="Appelnotedebasdep"/>
          <w:kern w:val="28"/>
        </w:rPr>
        <w:footnoteReference w:id="15"/>
      </w:r>
      <w:r>
        <w:rPr>
          <w:kern w:val="28"/>
        </w:rPr>
        <w:t>.</w:t>
      </w:r>
    </w:p>
    <w:p w14:paraId="1CE0BD21" w14:textId="77777777" w:rsidR="00DF4E65" w:rsidRPr="00D6178F" w:rsidRDefault="00DF4E65" w:rsidP="00D6178F">
      <w:pPr>
        <w:numPr>
          <w:ilvl w:val="0"/>
          <w:numId w:val="1"/>
        </w:numPr>
        <w:tabs>
          <w:tab w:val="clear" w:pos="360"/>
        </w:tabs>
        <w:spacing w:before="120" w:after="120"/>
        <w:jc w:val="both"/>
        <w:rPr>
          <w:kern w:val="28"/>
        </w:rPr>
      </w:pPr>
      <w:r>
        <w:rPr>
          <w:kern w:val="28"/>
        </w:rPr>
        <w:t>Précisons que dès le départ, le psychiatre de J. C. indique que les visites du père doivent être supervisées et qu’il ne faut pas les laisser seul</w:t>
      </w:r>
      <w:r>
        <w:rPr>
          <w:rStyle w:val="Appelnotedebasdep"/>
          <w:kern w:val="28"/>
        </w:rPr>
        <w:footnoteReference w:id="16"/>
      </w:r>
      <w:r>
        <w:rPr>
          <w:kern w:val="28"/>
        </w:rPr>
        <w:t>.</w:t>
      </w:r>
    </w:p>
    <w:p w14:paraId="74C46936" w14:textId="77777777" w:rsidR="00DF4E65" w:rsidRDefault="00DF4E65" w:rsidP="00724EFE">
      <w:pPr>
        <w:numPr>
          <w:ilvl w:val="0"/>
          <w:numId w:val="1"/>
        </w:numPr>
        <w:tabs>
          <w:tab w:val="clear" w:pos="360"/>
        </w:tabs>
        <w:spacing w:before="120" w:after="120"/>
        <w:jc w:val="both"/>
        <w:rPr>
          <w:kern w:val="28"/>
        </w:rPr>
      </w:pPr>
      <w:r>
        <w:rPr>
          <w:kern w:val="28"/>
        </w:rPr>
        <w:t>Lors de son hospitalisation, J. C. se rappelle qu’elle était fort malheureuse et qu’elle voulait revenir à la maison. Cette autorisation lui était refusée en raison de la gravité de son état. J. C. se souvient qu’elle fut encore plus choquée lorsqu’elle réalisa que toute la famille était réunie durant la période des Fêtes, même son père, son agresseur</w:t>
      </w:r>
      <w:r>
        <w:rPr>
          <w:rStyle w:val="Appelnotedebasdep"/>
          <w:kern w:val="28"/>
        </w:rPr>
        <w:footnoteReference w:id="17"/>
      </w:r>
      <w:r>
        <w:rPr>
          <w:kern w:val="28"/>
        </w:rPr>
        <w:t>.</w:t>
      </w:r>
    </w:p>
    <w:p w14:paraId="2E052EBC" w14:textId="77777777" w:rsidR="00DF4E65" w:rsidRDefault="00DF4E65" w:rsidP="00724EFE">
      <w:pPr>
        <w:numPr>
          <w:ilvl w:val="0"/>
          <w:numId w:val="1"/>
        </w:numPr>
        <w:tabs>
          <w:tab w:val="clear" w:pos="360"/>
        </w:tabs>
        <w:spacing w:before="120" w:after="120"/>
        <w:jc w:val="both"/>
        <w:rPr>
          <w:kern w:val="28"/>
        </w:rPr>
      </w:pPr>
      <w:r>
        <w:rPr>
          <w:kern w:val="28"/>
        </w:rPr>
        <w:t>Plus tard, en février 1988, mais toujours durant l’hospitalisation de J.C., le psychiatre réitère que toute visite du père doit être supervisée par la DPJ, et ce conformément à un ordre de la Cour</w:t>
      </w:r>
      <w:r>
        <w:rPr>
          <w:rStyle w:val="Appelnotedebasdep"/>
          <w:kern w:val="28"/>
        </w:rPr>
        <w:footnoteReference w:id="18"/>
      </w:r>
      <w:r>
        <w:rPr>
          <w:kern w:val="28"/>
        </w:rPr>
        <w:t>, suggérant que cette consigne ne semble pas être suivie.</w:t>
      </w:r>
    </w:p>
    <w:p w14:paraId="17DEAE5A" w14:textId="77777777" w:rsidR="00DF4E65" w:rsidRPr="00670622" w:rsidRDefault="00DF4E65" w:rsidP="00670622">
      <w:pPr>
        <w:numPr>
          <w:ilvl w:val="0"/>
          <w:numId w:val="1"/>
        </w:numPr>
        <w:tabs>
          <w:tab w:val="clear" w:pos="360"/>
        </w:tabs>
        <w:spacing w:before="120" w:after="120"/>
        <w:jc w:val="both"/>
        <w:rPr>
          <w:kern w:val="28"/>
        </w:rPr>
      </w:pPr>
      <w:r>
        <w:rPr>
          <w:kern w:val="28"/>
        </w:rPr>
        <w:t xml:space="preserve">Bref, à la lumière de ce qui précède, force est de constater que M. C. n’a jamais cessé d’être en contact avec J. C. de 1982 à 1987 et </w:t>
      </w:r>
      <w:r w:rsidRPr="00670622">
        <w:rPr>
          <w:kern w:val="28"/>
        </w:rPr>
        <w:t>que durant cette période, d’autres agressions</w:t>
      </w:r>
      <w:r>
        <w:rPr>
          <w:kern w:val="28"/>
        </w:rPr>
        <w:t xml:space="preserve"> sexuelles</w:t>
      </w:r>
      <w:r w:rsidRPr="00670622">
        <w:rPr>
          <w:kern w:val="28"/>
        </w:rPr>
        <w:t xml:space="preserve"> ont eu lieu.</w:t>
      </w:r>
    </w:p>
    <w:p w14:paraId="54D3742F" w14:textId="77777777" w:rsidR="00DF4E65" w:rsidRDefault="00DF4E65" w:rsidP="00724EFE">
      <w:pPr>
        <w:numPr>
          <w:ilvl w:val="0"/>
          <w:numId w:val="1"/>
        </w:numPr>
        <w:tabs>
          <w:tab w:val="clear" w:pos="360"/>
        </w:tabs>
        <w:spacing w:before="120" w:after="120"/>
        <w:jc w:val="both"/>
        <w:rPr>
          <w:kern w:val="28"/>
        </w:rPr>
      </w:pPr>
      <w:r>
        <w:rPr>
          <w:kern w:val="28"/>
        </w:rPr>
        <w:t xml:space="preserve">En effet, les consultations auprès des médecins pour des vaginites, vulvites et autres troubles aux organes génitaux ne laissent planer aucun doute sur les fautes </w:t>
      </w:r>
      <w:r>
        <w:rPr>
          <w:kern w:val="28"/>
        </w:rPr>
        <w:lastRenderedPageBreak/>
        <w:t>commises par le père de J. C. et leur gravité, si ce n’est que J. C. continuait d’être la proie de son père.</w:t>
      </w:r>
    </w:p>
    <w:p w14:paraId="4F1CFF79" w14:textId="77777777" w:rsidR="00DF4E65" w:rsidRDefault="00DF4E65" w:rsidP="00DF4E65">
      <w:pPr>
        <w:pStyle w:val="Titre2"/>
        <w:numPr>
          <w:ilvl w:val="0"/>
          <w:numId w:val="37"/>
        </w:numPr>
        <w:rPr>
          <w:u w:val="none"/>
        </w:rPr>
      </w:pPr>
      <w:r w:rsidRPr="00683CD9">
        <w:rPr>
          <w:caps w:val="0"/>
          <w:u w:val="none"/>
        </w:rPr>
        <w:t>LES</w:t>
      </w:r>
      <w:r>
        <w:rPr>
          <w:u w:val="none"/>
        </w:rPr>
        <w:t xml:space="preserve"> DOMMAGES ET LE LIEN DE CAUSALITÉ</w:t>
      </w:r>
    </w:p>
    <w:p w14:paraId="26819AFA" w14:textId="77777777" w:rsidR="00DF4E65" w:rsidRPr="00090D7F" w:rsidRDefault="00DF4E65" w:rsidP="000B0654">
      <w:pPr>
        <w:pStyle w:val="Paragrsimple"/>
      </w:pPr>
      <w:r>
        <w:t xml:space="preserve"> </w:t>
      </w:r>
      <w:r w:rsidRPr="00BE2398">
        <w:t>Comme l’a précisé la Cour suprême du Canada, </w:t>
      </w:r>
      <w:r w:rsidRPr="00FD29B0">
        <w:rPr>
          <w:i/>
          <w:iCs/>
        </w:rPr>
        <w:t>[e]n droit civil québécois, un préjudice ne peut être qualifié de préjudice corporel que si « la présence d’une atteinte à l’intégrité physique est établie</w:t>
      </w:r>
      <w:r w:rsidRPr="00BE2398">
        <w:rPr>
          <w:rStyle w:val="Appelnotedebasdep"/>
          <w:rFonts w:cs="Arial"/>
        </w:rPr>
        <w:footnoteReference w:id="19"/>
      </w:r>
      <w:r w:rsidRPr="00BE2398">
        <w:t xml:space="preserve"> , ce qui est incontestablement le cas en matière d’agressions sexuelles. </w:t>
      </w:r>
      <w:r>
        <w:t>Le plus haut tribunal au Canada</w:t>
      </w:r>
      <w:r w:rsidRPr="00BE2398">
        <w:t xml:space="preserve"> affirme également que </w:t>
      </w:r>
      <w:r w:rsidRPr="00FD29B0">
        <w:rPr>
          <w:i/>
          <w:iCs/>
        </w:rPr>
        <w:t>[l]es agressions sexuelles ont d’ailleurs toujours été des fautes automatiquement constitutives de préjudices graves</w:t>
      </w:r>
      <w:r w:rsidRPr="00BE2398">
        <w:rPr>
          <w:rStyle w:val="Appelnotedebasdep"/>
          <w:rFonts w:cs="Arial"/>
        </w:rPr>
        <w:footnoteReference w:id="20"/>
      </w:r>
      <w:r w:rsidRPr="00BE2398">
        <w:t> , et ce, et à plus forte raison lorsque ces agressions visent un enfant. Dans ce contexte, elle rappelle aux tribunaux qu’ils doivent tenir compte de deux catégories de préjudice : celui qui se manifeste durant l’enfance et celui qui se manifeste à long terme, lorsque l’enfant devient adulte</w:t>
      </w:r>
      <w:bookmarkStart w:id="11" w:name="_Ref226363996"/>
      <w:r w:rsidRPr="00BE2398">
        <w:rPr>
          <w:rStyle w:val="Appelnotedebasdep"/>
          <w:rFonts w:cs="Arial"/>
        </w:rPr>
        <w:footnoteReference w:id="21"/>
      </w:r>
      <w:bookmarkEnd w:id="11"/>
      <w:r w:rsidRPr="00BE2398">
        <w:t> </w:t>
      </w:r>
      <w:r w:rsidRPr="00090D7F">
        <w:t xml:space="preserve">: </w:t>
      </w:r>
    </w:p>
    <w:p w14:paraId="55233060" w14:textId="77777777" w:rsidR="00DF4E65" w:rsidRPr="00302586" w:rsidRDefault="00DF4E65" w:rsidP="00302907">
      <w:pPr>
        <w:pStyle w:val="Citation"/>
        <w:jc w:val="both"/>
        <w:rPr>
          <w:i w:val="0"/>
          <w:iCs w:val="0"/>
          <w:color w:val="auto"/>
          <w:sz w:val="22"/>
          <w:szCs w:val="22"/>
        </w:rPr>
      </w:pPr>
      <w:r w:rsidRPr="00302586">
        <w:rPr>
          <w:rFonts w:cs="Arial"/>
          <w:i w:val="0"/>
          <w:iCs w:val="0"/>
          <w:color w:val="auto"/>
          <w:sz w:val="22"/>
          <w:szCs w:val="22"/>
        </w:rPr>
        <w:t>[79] Outre le caractère intrinsèquement répréhensible de l’atteinte à l’intégrité physique</w:t>
      </w:r>
      <w:r w:rsidRPr="00302586">
        <w:rPr>
          <w:i w:val="0"/>
          <w:iCs w:val="0"/>
          <w:color w:val="auto"/>
          <w:sz w:val="22"/>
          <w:szCs w:val="22"/>
        </w:rPr>
        <w:t xml:space="preserve"> et de l’exploitation, les tribunaux ont reconnu que la violence sexuelle contre des enfants est intrinsèquement susceptible de causer plusieurs formes reconnue</w:t>
      </w:r>
      <w:r>
        <w:rPr>
          <w:i w:val="0"/>
          <w:iCs w:val="0"/>
          <w:color w:val="auto"/>
          <w:sz w:val="22"/>
          <w:szCs w:val="22"/>
        </w:rPr>
        <w:t>s.</w:t>
      </w:r>
      <w:r w:rsidRPr="00302586">
        <w:rPr>
          <w:i w:val="0"/>
          <w:iCs w:val="0"/>
          <w:color w:val="auto"/>
          <w:sz w:val="22"/>
          <w:szCs w:val="22"/>
        </w:rPr>
        <w:t xml:space="preserve"> La probabilité que ces formes de préjudice se matérialisent varie bien sûr selon les circonstances de chaque affaire. Or, la possibilité qu’elles se concrétisent est toujours présente chaque fois qu’il y a atteinte physique de nature sexuelle avec un enfant et même dans le cas des infractions d’ordre sexuel contre des enfants qui ne requièrent ni n’impliquent d’atteintes physiques. Ces formes de préjudice potentielles illustrent la gravité de l’infraction même en l’absence de preuve qu’elles se soient matérialisées.</w:t>
      </w:r>
    </w:p>
    <w:p w14:paraId="4203BE9F" w14:textId="77777777" w:rsidR="00DF4E65" w:rsidRPr="00F275D3" w:rsidRDefault="00DF4E65" w:rsidP="000B0654">
      <w:pPr>
        <w:pStyle w:val="Citation"/>
        <w:jc w:val="both"/>
        <w:rPr>
          <w:i w:val="0"/>
          <w:iCs w:val="0"/>
          <w:color w:val="auto"/>
          <w:sz w:val="22"/>
          <w:szCs w:val="22"/>
        </w:rPr>
      </w:pPr>
      <w:r w:rsidRPr="00302586">
        <w:rPr>
          <w:i w:val="0"/>
          <w:iCs w:val="0"/>
          <w:color w:val="auto"/>
          <w:sz w:val="22"/>
          <w:szCs w:val="22"/>
        </w:rPr>
        <w:t>[80]</w:t>
      </w:r>
      <w:r w:rsidRPr="00302907">
        <w:rPr>
          <w:i w:val="0"/>
          <w:iCs w:val="0"/>
          <w:color w:val="auto"/>
          <w:sz w:val="22"/>
          <w:szCs w:val="22"/>
        </w:rPr>
        <w:t xml:space="preserve"> </w:t>
      </w:r>
      <w:r w:rsidRPr="00302586">
        <w:rPr>
          <w:i w:val="0"/>
          <w:iCs w:val="0"/>
          <w:color w:val="auto"/>
          <w:sz w:val="22"/>
          <w:szCs w:val="22"/>
          <w:u w:val="single"/>
        </w:rPr>
        <w:t>Nous souhaitons concentrer l’attention des tribunaux sur les deux catégories de préjudice suivantes : le préjudice qui se manifeste durant</w:t>
      </w:r>
      <w:r w:rsidRPr="00CC20DE">
        <w:rPr>
          <w:i w:val="0"/>
          <w:iCs w:val="0"/>
          <w:color w:val="auto"/>
          <w:u w:val="single"/>
        </w:rPr>
        <w:t xml:space="preserve"> </w:t>
      </w:r>
      <w:r w:rsidRPr="00302586">
        <w:rPr>
          <w:i w:val="0"/>
          <w:iCs w:val="0"/>
          <w:color w:val="auto"/>
          <w:sz w:val="22"/>
          <w:szCs w:val="22"/>
          <w:u w:val="single"/>
        </w:rPr>
        <w:t>l’enfance, et le préjudice à long terme, qui ne devient évident qu’à l’âge adulte</w:t>
      </w:r>
      <w:r w:rsidRPr="00302586">
        <w:rPr>
          <w:i w:val="0"/>
          <w:iCs w:val="0"/>
          <w:color w:val="auto"/>
          <w:sz w:val="22"/>
          <w:szCs w:val="22"/>
        </w:rPr>
        <w:t>. Durant l’enfance, outre le caractère répréhensible de l’atteinte à leur intégrité physique, </w:t>
      </w:r>
      <w:r w:rsidRPr="00302586">
        <w:rPr>
          <w:i w:val="0"/>
          <w:iCs w:val="0"/>
          <w:color w:val="auto"/>
          <w:sz w:val="22"/>
          <w:szCs w:val="22"/>
          <w:u w:val="single"/>
        </w:rPr>
        <w:t>les enfants peuvent subir des préjudices physiques et psychologiques qui les suivront durant toute leur enfance</w:t>
      </w:r>
      <w:r w:rsidRPr="00302586">
        <w:rPr>
          <w:i w:val="0"/>
          <w:iCs w:val="0"/>
          <w:color w:val="auto"/>
          <w:sz w:val="22"/>
          <w:szCs w:val="22"/>
        </w:rPr>
        <w:t>. </w:t>
      </w:r>
      <w:r w:rsidRPr="00302586">
        <w:rPr>
          <w:i w:val="0"/>
          <w:iCs w:val="0"/>
          <w:color w:val="auto"/>
          <w:sz w:val="22"/>
          <w:szCs w:val="22"/>
          <w:u w:val="single"/>
        </w:rPr>
        <w:t>Ces formes de préjudice peuvent être si profondes que les enfants se voient [traduction] « voler leur jeunesse et leur innocence »</w:t>
      </w:r>
      <w:r w:rsidRPr="00302586">
        <w:rPr>
          <w:i w:val="0"/>
          <w:iCs w:val="0"/>
          <w:color w:val="auto"/>
          <w:sz w:val="22"/>
          <w:szCs w:val="22"/>
        </w:rPr>
        <w:t>. </w:t>
      </w:r>
      <w:r w:rsidRPr="00F275D3">
        <w:rPr>
          <w:i w:val="0"/>
          <w:iCs w:val="0"/>
          <w:color w:val="auto"/>
          <w:sz w:val="22"/>
          <w:szCs w:val="22"/>
        </w:rPr>
        <w:t>La liste ci-dessous de formes de préjudice reconnues qui se manifestent durant l’enfance le montre clairement :</w:t>
      </w:r>
    </w:p>
    <w:p w14:paraId="24B4BB3F" w14:textId="77777777" w:rsidR="00DF4E65" w:rsidRPr="00302586" w:rsidRDefault="00DF4E65" w:rsidP="000B0654">
      <w:pPr>
        <w:pStyle w:val="Citation"/>
        <w:ind w:left="1134" w:right="1282"/>
        <w:jc w:val="both"/>
        <w:rPr>
          <w:i w:val="0"/>
          <w:iCs w:val="0"/>
          <w:color w:val="auto"/>
          <w:sz w:val="20"/>
        </w:rPr>
      </w:pPr>
      <w:r w:rsidRPr="00302586">
        <w:rPr>
          <w:i w:val="0"/>
          <w:iCs w:val="0"/>
          <w:color w:val="auto"/>
          <w:sz w:val="20"/>
        </w:rPr>
        <w:t>[</w:t>
      </w:r>
      <w:r w:rsidRPr="00302586">
        <w:rPr>
          <w:i w:val="0"/>
          <w:iCs w:val="0"/>
          <w:smallCaps/>
          <w:color w:val="auto"/>
          <w:sz w:val="20"/>
        </w:rPr>
        <w:t>traduction</w:t>
      </w:r>
      <w:r w:rsidRPr="00302586">
        <w:rPr>
          <w:i w:val="0"/>
          <w:iCs w:val="0"/>
          <w:color w:val="auto"/>
          <w:sz w:val="20"/>
        </w:rPr>
        <w:t xml:space="preserve">] Ces effets comprennent un comportement excessivement docile et un besoin intense de plaire; un comportement autodestructeur comme le suicide, l’automutilation, la toxicomanie et la prostitution; la perte de patience et des crises de colère fréquentes; un comportement agressif et de la frustration; un comportement sexuellement agressif; une incapacité à se faire des amis et un refus de participer aux activités scolaires; un sentiment de culpabilité et de honte; un manque de confiance, particulièrement envers ses proches; une </w:t>
      </w:r>
      <w:r w:rsidRPr="00302586">
        <w:rPr>
          <w:i w:val="0"/>
          <w:iCs w:val="0"/>
          <w:color w:val="auto"/>
          <w:sz w:val="20"/>
        </w:rPr>
        <w:lastRenderedPageBreak/>
        <w:t>faible estime de soi; une incapacité à se concentrer à l’école et une baisse soudaine des résultats scolaires; une crainte excessive des hommes; des fugues; des troubles du sommeil et des cauchemars; des comportements régressifs comme mouiller son lit, se cramponner à ses parents, sucer son pouce et parler en bébé; de l’anxiété et une crainte extrême; et la dépression.</w:t>
      </w:r>
    </w:p>
    <w:p w14:paraId="44801F6D" w14:textId="77777777" w:rsidR="00DF4E65" w:rsidRPr="00302907" w:rsidRDefault="00DF4E65" w:rsidP="000B0654">
      <w:pPr>
        <w:pStyle w:val="Citation"/>
        <w:jc w:val="both"/>
        <w:rPr>
          <w:i w:val="0"/>
          <w:iCs w:val="0"/>
          <w:color w:val="auto"/>
          <w:sz w:val="22"/>
          <w:szCs w:val="22"/>
        </w:rPr>
      </w:pPr>
      <w:r w:rsidRPr="00302586">
        <w:rPr>
          <w:i w:val="0"/>
          <w:iCs w:val="0"/>
          <w:color w:val="auto"/>
          <w:sz w:val="22"/>
          <w:szCs w:val="22"/>
        </w:rPr>
        <w:t xml:space="preserve">[81] La violence sexuelle à l’égard des enfants cause aussi plusieurs formes de préjudice à long terme qui se manifestent durant la vie adulte de la victime. Premièrement, les enfants qui en sont victimes peuvent avoir </w:t>
      </w:r>
      <w:r w:rsidRPr="00302586">
        <w:rPr>
          <w:i w:val="0"/>
          <w:iCs w:val="0"/>
          <w:color w:val="auto"/>
          <w:sz w:val="22"/>
          <w:szCs w:val="22"/>
          <w:u w:val="single"/>
        </w:rPr>
        <w:t>de la difficulté à bâtir une relation d’amour et de tendresse avec un autre adulte après avoir subi de la violence sexuelle</w:t>
      </w:r>
      <w:r w:rsidRPr="00302586">
        <w:rPr>
          <w:i w:val="0"/>
          <w:iCs w:val="0"/>
          <w:color w:val="auto"/>
          <w:sz w:val="22"/>
          <w:szCs w:val="22"/>
        </w:rPr>
        <w:t>. Deuxièmement, les enfants peuvent être plus enclins à faire subir eux</w:t>
      </w:r>
      <w:r w:rsidRPr="00302586">
        <w:rPr>
          <w:i w:val="0"/>
          <w:iCs w:val="0"/>
          <w:color w:val="auto"/>
          <w:sz w:val="22"/>
          <w:szCs w:val="22"/>
        </w:rPr>
        <w:noBreakHyphen/>
        <w:t xml:space="preserve">mêmes de la violence sexuelle à des enfants une fois devenus adultes. </w:t>
      </w:r>
      <w:r w:rsidRPr="00F275D3">
        <w:rPr>
          <w:i w:val="0"/>
          <w:iCs w:val="0"/>
          <w:color w:val="auto"/>
          <w:sz w:val="22"/>
          <w:szCs w:val="22"/>
        </w:rPr>
        <w:t xml:space="preserve">Troisièmement, </w:t>
      </w:r>
      <w:r w:rsidRPr="00F275D3">
        <w:rPr>
          <w:i w:val="0"/>
          <w:iCs w:val="0"/>
          <w:color w:val="auto"/>
          <w:sz w:val="22"/>
          <w:szCs w:val="22"/>
          <w:u w:val="single"/>
        </w:rPr>
        <w:t>les</w:t>
      </w:r>
      <w:r w:rsidRPr="002B13BC">
        <w:rPr>
          <w:i w:val="0"/>
          <w:iCs w:val="0"/>
          <w:color w:val="auto"/>
          <w:sz w:val="22"/>
          <w:szCs w:val="22"/>
          <w:u w:val="single"/>
        </w:rPr>
        <w:t xml:space="preserve"> enfants sont plus susceptibles d’avoir des problèmes de toxicomanie, de souffrir de troubles mentaux, d’un trouble de stress post</w:t>
      </w:r>
      <w:r w:rsidRPr="002B13BC">
        <w:rPr>
          <w:i w:val="0"/>
          <w:iCs w:val="0"/>
          <w:color w:val="auto"/>
          <w:sz w:val="22"/>
          <w:szCs w:val="22"/>
          <w:u w:val="single"/>
        </w:rPr>
        <w:noBreakHyphen/>
        <w:t>traumatique, de troubles alimentaires, d’anxiété, de dépression, de troubles du sommeil, de colère et d’hostilité, d’avoir des idées suicidaires, de s’automutiler et d’avoir une faible estime d’eux</w:t>
      </w:r>
      <w:r w:rsidRPr="002B13BC">
        <w:rPr>
          <w:i w:val="0"/>
          <w:iCs w:val="0"/>
          <w:color w:val="auto"/>
          <w:sz w:val="22"/>
          <w:szCs w:val="22"/>
          <w:u w:val="single"/>
        </w:rPr>
        <w:noBreakHyphen/>
        <w:t>mêmes à l’âge adulte</w:t>
      </w:r>
      <w:r w:rsidRPr="00302907">
        <w:rPr>
          <w:i w:val="0"/>
          <w:iCs w:val="0"/>
          <w:color w:val="auto"/>
          <w:sz w:val="22"/>
          <w:szCs w:val="22"/>
        </w:rPr>
        <w:t>.</w:t>
      </w:r>
    </w:p>
    <w:p w14:paraId="024273A4" w14:textId="77777777" w:rsidR="00DF4E65" w:rsidRPr="00302586" w:rsidRDefault="00DF4E65" w:rsidP="000B0654">
      <w:pPr>
        <w:pStyle w:val="Citation"/>
        <w:jc w:val="both"/>
        <w:rPr>
          <w:color w:val="auto"/>
          <w:sz w:val="22"/>
          <w:szCs w:val="22"/>
        </w:rPr>
      </w:pPr>
      <w:r w:rsidRPr="00302586">
        <w:rPr>
          <w:i w:val="0"/>
          <w:iCs w:val="0"/>
          <w:color w:val="auto"/>
          <w:sz w:val="22"/>
          <w:szCs w:val="22"/>
        </w:rPr>
        <w:t>[82]</w:t>
      </w:r>
      <w:r w:rsidRPr="00302586">
        <w:rPr>
          <w:i w:val="0"/>
          <w:iCs w:val="0"/>
          <w:color w:val="auto"/>
          <w:sz w:val="22"/>
          <w:szCs w:val="22"/>
          <w:u w:val="single"/>
        </w:rPr>
        <w:t xml:space="preserve"> Nous tenons à souligner que les tribunaux devraient rejeter la croyance selon laquelle il n’y a pas de préjudice grave aux enfants en</w:t>
      </w:r>
      <w:r w:rsidRPr="00302586">
        <w:rPr>
          <w:color w:val="auto"/>
          <w:sz w:val="22"/>
          <w:szCs w:val="22"/>
          <w:u w:val="single"/>
        </w:rPr>
        <w:t xml:space="preserve"> </w:t>
      </w:r>
      <w:r w:rsidRPr="00302586">
        <w:rPr>
          <w:i w:val="0"/>
          <w:iCs w:val="0"/>
          <w:color w:val="auto"/>
          <w:sz w:val="22"/>
          <w:szCs w:val="22"/>
          <w:u w:val="single"/>
        </w:rPr>
        <w:t>l’absence de violence physique additionnelle. Comme nous l’avons expliqué, tout contact physique de nature sexuelle entre un adulte et un enfant est intrinsèquement violent et susceptible de causer un préjudice</w:t>
      </w:r>
      <w:r w:rsidRPr="00302586">
        <w:rPr>
          <w:i w:val="0"/>
          <w:iCs w:val="0"/>
          <w:color w:val="auto"/>
          <w:sz w:val="22"/>
          <w:szCs w:val="22"/>
        </w:rPr>
        <w:t>.</w:t>
      </w:r>
    </w:p>
    <w:p w14:paraId="4A5B024A" w14:textId="77777777" w:rsidR="00DF4E65" w:rsidRPr="000B0654" w:rsidRDefault="00DF4E65" w:rsidP="000B0654">
      <w:pPr>
        <w:pStyle w:val="Fincit"/>
        <w:rPr>
          <w:rFonts w:ascii="Arial" w:hAnsi="Arial" w:cs="Arial"/>
        </w:rPr>
      </w:pPr>
      <w:r w:rsidRPr="00302586">
        <w:rPr>
          <w:rFonts w:ascii="Arial" w:hAnsi="Arial" w:cs="Arial"/>
        </w:rPr>
        <w:t xml:space="preserve">                                                          (références omises </w:t>
      </w:r>
      <w:r>
        <w:rPr>
          <w:rFonts w:ascii="Arial" w:hAnsi="Arial" w:cs="Arial"/>
        </w:rPr>
        <w:t>et s</w:t>
      </w:r>
      <w:r w:rsidRPr="00302586">
        <w:rPr>
          <w:rFonts w:ascii="Arial" w:hAnsi="Arial" w:cs="Arial"/>
        </w:rPr>
        <w:t>oulignements ajoutés)</w:t>
      </w:r>
    </w:p>
    <w:p w14:paraId="2073B511" w14:textId="77777777" w:rsidR="00DF4E65" w:rsidRPr="00BE2398" w:rsidRDefault="00DF4E65" w:rsidP="00C434BE">
      <w:pPr>
        <w:pStyle w:val="Paragrsimple"/>
      </w:pPr>
      <w:r w:rsidRPr="00BE2398">
        <w:t xml:space="preserve">Dans le cas présent, </w:t>
      </w:r>
      <w:r>
        <w:t>J. C.</w:t>
      </w:r>
      <w:r w:rsidRPr="00BE2398">
        <w:t xml:space="preserve"> allègue un préjudice corporel résultant d’agressions sexuelles répétées dont la durée s’étale sur plusieurs années.</w:t>
      </w:r>
      <w:r>
        <w:t xml:space="preserve"> </w:t>
      </w:r>
      <w:r w:rsidRPr="00BE2398">
        <w:t>Elle cherche donc à obtenir réparation pour les atteintes à l’intégrité corporelle dont elle a été victime.</w:t>
      </w:r>
    </w:p>
    <w:p w14:paraId="11F6120A" w14:textId="77777777" w:rsidR="00DF4E65" w:rsidRPr="00BE2398" w:rsidRDefault="00DF4E65" w:rsidP="00C434BE">
      <w:pPr>
        <w:numPr>
          <w:ilvl w:val="0"/>
          <w:numId w:val="1"/>
        </w:numPr>
        <w:tabs>
          <w:tab w:val="clear" w:pos="360"/>
        </w:tabs>
        <w:spacing w:before="120" w:after="120"/>
        <w:jc w:val="both"/>
        <w:rPr>
          <w:rFonts w:cs="Arial"/>
        </w:rPr>
      </w:pPr>
      <w:r w:rsidRPr="00BE2398">
        <w:t>À partir du moment où les agressions sexuelles ont été établies selon la prépondérance des probabilités, la demanderesse a établi l’existence d’un préjudice corporel. Elle a, en conséquence, le droit à des dommages-intérêts en réparation de ce préjudice, comme le prévoit l’art. 1607 C.c.Q. Par ailleurs, l</w:t>
      </w:r>
      <w:r w:rsidRPr="00BE2398">
        <w:rPr>
          <w:rFonts w:cs="Arial"/>
        </w:rPr>
        <w:t xml:space="preserve">’article 1611 C.c.Q. stipule que </w:t>
      </w:r>
      <w:r w:rsidRPr="00FD29B0">
        <w:rPr>
          <w:rFonts w:cs="Arial"/>
          <w:i/>
          <w:iCs/>
        </w:rPr>
        <w:t> les dommages-intérêts dus au créancier compensent la perte qu’il subit et le gain dont il est privé</w:t>
      </w:r>
      <w:r w:rsidRPr="00BE2398">
        <w:rPr>
          <w:rFonts w:cs="Arial"/>
        </w:rPr>
        <w:t xml:space="preserve"> . Tel qu’indiqué précédemment, les pertes résultant du préjudice peuvent être pécuniaires ou non pécuniaires. </w:t>
      </w:r>
    </w:p>
    <w:p w14:paraId="281EBA57" w14:textId="77777777" w:rsidR="00DF4E65" w:rsidRDefault="00DF4E65" w:rsidP="004A54FD">
      <w:pPr>
        <w:pStyle w:val="Paragrdouble"/>
        <w:spacing w:line="240" w:lineRule="auto"/>
        <w:rPr>
          <w:rFonts w:cs="Arial"/>
        </w:rPr>
      </w:pPr>
      <w:r w:rsidRPr="004A54FD">
        <w:rPr>
          <w:rFonts w:cs="Arial"/>
        </w:rPr>
        <w:t xml:space="preserve">Avant d’aborder plus en détail les différents dommages subis par J.C., il y a lieu de se prononcer sur le lien causal. J.C. avait le fardeau de convaincre le </w:t>
      </w:r>
      <w:r>
        <w:rPr>
          <w:rFonts w:cs="Arial"/>
        </w:rPr>
        <w:t>T</w:t>
      </w:r>
      <w:r w:rsidRPr="004A54FD">
        <w:rPr>
          <w:rFonts w:cs="Arial"/>
        </w:rPr>
        <w:t>ribunal que les dommages qu’elle allègue avoir subis sont la conséquence directe, logique et immédiate de la faute</w:t>
      </w:r>
      <w:r>
        <w:rPr>
          <w:rStyle w:val="Appelnotedebasdep"/>
          <w:rFonts w:cs="Arial"/>
        </w:rPr>
        <w:footnoteReference w:id="22"/>
      </w:r>
      <w:r w:rsidRPr="004A54FD">
        <w:rPr>
          <w:rFonts w:cs="Arial"/>
        </w:rPr>
        <w:t>:</w:t>
      </w:r>
    </w:p>
    <w:p w14:paraId="3DDF51A1" w14:textId="77777777" w:rsidR="00DF4E65" w:rsidRDefault="00DF4E65" w:rsidP="001510D2">
      <w:pPr>
        <w:pStyle w:val="Paragrdouble"/>
        <w:numPr>
          <w:ilvl w:val="0"/>
          <w:numId w:val="0"/>
        </w:numPr>
        <w:spacing w:line="240" w:lineRule="auto"/>
        <w:ind w:left="731" w:right="857"/>
        <w:rPr>
          <w:rFonts w:cs="Arial"/>
          <w:sz w:val="22"/>
          <w:szCs w:val="22"/>
        </w:rPr>
      </w:pPr>
      <w:r w:rsidRPr="004A54FD">
        <w:rPr>
          <w:rFonts w:cs="Arial"/>
          <w:sz w:val="22"/>
          <w:szCs w:val="22"/>
        </w:rPr>
        <w:lastRenderedPageBreak/>
        <w:t xml:space="preserve">[84] Une faute constitue une cause véritable du préjudice si celui-ci en est la suite logique, directe et immédiate (…). Cette détermination est dans une large mesure une question de fait et elle dépend de l’ensemble des circonstances de l’affaire. </w:t>
      </w:r>
    </w:p>
    <w:p w14:paraId="3B4B65E7" w14:textId="77777777" w:rsidR="00DF4E65" w:rsidRPr="004A54FD" w:rsidRDefault="00DF4E65" w:rsidP="00FD29B0">
      <w:pPr>
        <w:pStyle w:val="Paragrdouble"/>
        <w:numPr>
          <w:ilvl w:val="0"/>
          <w:numId w:val="0"/>
        </w:numPr>
        <w:spacing w:line="240" w:lineRule="auto"/>
        <w:ind w:right="857"/>
        <w:jc w:val="right"/>
        <w:rPr>
          <w:rFonts w:cs="Arial"/>
          <w:sz w:val="22"/>
          <w:szCs w:val="22"/>
        </w:rPr>
      </w:pPr>
      <w:r>
        <w:rPr>
          <w:rFonts w:cs="Arial"/>
          <w:sz w:val="22"/>
          <w:szCs w:val="22"/>
        </w:rPr>
        <w:t>(</w:t>
      </w:r>
      <w:r w:rsidRPr="004A54FD">
        <w:rPr>
          <w:rFonts w:cs="Arial"/>
          <w:sz w:val="22"/>
          <w:szCs w:val="22"/>
        </w:rPr>
        <w:t>références omises</w:t>
      </w:r>
      <w:r>
        <w:rPr>
          <w:rFonts w:cs="Arial"/>
          <w:sz w:val="22"/>
          <w:szCs w:val="22"/>
        </w:rPr>
        <w:t>)</w:t>
      </w:r>
    </w:p>
    <w:p w14:paraId="569135A5" w14:textId="77777777" w:rsidR="00DF4E65" w:rsidRPr="004A54FD" w:rsidRDefault="00DF4E65" w:rsidP="004A54FD">
      <w:pPr>
        <w:pStyle w:val="Paragrdouble"/>
        <w:spacing w:line="240" w:lineRule="auto"/>
        <w:rPr>
          <w:rFonts w:cs="Arial"/>
        </w:rPr>
      </w:pPr>
      <w:r w:rsidRPr="004A54FD">
        <w:rPr>
          <w:rFonts w:cs="Arial"/>
        </w:rPr>
        <w:t xml:space="preserve">Il ne fait aucun doute pour le </w:t>
      </w:r>
      <w:r>
        <w:rPr>
          <w:rFonts w:cs="Arial"/>
        </w:rPr>
        <w:t>T</w:t>
      </w:r>
      <w:r w:rsidRPr="004A54FD">
        <w:rPr>
          <w:rFonts w:cs="Arial"/>
        </w:rPr>
        <w:t xml:space="preserve">ribunal que J.C. s’est acquittée de son fardeau. D’une part, </w:t>
      </w:r>
      <w:r>
        <w:rPr>
          <w:rFonts w:cs="Arial"/>
        </w:rPr>
        <w:t xml:space="preserve">la Cour suprême l’a reconnu, il est maintenant de connaissance d’office que les infractions d’ordre sexuel contre des enfants </w:t>
      </w:r>
      <w:proofErr w:type="gramStart"/>
      <w:r>
        <w:rPr>
          <w:rFonts w:cs="Arial"/>
        </w:rPr>
        <w:t>sont</w:t>
      </w:r>
      <w:proofErr w:type="gramEnd"/>
      <w:r>
        <w:rPr>
          <w:rFonts w:cs="Arial"/>
        </w:rPr>
        <w:t xml:space="preserve"> des crimes violents qui leur causent </w:t>
      </w:r>
      <w:r w:rsidRPr="00FD29B0">
        <w:rPr>
          <w:rFonts w:cs="Arial"/>
          <w:i/>
          <w:iCs/>
        </w:rPr>
        <w:t>un tort immense</w:t>
      </w:r>
      <w:r>
        <w:rPr>
          <w:rFonts w:cs="Arial"/>
        </w:rPr>
        <w:t> </w:t>
      </w:r>
      <w:r>
        <w:rPr>
          <w:rStyle w:val="Appelnotedebasdep"/>
          <w:rFonts w:cs="Arial"/>
        </w:rPr>
        <w:footnoteReference w:id="23"/>
      </w:r>
      <w:r>
        <w:rPr>
          <w:rFonts w:cs="Arial"/>
        </w:rPr>
        <w:t>. La violence physique et psychologique inhérente à ce type d’agression cause différentes catégories de préjudice qui se manifestent différemment à travers le passage du temps.</w:t>
      </w:r>
      <w:r w:rsidRPr="004A54FD">
        <w:rPr>
          <w:rFonts w:cs="Arial"/>
        </w:rPr>
        <w:t xml:space="preserve"> Par ailleurs, s’il nie avoir posé certains gestes ou en minimise le nombre, le défendeur </w:t>
      </w:r>
      <w:r>
        <w:rPr>
          <w:rFonts w:cs="Arial"/>
        </w:rPr>
        <w:t>ne remet pas en question</w:t>
      </w:r>
      <w:r w:rsidRPr="004A54FD">
        <w:rPr>
          <w:rFonts w:cs="Arial"/>
        </w:rPr>
        <w:t xml:space="preserve"> que ses agressions ont eu un impact négatif sur J.C. Le fait qu’il ait été déclaré coupable de certains actes, mêmes si on ne peut affirmer avec certitude lesquels, permet également au </w:t>
      </w:r>
      <w:r>
        <w:rPr>
          <w:rFonts w:cs="Arial"/>
        </w:rPr>
        <w:t>T</w:t>
      </w:r>
      <w:r w:rsidRPr="004A54FD">
        <w:rPr>
          <w:rFonts w:cs="Arial"/>
        </w:rPr>
        <w:t>ribunal de conclure à l’existence d’un lien causal par l’effet de la présomption légale énoncée à l’article 101 de la LAPVIC. Enfin, le rapport non contredit préparé par la Dre</w:t>
      </w:r>
      <w:r>
        <w:rPr>
          <w:rFonts w:cs="Arial"/>
        </w:rPr>
        <w:t xml:space="preserve"> Marie-Hélène</w:t>
      </w:r>
      <w:r w:rsidRPr="004A54FD">
        <w:rPr>
          <w:rFonts w:cs="Arial"/>
        </w:rPr>
        <w:t xml:space="preserve"> Saint-Hilaire</w:t>
      </w:r>
      <w:r>
        <w:rPr>
          <w:rStyle w:val="Appelnotedebasdep"/>
          <w:rFonts w:cs="Arial"/>
        </w:rPr>
        <w:footnoteReference w:id="24"/>
      </w:r>
      <w:r>
        <w:rPr>
          <w:rFonts w:cs="Arial"/>
        </w:rPr>
        <w:t>met</w:t>
      </w:r>
      <w:r w:rsidRPr="004A54FD">
        <w:rPr>
          <w:rFonts w:cs="Arial"/>
        </w:rPr>
        <w:t xml:space="preserve"> en lumière de manière convaincante le lien entre les agressions et les multiples conséquences qu’elles ont eu sur la demanderesse dans différentes sphères de sa vie. </w:t>
      </w:r>
    </w:p>
    <w:p w14:paraId="1BC3D5E8" w14:textId="77777777" w:rsidR="00DF4E65" w:rsidRDefault="00DF4E65" w:rsidP="00DF4E65">
      <w:pPr>
        <w:pStyle w:val="Titre3"/>
        <w:numPr>
          <w:ilvl w:val="1"/>
          <w:numId w:val="37"/>
        </w:numPr>
        <w:ind w:left="810"/>
      </w:pPr>
      <w:r w:rsidRPr="00654EA8">
        <w:t>Dommages</w:t>
      </w:r>
      <w:r w:rsidRPr="00EB5C1F">
        <w:t xml:space="preserve"> pécuniaires</w:t>
      </w:r>
    </w:p>
    <w:p w14:paraId="42F1EC63" w14:textId="77777777" w:rsidR="00DF4E65" w:rsidRPr="004515CB" w:rsidRDefault="00DF4E65" w:rsidP="00DF4E65">
      <w:pPr>
        <w:pStyle w:val="Titre4"/>
        <w:numPr>
          <w:ilvl w:val="2"/>
          <w:numId w:val="37"/>
        </w:numPr>
        <w:tabs>
          <w:tab w:val="left" w:pos="649"/>
        </w:tabs>
        <w:ind w:left="1530" w:hanging="701"/>
      </w:pPr>
      <w:r>
        <w:t>Droit applicable</w:t>
      </w:r>
    </w:p>
    <w:p w14:paraId="56067A44" w14:textId="77777777" w:rsidR="00DF4E65" w:rsidRPr="007218C6" w:rsidRDefault="00DF4E65" w:rsidP="00933694">
      <w:pPr>
        <w:pStyle w:val="Paragrdouble"/>
        <w:spacing w:line="240" w:lineRule="auto"/>
        <w:rPr>
          <w:rFonts w:cs="Arial"/>
        </w:rPr>
      </w:pPr>
      <w:r>
        <w:rPr>
          <w:rFonts w:cs="Arial"/>
        </w:rPr>
        <w:t xml:space="preserve">Les éléments constitutifs de l’action en responsabilité civile étant établis, la demanderesse a droit à des dommages-intérêts en réparation du préjudice qu’elle a subi. </w:t>
      </w:r>
      <w:r w:rsidRPr="0004651C">
        <w:rPr>
          <w:rFonts w:cs="Arial"/>
        </w:rPr>
        <w:t>L</w:t>
      </w:r>
      <w:r>
        <w:rPr>
          <w:rFonts w:cs="Arial"/>
        </w:rPr>
        <w:t>’effet combiné d</w:t>
      </w:r>
      <w:r w:rsidRPr="0004651C">
        <w:rPr>
          <w:rFonts w:cs="Arial"/>
        </w:rPr>
        <w:t xml:space="preserve">es articles 1607 et 1611 du </w:t>
      </w:r>
      <w:r w:rsidRPr="0004651C">
        <w:rPr>
          <w:rFonts w:cs="Arial"/>
          <w:i/>
        </w:rPr>
        <w:t>Code civil du Québec</w:t>
      </w:r>
      <w:r w:rsidRPr="0004651C">
        <w:rPr>
          <w:rFonts w:cs="Arial"/>
        </w:rPr>
        <w:t xml:space="preserve"> </w:t>
      </w:r>
      <w:r>
        <w:rPr>
          <w:rFonts w:cs="Arial"/>
        </w:rPr>
        <w:t>lui permet d’</w:t>
      </w:r>
      <w:r w:rsidRPr="007218C6">
        <w:rPr>
          <w:rFonts w:cs="Arial"/>
        </w:rPr>
        <w:t>être indemnisée pour ses pertes, dommages, passés et futurs, causés par la faute du dé</w:t>
      </w:r>
      <w:r>
        <w:rPr>
          <w:rFonts w:cs="Arial"/>
        </w:rPr>
        <w:t>fendeur</w:t>
      </w:r>
      <w:r w:rsidRPr="007218C6">
        <w:rPr>
          <w:rFonts w:cs="Arial"/>
        </w:rPr>
        <w:t>. </w:t>
      </w:r>
    </w:p>
    <w:p w14:paraId="518D568C" w14:textId="77777777" w:rsidR="00DF4E65" w:rsidRPr="00C77480" w:rsidRDefault="00DF4E65" w:rsidP="00933694">
      <w:pPr>
        <w:pStyle w:val="Paragrdouble"/>
        <w:spacing w:line="240" w:lineRule="auto"/>
      </w:pPr>
      <w:r w:rsidRPr="001510D2">
        <w:t>La demanderesse a droit aux montants requis pour réparer intégralement le préjudice qu’elle a subi par la faute du défendeur ainsi que les dommages qui en découlent</w:t>
      </w:r>
      <w:bookmarkStart w:id="12" w:name="_Ref226366646"/>
      <w:r w:rsidRPr="001510D2">
        <w:rPr>
          <w:rStyle w:val="Appelnotedebasdep"/>
        </w:rPr>
        <w:footnoteReference w:id="25"/>
      </w:r>
      <w:bookmarkEnd w:id="12"/>
      <w:r w:rsidRPr="001510D2">
        <w:t xml:space="preserve">. L’indemnisation ne pouvant satisfaire au critère de la perfection, la jurisprudence requiert qu’elle soit « raisonnable ». Comme le précisait la Cour suprême il y a près d’un demi-siècle </w:t>
      </w:r>
      <w:r w:rsidRPr="00C77480">
        <w:rPr>
          <w:i/>
          <w:iCs/>
        </w:rPr>
        <w:t>il n’existe aucune obligation pour la victime de procéder à une réduction des dommages-intérêts, c’est-à-dire accepter moins que la perte réelle. En fait, sa seule obligation est d’être raisonnable</w:t>
      </w:r>
      <w:bookmarkStart w:id="13" w:name="_Ref226365172"/>
      <w:r w:rsidRPr="001510D2">
        <w:rPr>
          <w:rStyle w:val="Appelnotedebasdep"/>
        </w:rPr>
        <w:footnoteReference w:id="26"/>
      </w:r>
      <w:bookmarkEnd w:id="13"/>
      <w:r>
        <w:t>. </w:t>
      </w:r>
    </w:p>
    <w:p w14:paraId="363E1C84" w14:textId="77777777" w:rsidR="00DF4E65" w:rsidRPr="007218C6" w:rsidRDefault="00DF4E65" w:rsidP="00880EDC">
      <w:pPr>
        <w:numPr>
          <w:ilvl w:val="0"/>
          <w:numId w:val="1"/>
        </w:numPr>
        <w:tabs>
          <w:tab w:val="clear" w:pos="360"/>
          <w:tab w:val="left" w:pos="709"/>
          <w:tab w:val="left" w:pos="851"/>
        </w:tabs>
        <w:spacing w:before="120" w:after="120"/>
        <w:jc w:val="both"/>
        <w:rPr>
          <w:rFonts w:cs="Arial"/>
          <w:b/>
          <w:bCs/>
          <w:szCs w:val="24"/>
          <w:lang w:eastAsia="en-US"/>
        </w:rPr>
      </w:pPr>
      <w:r w:rsidRPr="007218C6">
        <w:rPr>
          <w:rFonts w:cs="Arial"/>
          <w:bCs/>
          <w:szCs w:val="24"/>
          <w:lang w:eastAsia="en-US"/>
        </w:rPr>
        <w:lastRenderedPageBreak/>
        <w:t>Le préjudice futur dont parle l’alinéa 2 de l’article 1611 C.c.Q. n’a pas à être d’une certitude absolue ou scientifique</w:t>
      </w:r>
      <w:r w:rsidRPr="007218C6">
        <w:rPr>
          <w:rStyle w:val="Appelnotedebasdep"/>
          <w:rFonts w:cs="Arial"/>
          <w:bCs/>
          <w:szCs w:val="24"/>
          <w:lang w:eastAsia="en-US"/>
        </w:rPr>
        <w:footnoteReference w:id="27"/>
      </w:r>
      <w:r w:rsidRPr="007218C6">
        <w:rPr>
          <w:rFonts w:cs="Arial"/>
          <w:bCs/>
          <w:szCs w:val="24"/>
          <w:lang w:eastAsia="en-US"/>
        </w:rPr>
        <w:t>. Le degré de certitude recherché est celui de la certitude relative et de la probabilité</w:t>
      </w:r>
      <w:r w:rsidRPr="007218C6">
        <w:rPr>
          <w:rStyle w:val="Appelnotedebasdep"/>
          <w:rFonts w:cs="Arial"/>
          <w:bCs/>
          <w:szCs w:val="24"/>
          <w:lang w:eastAsia="en-US"/>
        </w:rPr>
        <w:footnoteReference w:id="28"/>
      </w:r>
      <w:r w:rsidRPr="007218C6">
        <w:rPr>
          <w:rFonts w:cs="Arial"/>
          <w:bCs/>
          <w:szCs w:val="24"/>
          <w:lang w:eastAsia="en-US"/>
        </w:rPr>
        <w:t xml:space="preserve">.  </w:t>
      </w:r>
    </w:p>
    <w:p w14:paraId="07D8BDC3" w14:textId="77777777" w:rsidR="00DF4E65" w:rsidRPr="0022471C" w:rsidRDefault="00DF4E65" w:rsidP="00933694">
      <w:pPr>
        <w:pStyle w:val="Paragrdouble"/>
        <w:spacing w:line="240" w:lineRule="auto"/>
        <w:rPr>
          <w:rFonts w:cs="Arial"/>
          <w:i/>
          <w:iCs/>
          <w:szCs w:val="24"/>
        </w:rPr>
      </w:pPr>
      <w:r>
        <w:rPr>
          <w:rFonts w:cs="Arial"/>
          <w:szCs w:val="24"/>
        </w:rPr>
        <w:t>En outre, c</w:t>
      </w:r>
      <w:r w:rsidRPr="00490AC4">
        <w:rPr>
          <w:rFonts w:cs="Arial"/>
          <w:szCs w:val="24"/>
        </w:rPr>
        <w:t>omme l’écrivent les auteurs Baudouin, Deslauriers et Moore</w:t>
      </w:r>
      <w:r>
        <w:rPr>
          <w:rFonts w:cs="Arial"/>
          <w:szCs w:val="24"/>
        </w:rPr>
        <w:t>, l</w:t>
      </w:r>
      <w:r w:rsidRPr="00490AC4">
        <w:t xml:space="preserve">e caractère </w:t>
      </w:r>
      <w:r w:rsidRPr="001D4EDF">
        <w:rPr>
          <w:i/>
          <w:iCs/>
        </w:rPr>
        <w:t xml:space="preserve">certain </w:t>
      </w:r>
      <w:r w:rsidRPr="00490AC4">
        <w:t xml:space="preserve">du préjudice futur exige </w:t>
      </w:r>
      <w:r w:rsidRPr="001D4EDF">
        <w:rPr>
          <w:i/>
          <w:iCs/>
        </w:rPr>
        <w:t>une simple probabilité</w:t>
      </w:r>
      <w:r>
        <w:rPr>
          <w:i/>
          <w:iCs/>
        </w:rPr>
        <w:t xml:space="preserve">, </w:t>
      </w:r>
      <w:r>
        <w:t xml:space="preserve">laissant ainsi </w:t>
      </w:r>
      <w:r w:rsidRPr="002C7506">
        <w:rPr>
          <w:i/>
          <w:iCs/>
        </w:rPr>
        <w:t>une marge discrétionnaire d’appréciation aux magistrats qui tiennent compte des faits prouvés et des circonstances propres à l’espèce, et introduire inévitablement une certaine dose de subjectivisme</w:t>
      </w:r>
      <w:r w:rsidRPr="002C7506">
        <w:rPr>
          <w:i/>
          <w:iCs/>
          <w:vertAlign w:val="superscript"/>
        </w:rPr>
        <w:t xml:space="preserve"> </w:t>
      </w:r>
      <w:bookmarkStart w:id="14" w:name="_Ref226367176"/>
      <w:r w:rsidRPr="004B5ACA">
        <w:rPr>
          <w:rStyle w:val="Appelnotedebasdep"/>
        </w:rPr>
        <w:footnoteReference w:id="29"/>
      </w:r>
      <w:bookmarkEnd w:id="14"/>
      <w:r w:rsidRPr="001D4EDF">
        <w:rPr>
          <w:i/>
          <w:iCs/>
        </w:rPr>
        <w:t xml:space="preserve">. </w:t>
      </w:r>
    </w:p>
    <w:p w14:paraId="20F49219" w14:textId="77777777" w:rsidR="00DF4E65" w:rsidRPr="001D4EDF" w:rsidRDefault="00DF4E65" w:rsidP="00933694">
      <w:pPr>
        <w:pStyle w:val="Paragrdouble"/>
        <w:spacing w:line="240" w:lineRule="auto"/>
        <w:rPr>
          <w:rFonts w:cs="Arial"/>
          <w:i/>
          <w:iCs/>
          <w:szCs w:val="24"/>
        </w:rPr>
      </w:pPr>
      <w:r>
        <w:rPr>
          <w:rFonts w:cs="Arial"/>
          <w:szCs w:val="24"/>
        </w:rPr>
        <w:t xml:space="preserve">Enfin, rappelons que la demanderesse a bénéficié de différentes aides financières versées en vertu de la LAPVIC, en lien avec les violences sexuelles que son père lui a fait subir dans sa jeunesse. Le PGQ, agissant pour le ministre, est donc dûment subrogé dans ses droits, eu égards aux prestations versées.  Le Tribunal reviendra plus en détail sur l’effet de la subrogation au point 3. Pour l’instant, rappelons qu’en vertu des articles 1608 C.c.Q. et 33 LAPVIC, la demanderesse doit exclure de sa réclamation contre le défendeur toutes les sommes provenant de l’IVAC et ce, en application du principe interdisant le cumul des indemnités. </w:t>
      </w:r>
    </w:p>
    <w:p w14:paraId="61957BA8" w14:textId="77777777" w:rsidR="00DF4E65" w:rsidRPr="009329A7" w:rsidRDefault="00DF4E65" w:rsidP="00DF4E65">
      <w:pPr>
        <w:pStyle w:val="Titre4"/>
        <w:numPr>
          <w:ilvl w:val="2"/>
          <w:numId w:val="37"/>
        </w:numPr>
        <w:tabs>
          <w:tab w:val="left" w:pos="649"/>
        </w:tabs>
        <w:ind w:left="1530" w:hanging="701"/>
        <w:rPr>
          <w:b w:val="0"/>
          <w:bCs/>
        </w:rPr>
      </w:pPr>
      <w:r w:rsidRPr="00027995">
        <w:t>Discussion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3907"/>
        <w:gridCol w:w="1134"/>
      </w:tblGrid>
      <w:tr w:rsidR="00DF4E65" w:rsidRPr="006C31E6" w14:paraId="3DB19FF6" w14:textId="77777777" w:rsidTr="00940533">
        <w:tc>
          <w:tcPr>
            <w:tcW w:w="9356" w:type="dxa"/>
            <w:gridSpan w:val="3"/>
          </w:tcPr>
          <w:p w14:paraId="3EB5CD2C" w14:textId="77777777" w:rsidR="00DF4E65" w:rsidRPr="009329A7" w:rsidRDefault="00DF4E65" w:rsidP="00DF4E65">
            <w:pPr>
              <w:numPr>
                <w:ilvl w:val="0"/>
                <w:numId w:val="1"/>
              </w:numPr>
              <w:tabs>
                <w:tab w:val="clear" w:pos="360"/>
              </w:tabs>
              <w:spacing w:before="120" w:after="120"/>
              <w:jc w:val="both"/>
              <w:rPr>
                <w:kern w:val="28"/>
              </w:rPr>
            </w:pPr>
            <w:r>
              <w:rPr>
                <w:kern w:val="28"/>
              </w:rPr>
              <w:t>J. C. réclame les montants suivants pour les dommages résultant des comportements abusifs de M. C.</w:t>
            </w:r>
          </w:p>
          <w:p w14:paraId="5F8CF576" w14:textId="77777777" w:rsidR="00DF4E65" w:rsidRPr="006C31E6" w:rsidRDefault="00DF4E65" w:rsidP="00582B55">
            <w:pPr>
              <w:rPr>
                <w:b/>
                <w:bCs/>
              </w:rPr>
            </w:pPr>
          </w:p>
        </w:tc>
      </w:tr>
      <w:tr w:rsidR="00DF4E65" w:rsidRPr="006C31E6" w14:paraId="26676B10" w14:textId="77777777" w:rsidTr="00940533">
        <w:trPr>
          <w:gridAfter w:val="1"/>
          <w:wAfter w:w="1134" w:type="dxa"/>
        </w:trPr>
        <w:tc>
          <w:tcPr>
            <w:tcW w:w="4315" w:type="dxa"/>
          </w:tcPr>
          <w:p w14:paraId="62527004" w14:textId="77777777" w:rsidR="00DF4E65" w:rsidRPr="006C31E6" w:rsidRDefault="00DF4E65" w:rsidP="00DF4E65">
            <w:pPr>
              <w:pStyle w:val="Paragraphedeliste"/>
              <w:numPr>
                <w:ilvl w:val="0"/>
                <w:numId w:val="42"/>
              </w:numPr>
              <w:ind w:left="604"/>
              <w:contextualSpacing/>
            </w:pPr>
            <w:r w:rsidRPr="006C31E6">
              <w:t>Pertes passées de gains</w:t>
            </w:r>
          </w:p>
          <w:p w14:paraId="0FA02684" w14:textId="77777777" w:rsidR="00DF4E65" w:rsidRPr="006C31E6" w:rsidRDefault="00DF4E65" w:rsidP="00582B55">
            <w:pPr>
              <w:pStyle w:val="Paragraphedeliste"/>
              <w:ind w:left="604"/>
            </w:pPr>
          </w:p>
        </w:tc>
        <w:tc>
          <w:tcPr>
            <w:tcW w:w="3907" w:type="dxa"/>
          </w:tcPr>
          <w:p w14:paraId="0DF2605C" w14:textId="77777777" w:rsidR="00DF4E65" w:rsidRPr="006C31E6" w:rsidRDefault="00DF4E65" w:rsidP="00582B55">
            <w:pPr>
              <w:jc w:val="right"/>
            </w:pPr>
            <w:r w:rsidRPr="006C31E6">
              <w:t>809 423 $</w:t>
            </w:r>
          </w:p>
        </w:tc>
      </w:tr>
      <w:tr w:rsidR="00DF4E65" w:rsidRPr="006C31E6" w14:paraId="1596B137" w14:textId="77777777" w:rsidTr="00940533">
        <w:trPr>
          <w:gridAfter w:val="1"/>
          <w:wAfter w:w="1134" w:type="dxa"/>
        </w:trPr>
        <w:tc>
          <w:tcPr>
            <w:tcW w:w="4315" w:type="dxa"/>
          </w:tcPr>
          <w:p w14:paraId="6882FCC8" w14:textId="77777777" w:rsidR="00DF4E65" w:rsidRPr="006C31E6" w:rsidRDefault="00DF4E65" w:rsidP="00DF4E65">
            <w:pPr>
              <w:pStyle w:val="Paragraphedeliste"/>
              <w:numPr>
                <w:ilvl w:val="0"/>
                <w:numId w:val="42"/>
              </w:numPr>
              <w:ind w:left="604"/>
              <w:contextualSpacing/>
            </w:pPr>
            <w:r w:rsidRPr="006C31E6">
              <w:t>Pertes futures de gains</w:t>
            </w:r>
          </w:p>
          <w:p w14:paraId="042878CD" w14:textId="77777777" w:rsidR="00DF4E65" w:rsidRPr="006C31E6" w:rsidRDefault="00DF4E65" w:rsidP="00582B55">
            <w:pPr>
              <w:pStyle w:val="Paragraphedeliste"/>
              <w:ind w:left="604"/>
            </w:pPr>
          </w:p>
        </w:tc>
        <w:tc>
          <w:tcPr>
            <w:tcW w:w="3907" w:type="dxa"/>
          </w:tcPr>
          <w:p w14:paraId="1FAEF26B" w14:textId="77777777" w:rsidR="00DF4E65" w:rsidRPr="006C31E6" w:rsidRDefault="00DF4E65" w:rsidP="00582B55">
            <w:pPr>
              <w:jc w:val="right"/>
            </w:pPr>
            <w:r w:rsidRPr="006C31E6">
              <w:t>1 208 143 $</w:t>
            </w:r>
          </w:p>
        </w:tc>
      </w:tr>
      <w:tr w:rsidR="00DF4E65" w:rsidRPr="006C31E6" w14:paraId="6DF9E8DC" w14:textId="77777777" w:rsidTr="00940533">
        <w:trPr>
          <w:gridAfter w:val="1"/>
          <w:wAfter w:w="1134" w:type="dxa"/>
        </w:trPr>
        <w:tc>
          <w:tcPr>
            <w:tcW w:w="4315" w:type="dxa"/>
          </w:tcPr>
          <w:p w14:paraId="51194340" w14:textId="77777777" w:rsidR="00DF4E65" w:rsidRPr="006C31E6" w:rsidRDefault="00DF4E65" w:rsidP="00DF4E65">
            <w:pPr>
              <w:pStyle w:val="Paragraphedeliste"/>
              <w:numPr>
                <w:ilvl w:val="0"/>
                <w:numId w:val="42"/>
              </w:numPr>
              <w:ind w:left="604"/>
              <w:contextualSpacing/>
            </w:pPr>
            <w:r w:rsidRPr="006C31E6">
              <w:t>Biens et services futurs</w:t>
            </w:r>
          </w:p>
          <w:p w14:paraId="5135D7E6" w14:textId="77777777" w:rsidR="00DF4E65" w:rsidRPr="006C31E6" w:rsidRDefault="00DF4E65" w:rsidP="00582B55">
            <w:pPr>
              <w:pStyle w:val="Paragraphedeliste"/>
              <w:ind w:left="604"/>
            </w:pPr>
          </w:p>
        </w:tc>
        <w:tc>
          <w:tcPr>
            <w:tcW w:w="3907" w:type="dxa"/>
          </w:tcPr>
          <w:p w14:paraId="19A870BE" w14:textId="77777777" w:rsidR="00DF4E65" w:rsidRPr="006C31E6" w:rsidRDefault="00DF4E65" w:rsidP="00582B55">
            <w:pPr>
              <w:jc w:val="right"/>
            </w:pPr>
            <w:r>
              <w:t>29 089</w:t>
            </w:r>
            <w:r>
              <w:rPr>
                <w:rStyle w:val="Appelnotedebasdep"/>
              </w:rPr>
              <w:footnoteReference w:id="30"/>
            </w:r>
            <w:r w:rsidRPr="006C31E6">
              <w:t xml:space="preserve"> $</w:t>
            </w:r>
          </w:p>
        </w:tc>
      </w:tr>
      <w:tr w:rsidR="00DF4E65" w:rsidRPr="006C31E6" w14:paraId="74FA0CF8" w14:textId="77777777" w:rsidTr="00940533">
        <w:trPr>
          <w:gridAfter w:val="1"/>
          <w:wAfter w:w="1134" w:type="dxa"/>
        </w:trPr>
        <w:tc>
          <w:tcPr>
            <w:tcW w:w="4315" w:type="dxa"/>
          </w:tcPr>
          <w:p w14:paraId="276736D6" w14:textId="77777777" w:rsidR="00DF4E65" w:rsidRPr="006C31E6" w:rsidRDefault="00DF4E65" w:rsidP="00DF4E65">
            <w:pPr>
              <w:pStyle w:val="Paragraphedeliste"/>
              <w:numPr>
                <w:ilvl w:val="0"/>
                <w:numId w:val="42"/>
              </w:numPr>
              <w:ind w:left="604"/>
              <w:contextualSpacing/>
            </w:pPr>
            <w:r w:rsidRPr="006C31E6">
              <w:t>Provision pour frais de gestion</w:t>
            </w:r>
          </w:p>
          <w:p w14:paraId="3DAF6D69" w14:textId="77777777" w:rsidR="00DF4E65" w:rsidRPr="006C31E6" w:rsidRDefault="00DF4E65" w:rsidP="00582B55">
            <w:pPr>
              <w:pStyle w:val="Paragraphedeliste"/>
              <w:ind w:left="604"/>
            </w:pPr>
          </w:p>
        </w:tc>
        <w:tc>
          <w:tcPr>
            <w:tcW w:w="3907" w:type="dxa"/>
          </w:tcPr>
          <w:p w14:paraId="0E051B6E" w14:textId="77777777" w:rsidR="00DF4E65" w:rsidRPr="006C31E6" w:rsidRDefault="00DF4E65" w:rsidP="00582B55">
            <w:pPr>
              <w:jc w:val="right"/>
            </w:pPr>
            <w:r w:rsidRPr="006C31E6">
              <w:t>113 354 $</w:t>
            </w:r>
          </w:p>
        </w:tc>
      </w:tr>
    </w:tbl>
    <w:p w14:paraId="37D08745" w14:textId="77777777" w:rsidR="00DF4E65" w:rsidRPr="008F35E9" w:rsidRDefault="00DF4E65" w:rsidP="008F35E9">
      <w:pPr>
        <w:pStyle w:val="Paragrdouble"/>
        <w:spacing w:line="240" w:lineRule="auto"/>
      </w:pPr>
      <w:r w:rsidRPr="008F35E9">
        <w:lastRenderedPageBreak/>
        <w:t xml:space="preserve">Durant son témoignage, J.C. a expliqué que les agressions ont entraîné </w:t>
      </w:r>
      <w:r>
        <w:t>de graves</w:t>
      </w:r>
      <w:r w:rsidRPr="008F35E9">
        <w:t xml:space="preserve"> répercussions durant son enfance, lui causant ainsi des difficultés d’apprentissage, un trouble de l’autorité, des comportements sexuels problématiques menant à de l’intimidation ainsi que des problèmes de santé physique.</w:t>
      </w:r>
    </w:p>
    <w:p w14:paraId="55E24199" w14:textId="77777777" w:rsidR="00DF4E65" w:rsidRPr="008F35E9" w:rsidRDefault="00DF4E65" w:rsidP="008F35E9">
      <w:pPr>
        <w:pStyle w:val="Paragrdouble"/>
        <w:spacing w:line="240" w:lineRule="auto"/>
      </w:pPr>
      <w:r w:rsidRPr="008F35E9">
        <w:t>En effet, son bulletin scolaire de l’année scolaire de l’année 1983-1984 indique qu’elle a dû être placée en classe de maturation, confirmant ainsi ses difficultés d’apprentissage</w:t>
      </w:r>
      <w:r w:rsidRPr="008F35E9">
        <w:rPr>
          <w:vertAlign w:val="superscript"/>
        </w:rPr>
        <w:footnoteReference w:id="31"/>
      </w:r>
      <w:r w:rsidRPr="008F35E9">
        <w:t>.</w:t>
      </w:r>
    </w:p>
    <w:p w14:paraId="63FB7B1F" w14:textId="77777777" w:rsidR="00DF4E65" w:rsidRPr="008F35E9" w:rsidRDefault="00DF4E65" w:rsidP="008F35E9">
      <w:pPr>
        <w:pStyle w:val="Paragrdouble"/>
        <w:spacing w:line="240" w:lineRule="auto"/>
        <w:rPr>
          <w:lang w:val="fr-FR"/>
        </w:rPr>
      </w:pPr>
      <w:r w:rsidRPr="008F35E9">
        <w:rPr>
          <w:lang w:val="fr-FR"/>
        </w:rPr>
        <w:t>Dans ce même bulletin scolaire de l’année 1983-1984, l’enseignante fait mention de la difficulté pour J.C. de se conformer aux directives données par l’adulte, indiquant son trouble face à l’autorité</w:t>
      </w:r>
      <w:r w:rsidRPr="008F35E9">
        <w:rPr>
          <w:vertAlign w:val="superscript"/>
          <w:lang w:val="fr-FR"/>
        </w:rPr>
        <w:footnoteReference w:id="32"/>
      </w:r>
      <w:r w:rsidRPr="008F35E9">
        <w:rPr>
          <w:lang w:val="fr-FR"/>
        </w:rPr>
        <w:t xml:space="preserve">. L’enseignante note par ailleurs que J.C. </w:t>
      </w:r>
      <w:r w:rsidRPr="001510D2">
        <w:rPr>
          <w:i/>
          <w:iCs/>
          <w:lang w:val="fr-FR"/>
        </w:rPr>
        <w:t>est souvent agressive avec les amis</w:t>
      </w:r>
      <w:r w:rsidRPr="008F35E9">
        <w:rPr>
          <w:vertAlign w:val="superscript"/>
          <w:lang w:val="fr-FR"/>
        </w:rPr>
        <w:footnoteReference w:id="33"/>
      </w:r>
      <w:r w:rsidRPr="008F35E9">
        <w:rPr>
          <w:lang w:val="fr-FR"/>
        </w:rPr>
        <w:t>.</w:t>
      </w:r>
    </w:p>
    <w:p w14:paraId="41AF4DB8" w14:textId="77777777" w:rsidR="00DF4E65" w:rsidRPr="008F35E9" w:rsidRDefault="00DF4E65" w:rsidP="0000450E">
      <w:pPr>
        <w:pStyle w:val="Paragrdouble"/>
        <w:spacing w:line="240" w:lineRule="auto"/>
      </w:pPr>
      <w:r w:rsidRPr="008F35E9">
        <w:t>En 1985, J.C. a des comportements répréhensibles à l’école : elle vole des collations, elle exprime de l’agressivité envers les autres enfants et elle tente ensuite de les amadouer en offrant des cadeaux</w:t>
      </w:r>
      <w:r w:rsidRPr="008F35E9">
        <w:rPr>
          <w:vertAlign w:val="superscript"/>
        </w:rPr>
        <w:footnoteReference w:id="34"/>
      </w:r>
      <w:r w:rsidRPr="008F35E9">
        <w:t>.</w:t>
      </w:r>
    </w:p>
    <w:p w14:paraId="7D45768A" w14:textId="77777777" w:rsidR="00DF4E65" w:rsidRPr="008F35E9" w:rsidRDefault="00DF4E65" w:rsidP="008F35E9">
      <w:pPr>
        <w:pStyle w:val="Paragrdouble"/>
        <w:spacing w:line="240" w:lineRule="auto"/>
      </w:pPr>
      <w:r>
        <w:t>En outre, les dossiers médicaux de J. C. font voir que</w:t>
      </w:r>
      <w:r w:rsidRPr="008F35E9">
        <w:t xml:space="preserve"> </w:t>
      </w:r>
      <w:r>
        <w:t>celle-ci</w:t>
      </w:r>
      <w:r w:rsidRPr="008F35E9">
        <w:t xml:space="preserve"> a peur la nuit, fait des cauchemars et exprime des craintes que  </w:t>
      </w:r>
      <w:r w:rsidRPr="00AF3844">
        <w:rPr>
          <w:i/>
          <w:iCs/>
        </w:rPr>
        <w:t>papa fasse du mal à maman</w:t>
      </w:r>
      <w:r w:rsidRPr="008F35E9">
        <w:t> , elle  </w:t>
      </w:r>
      <w:r w:rsidRPr="00AF3844">
        <w:rPr>
          <w:i/>
          <w:iCs/>
        </w:rPr>
        <w:t>dort mal</w:t>
      </w:r>
      <w:r w:rsidRPr="008F35E9">
        <w:t>  et est  </w:t>
      </w:r>
      <w:r w:rsidRPr="00AF3844">
        <w:rPr>
          <w:i/>
          <w:iCs/>
        </w:rPr>
        <w:t>craintive</w:t>
      </w:r>
      <w:r w:rsidRPr="008F35E9">
        <w:t> </w:t>
      </w:r>
      <w:r w:rsidRPr="008F35E9">
        <w:rPr>
          <w:vertAlign w:val="superscript"/>
        </w:rPr>
        <w:footnoteReference w:id="35"/>
      </w:r>
      <w:r w:rsidRPr="008F35E9">
        <w:t>.</w:t>
      </w:r>
    </w:p>
    <w:p w14:paraId="6CE17F25" w14:textId="77777777" w:rsidR="00DF4E65" w:rsidRPr="008F35E9" w:rsidRDefault="00DF4E65" w:rsidP="008F35E9">
      <w:pPr>
        <w:pStyle w:val="Paragrdouble"/>
        <w:spacing w:line="240" w:lineRule="auto"/>
      </w:pPr>
      <w:r>
        <w:t>Les différentes notes aux dossiers</w:t>
      </w:r>
      <w:r w:rsidRPr="008F35E9">
        <w:t xml:space="preserve"> confirment que</w:t>
      </w:r>
      <w:r>
        <w:t xml:space="preserve"> J. C.</w:t>
      </w:r>
      <w:r w:rsidRPr="008F35E9">
        <w:t xml:space="preserve"> a vécu plusieurs problèmes de santé physique, plus particulièrement au niveau des parties génitales et buccales durant la période des agressions, notamment une amygdalite, une vulvite irritative, une laryngite striduleuse, une pharyngite, une dermite de contact, des infections urinaires, des vaginites, des douleurs et brûlements à la vulve, des écoulements vaginaux et des maux de gorge sur une période s’échelonnant de 1983 à 1987</w:t>
      </w:r>
      <w:r w:rsidRPr="008F35E9">
        <w:rPr>
          <w:vertAlign w:val="superscript"/>
        </w:rPr>
        <w:footnoteReference w:id="36"/>
      </w:r>
      <w:r w:rsidRPr="008F35E9">
        <w:t>.</w:t>
      </w:r>
    </w:p>
    <w:p w14:paraId="21D7A7C1" w14:textId="77777777" w:rsidR="00DF4E65" w:rsidRPr="008F35E9" w:rsidRDefault="00DF4E65" w:rsidP="008F35E9">
      <w:pPr>
        <w:pStyle w:val="Paragrdouble"/>
        <w:spacing w:line="240" w:lineRule="auto"/>
      </w:pPr>
      <w:r>
        <w:rPr>
          <w:lang w:val="fr-FR"/>
        </w:rPr>
        <w:t xml:space="preserve">Comme indiqué ci-haut, </w:t>
      </w:r>
      <w:r w:rsidRPr="008F35E9">
        <w:rPr>
          <w:lang w:val="fr-FR"/>
        </w:rPr>
        <w:t xml:space="preserve">J.C. a ensuite dû être hospitalisée en pédopsychiatrie pendant </w:t>
      </w:r>
      <w:r>
        <w:rPr>
          <w:lang w:val="fr-FR"/>
        </w:rPr>
        <w:t>plusieurs</w:t>
      </w:r>
      <w:r w:rsidRPr="008F35E9">
        <w:rPr>
          <w:lang w:val="fr-FR"/>
        </w:rPr>
        <w:t> mois à l’âge de 10 ans, en réaction à l’éclatement de la cellule familiale</w:t>
      </w:r>
      <w:r w:rsidRPr="008F35E9">
        <w:rPr>
          <w:vertAlign w:val="superscript"/>
          <w:lang w:val="fr-FR"/>
        </w:rPr>
        <w:footnoteReference w:id="37"/>
      </w:r>
      <w:r w:rsidRPr="008F35E9">
        <w:rPr>
          <w:lang w:val="fr-FR"/>
        </w:rPr>
        <w:t>.</w:t>
      </w:r>
    </w:p>
    <w:p w14:paraId="694B4D95" w14:textId="77777777" w:rsidR="00DF4E65" w:rsidRPr="008F35E9" w:rsidRDefault="00DF4E65" w:rsidP="008F35E9">
      <w:pPr>
        <w:pStyle w:val="Paragrdouble"/>
        <w:spacing w:line="240" w:lineRule="auto"/>
      </w:pPr>
      <w:r w:rsidRPr="008F35E9">
        <w:t>En date du 2 février 1988, pendant cette hospitalisation, le Dr Péloquin diagnostique J.C. avec un trouble de comportement dû aux violences incestueuses qu’elle a vécues en date du 2 février 1988</w:t>
      </w:r>
      <w:r w:rsidRPr="008F35E9">
        <w:rPr>
          <w:vertAlign w:val="superscript"/>
        </w:rPr>
        <w:footnoteReference w:id="38"/>
      </w:r>
      <w:r w:rsidRPr="008F35E9">
        <w:t>.</w:t>
      </w:r>
    </w:p>
    <w:p w14:paraId="08EC4F5C" w14:textId="77777777" w:rsidR="00DF4E65" w:rsidRPr="008F35E9" w:rsidRDefault="00DF4E65" w:rsidP="008F35E9">
      <w:pPr>
        <w:pStyle w:val="Paragrdouble"/>
        <w:spacing w:line="240" w:lineRule="auto"/>
      </w:pPr>
      <w:r w:rsidRPr="008F35E9">
        <w:lastRenderedPageBreak/>
        <w:t xml:space="preserve">Ces troubles de comportement étaient </w:t>
      </w:r>
      <w:r>
        <w:t xml:space="preserve">par ailleurs </w:t>
      </w:r>
      <w:r w:rsidRPr="008F35E9">
        <w:t>existants depuis 1984, tel que l’atteste l’évaluation pédopsychiatrique réalisée le 9 octobre 1984 par le Dr. L’Heureux, constatant un trouble de la conduite de type socialisé agressif</w:t>
      </w:r>
      <w:r w:rsidRPr="008F35E9">
        <w:rPr>
          <w:vertAlign w:val="superscript"/>
        </w:rPr>
        <w:footnoteReference w:id="39"/>
      </w:r>
      <w:r w:rsidRPr="008F35E9">
        <w:t>.</w:t>
      </w:r>
    </w:p>
    <w:p w14:paraId="6CAD240E" w14:textId="77777777" w:rsidR="00DF4E65" w:rsidRPr="008F35E9" w:rsidRDefault="00DF4E65" w:rsidP="008F35E9">
      <w:pPr>
        <w:pStyle w:val="Paragrdouble"/>
        <w:spacing w:line="240" w:lineRule="auto"/>
      </w:pPr>
      <w:r>
        <w:rPr>
          <w:lang w:val="fr-FR"/>
        </w:rPr>
        <w:t>L</w:t>
      </w:r>
      <w:r w:rsidRPr="008F35E9">
        <w:rPr>
          <w:lang w:val="fr-FR"/>
        </w:rPr>
        <w:t xml:space="preserve">es comportements sexuels que J.C. a pour son jeune âge sont </w:t>
      </w:r>
      <w:r>
        <w:rPr>
          <w:lang w:val="fr-FR"/>
        </w:rPr>
        <w:t xml:space="preserve">de multiples fois </w:t>
      </w:r>
      <w:r w:rsidRPr="008F35E9">
        <w:rPr>
          <w:lang w:val="fr-FR"/>
        </w:rPr>
        <w:t>constatées par le personnel médical de l’Hôpital Charles-Lemoyne</w:t>
      </w:r>
      <w:r>
        <w:rPr>
          <w:lang w:val="fr-FR"/>
        </w:rPr>
        <w:t>. En voici quelques exemples</w:t>
      </w:r>
      <w:r w:rsidRPr="008F35E9">
        <w:rPr>
          <w:lang w:val="fr-FR"/>
        </w:rPr>
        <w:t xml:space="preserve"> : </w:t>
      </w:r>
    </w:p>
    <w:p w14:paraId="494D30A9" w14:textId="77777777" w:rsidR="00DF4E65" w:rsidRDefault="00DF4E65" w:rsidP="001E1594">
      <w:pPr>
        <w:pStyle w:val="Paragrdouble"/>
        <w:numPr>
          <w:ilvl w:val="0"/>
          <w:numId w:val="0"/>
        </w:numPr>
        <w:spacing w:line="240" w:lineRule="auto"/>
        <w:ind w:left="731"/>
        <w:rPr>
          <w:sz w:val="22"/>
          <w:szCs w:val="22"/>
        </w:rPr>
      </w:pPr>
      <w:r w:rsidRPr="001E1594">
        <w:rPr>
          <w:sz w:val="22"/>
          <w:szCs w:val="22"/>
        </w:rPr>
        <w:t xml:space="preserve">Fortes préoccupations autour de la sexualité qui se manifestent de diverses façons : convaincre d’autres enfants à explorer masturbation, accumule des revues à connotation sexuelle </w:t>
      </w:r>
      <w:r>
        <w:rPr>
          <w:sz w:val="22"/>
          <w:szCs w:val="22"/>
        </w:rPr>
        <w:t>(</w:t>
      </w:r>
      <w:r w:rsidRPr="001E1594">
        <w:rPr>
          <w:sz w:val="22"/>
          <w:szCs w:val="22"/>
        </w:rPr>
        <w:t>…</w:t>
      </w:r>
      <w:r>
        <w:rPr>
          <w:sz w:val="22"/>
          <w:szCs w:val="22"/>
        </w:rPr>
        <w:t xml:space="preserve">) </w:t>
      </w:r>
      <w:r w:rsidRPr="001E1594">
        <w:rPr>
          <w:sz w:val="22"/>
          <w:szCs w:val="22"/>
        </w:rPr>
        <w:t>Souvent, se cache lorsqu’elle aborde ce sujet (jeu de cache-cache)</w:t>
      </w:r>
      <w:r>
        <w:rPr>
          <w:sz w:val="22"/>
          <w:szCs w:val="22"/>
        </w:rPr>
        <w:t xml:space="preserve"> (…)</w:t>
      </w:r>
      <w:r w:rsidRPr="001E1594">
        <w:rPr>
          <w:sz w:val="22"/>
          <w:szCs w:val="22"/>
        </w:rPr>
        <w:t xml:space="preserve"> (approche </w:t>
      </w:r>
      <w:r w:rsidRPr="001E1594">
        <w:rPr>
          <w:i/>
          <w:iCs/>
          <w:sz w:val="22"/>
          <w:szCs w:val="22"/>
        </w:rPr>
        <w:t>[illisible]</w:t>
      </w:r>
      <w:r w:rsidRPr="001E1594">
        <w:rPr>
          <w:sz w:val="22"/>
          <w:szCs w:val="22"/>
        </w:rPr>
        <w:t xml:space="preserve"> non-punitive et exploration des sources de cette grande curiosité autour du sexe, i</w:t>
      </w:r>
      <w:r>
        <w:rPr>
          <w:sz w:val="22"/>
          <w:szCs w:val="22"/>
        </w:rPr>
        <w:t>.e</w:t>
      </w:r>
      <w:r w:rsidRPr="001E1594">
        <w:rPr>
          <w:sz w:val="22"/>
          <w:szCs w:val="22"/>
        </w:rPr>
        <w:t>. inceste). </w:t>
      </w:r>
    </w:p>
    <w:p w14:paraId="31509BBC" w14:textId="77777777" w:rsidR="00DF4E65" w:rsidRPr="001E1594" w:rsidRDefault="00DF4E65" w:rsidP="001E1594">
      <w:pPr>
        <w:pStyle w:val="Paragrdouble"/>
        <w:numPr>
          <w:ilvl w:val="0"/>
          <w:numId w:val="0"/>
        </w:numPr>
        <w:spacing w:line="240" w:lineRule="auto"/>
        <w:ind w:left="731"/>
        <w:rPr>
          <w:sz w:val="22"/>
          <w:szCs w:val="22"/>
        </w:rPr>
      </w:pPr>
      <w:r>
        <w:rPr>
          <w:sz w:val="22"/>
          <w:szCs w:val="22"/>
        </w:rPr>
        <w:t>(…)</w:t>
      </w:r>
    </w:p>
    <w:p w14:paraId="7C735B0D" w14:textId="77777777" w:rsidR="00DF4E65" w:rsidRDefault="00DF4E65" w:rsidP="001E1594">
      <w:pPr>
        <w:pStyle w:val="Paragrdouble"/>
        <w:numPr>
          <w:ilvl w:val="0"/>
          <w:numId w:val="0"/>
        </w:numPr>
        <w:spacing w:line="240" w:lineRule="auto"/>
        <w:ind w:left="731"/>
        <w:rPr>
          <w:sz w:val="22"/>
          <w:szCs w:val="22"/>
        </w:rPr>
      </w:pPr>
      <w:r w:rsidRPr="001E1594">
        <w:rPr>
          <w:sz w:val="22"/>
          <w:szCs w:val="22"/>
        </w:rPr>
        <w:t>Charmeuse, provocante, (posture suggestive) Mielleuse, recherche la compagnie du mâle (pied sur le pénis).</w:t>
      </w:r>
      <w:r>
        <w:rPr>
          <w:sz w:val="22"/>
          <w:szCs w:val="22"/>
        </w:rPr>
        <w:t xml:space="preserve"> (…) Donne une apparence, une image sereine, peu en contact avec ses émotions : reflète le contraire de ce qu’elle devrait peut-être ressentir </w:t>
      </w:r>
      <w:proofErr w:type="gramStart"/>
      <w:r>
        <w:rPr>
          <w:sz w:val="22"/>
          <w:szCs w:val="22"/>
        </w:rPr>
        <w:t>suite à</w:t>
      </w:r>
      <w:proofErr w:type="gramEnd"/>
      <w:r>
        <w:rPr>
          <w:sz w:val="22"/>
          <w:szCs w:val="22"/>
        </w:rPr>
        <w:t xml:space="preserve"> ses expériences.</w:t>
      </w:r>
    </w:p>
    <w:p w14:paraId="7079072B" w14:textId="77777777" w:rsidR="00DF4E65" w:rsidRPr="001E1594" w:rsidRDefault="00DF4E65" w:rsidP="001E1594">
      <w:pPr>
        <w:pStyle w:val="Paragrdouble"/>
        <w:numPr>
          <w:ilvl w:val="0"/>
          <w:numId w:val="0"/>
        </w:numPr>
        <w:spacing w:line="240" w:lineRule="auto"/>
        <w:ind w:left="731"/>
        <w:rPr>
          <w:sz w:val="22"/>
          <w:szCs w:val="22"/>
        </w:rPr>
      </w:pPr>
      <w:r>
        <w:rPr>
          <w:sz w:val="22"/>
          <w:szCs w:val="22"/>
        </w:rPr>
        <w:t>(…)</w:t>
      </w:r>
    </w:p>
    <w:p w14:paraId="6E14E9CA" w14:textId="77777777" w:rsidR="00DF4E65" w:rsidRDefault="00DF4E65" w:rsidP="001E1594">
      <w:pPr>
        <w:pStyle w:val="Paragrdouble"/>
        <w:numPr>
          <w:ilvl w:val="0"/>
          <w:numId w:val="0"/>
        </w:numPr>
        <w:spacing w:line="240" w:lineRule="auto"/>
        <w:ind w:left="731"/>
        <w:rPr>
          <w:sz w:val="22"/>
          <w:szCs w:val="22"/>
          <w:lang w:val="fr-FR"/>
        </w:rPr>
      </w:pPr>
      <w:r w:rsidRPr="001E1594">
        <w:rPr>
          <w:sz w:val="22"/>
          <w:szCs w:val="22"/>
          <w:lang w:val="fr-FR"/>
        </w:rPr>
        <w:t>Également séductrice avec ses pairs, son regard langoureux, ses expressions faciales, complimente +++.</w:t>
      </w:r>
    </w:p>
    <w:p w14:paraId="3359DD40" w14:textId="77777777" w:rsidR="00DF4E65" w:rsidRDefault="00DF4E65" w:rsidP="001E1594">
      <w:pPr>
        <w:pStyle w:val="Paragrdouble"/>
        <w:numPr>
          <w:ilvl w:val="0"/>
          <w:numId w:val="0"/>
        </w:numPr>
        <w:spacing w:line="240" w:lineRule="auto"/>
        <w:ind w:left="731"/>
        <w:rPr>
          <w:sz w:val="22"/>
          <w:szCs w:val="22"/>
          <w:lang w:val="fr-FR"/>
        </w:rPr>
      </w:pPr>
      <w:r>
        <w:rPr>
          <w:sz w:val="22"/>
          <w:szCs w:val="22"/>
          <w:lang w:val="fr-FR"/>
        </w:rPr>
        <w:t>(…)</w:t>
      </w:r>
    </w:p>
    <w:p w14:paraId="1989A543" w14:textId="77777777" w:rsidR="00DF4E65" w:rsidRDefault="00DF4E65" w:rsidP="001E1594">
      <w:pPr>
        <w:pStyle w:val="Paragrdouble"/>
        <w:numPr>
          <w:ilvl w:val="0"/>
          <w:numId w:val="0"/>
        </w:numPr>
        <w:spacing w:line="240" w:lineRule="auto"/>
        <w:ind w:left="731"/>
        <w:rPr>
          <w:sz w:val="22"/>
          <w:szCs w:val="22"/>
          <w:lang w:val="fr-FR"/>
        </w:rPr>
      </w:pPr>
      <w:r>
        <w:rPr>
          <w:sz w:val="22"/>
          <w:szCs w:val="22"/>
          <w:lang w:val="fr-FR"/>
        </w:rPr>
        <w:t xml:space="preserve">Quand je lui demande banalement ce qu’elle veut faire plus tard, me répond qu’elle voudrait </w:t>
      </w:r>
      <w:proofErr w:type="gramStart"/>
      <w:r>
        <w:rPr>
          <w:sz w:val="22"/>
          <w:szCs w:val="22"/>
          <w:lang w:val="fr-FR"/>
        </w:rPr>
        <w:t>faire</w:t>
      </w:r>
      <w:proofErr w:type="gramEnd"/>
      <w:r>
        <w:rPr>
          <w:sz w:val="22"/>
          <w:szCs w:val="22"/>
          <w:lang w:val="fr-FR"/>
        </w:rPr>
        <w:t xml:space="preserve"> un travail payant, je lui fais remarquer qu’à ce moment elle devra étudier assez longtemps, me répond que si elle ne trouve pas de travail payant, (vient me dire dans le creux de l’oreille) qu’elle une prostituée.</w:t>
      </w:r>
    </w:p>
    <w:p w14:paraId="5095B9FB" w14:textId="77777777" w:rsidR="00DF4E65" w:rsidRDefault="00DF4E65" w:rsidP="001E1594">
      <w:pPr>
        <w:pStyle w:val="Paragrdouble"/>
        <w:numPr>
          <w:ilvl w:val="0"/>
          <w:numId w:val="0"/>
        </w:numPr>
        <w:spacing w:line="240" w:lineRule="auto"/>
        <w:ind w:left="731"/>
        <w:rPr>
          <w:sz w:val="22"/>
          <w:szCs w:val="22"/>
          <w:lang w:val="fr-FR"/>
        </w:rPr>
      </w:pPr>
      <w:r>
        <w:rPr>
          <w:sz w:val="22"/>
          <w:szCs w:val="22"/>
          <w:lang w:val="fr-FR"/>
        </w:rPr>
        <w:t>(…)</w:t>
      </w:r>
    </w:p>
    <w:p w14:paraId="1B0CA655" w14:textId="77777777" w:rsidR="00DF4E65" w:rsidRDefault="00DF4E65" w:rsidP="001E1594">
      <w:pPr>
        <w:pStyle w:val="Paragrdouble"/>
        <w:numPr>
          <w:ilvl w:val="0"/>
          <w:numId w:val="0"/>
        </w:numPr>
        <w:spacing w:line="240" w:lineRule="auto"/>
        <w:ind w:left="731"/>
        <w:rPr>
          <w:sz w:val="22"/>
          <w:szCs w:val="22"/>
          <w:lang w:val="fr-FR"/>
        </w:rPr>
      </w:pPr>
      <w:r>
        <w:rPr>
          <w:sz w:val="22"/>
          <w:szCs w:val="22"/>
          <w:lang w:val="fr-FR"/>
        </w:rPr>
        <w:t>Parle de la sexualité de façon obsessive. Raconte des films qu’elle a vu chez elle, film érotique pour la plupart.</w:t>
      </w:r>
    </w:p>
    <w:p w14:paraId="4F55BDAE" w14:textId="77777777" w:rsidR="00DF4E65" w:rsidRPr="001E1594" w:rsidRDefault="00DF4E65" w:rsidP="001E1594">
      <w:pPr>
        <w:pStyle w:val="Paragrdouble"/>
        <w:numPr>
          <w:ilvl w:val="0"/>
          <w:numId w:val="0"/>
        </w:numPr>
        <w:spacing w:line="240" w:lineRule="auto"/>
        <w:ind w:left="731"/>
        <w:rPr>
          <w:sz w:val="22"/>
          <w:szCs w:val="22"/>
        </w:rPr>
      </w:pPr>
      <w:r>
        <w:rPr>
          <w:sz w:val="22"/>
          <w:szCs w:val="22"/>
          <w:lang w:val="fr-FR"/>
        </w:rPr>
        <w:t>(…)</w:t>
      </w:r>
    </w:p>
    <w:p w14:paraId="275A9BE5" w14:textId="77777777" w:rsidR="00DF4E65" w:rsidRDefault="00DF4E65" w:rsidP="001E1594">
      <w:pPr>
        <w:pStyle w:val="Paragrdouble"/>
        <w:numPr>
          <w:ilvl w:val="0"/>
          <w:numId w:val="0"/>
        </w:numPr>
        <w:spacing w:line="240" w:lineRule="auto"/>
        <w:ind w:left="731"/>
        <w:rPr>
          <w:sz w:val="22"/>
          <w:szCs w:val="22"/>
        </w:rPr>
      </w:pPr>
      <w:r w:rsidRPr="001E1594">
        <w:rPr>
          <w:sz w:val="22"/>
          <w:szCs w:val="22"/>
        </w:rPr>
        <w:t>Sexualise tout, le moindre mot, la moindre phrase, le moindre regard ou geste. Voit du sexe — comme elle dit — partout, même dans sa soupe. </w:t>
      </w:r>
    </w:p>
    <w:p w14:paraId="5A1B784E" w14:textId="77777777" w:rsidR="00DF4E65" w:rsidRPr="001E1594" w:rsidRDefault="00DF4E65" w:rsidP="001E1594">
      <w:pPr>
        <w:pStyle w:val="Paragrdouble"/>
        <w:numPr>
          <w:ilvl w:val="0"/>
          <w:numId w:val="0"/>
        </w:numPr>
        <w:spacing w:line="240" w:lineRule="auto"/>
        <w:ind w:left="731"/>
        <w:rPr>
          <w:sz w:val="22"/>
          <w:szCs w:val="22"/>
        </w:rPr>
      </w:pPr>
      <w:r>
        <w:rPr>
          <w:sz w:val="22"/>
          <w:szCs w:val="22"/>
        </w:rPr>
        <w:t>(…)</w:t>
      </w:r>
    </w:p>
    <w:p w14:paraId="6AE3398D" w14:textId="77777777" w:rsidR="00DF4E65" w:rsidRPr="001E1594" w:rsidRDefault="00DF4E65" w:rsidP="001E1594">
      <w:pPr>
        <w:pStyle w:val="Paragrdouble"/>
        <w:numPr>
          <w:ilvl w:val="0"/>
          <w:numId w:val="0"/>
        </w:numPr>
        <w:spacing w:line="240" w:lineRule="auto"/>
        <w:ind w:left="731"/>
        <w:rPr>
          <w:sz w:val="22"/>
          <w:szCs w:val="22"/>
        </w:rPr>
      </w:pPr>
      <w:r w:rsidRPr="001E1594">
        <w:rPr>
          <w:sz w:val="22"/>
          <w:szCs w:val="22"/>
        </w:rPr>
        <w:lastRenderedPageBreak/>
        <w:t>Passe son agressivité en provocant ses pairs par des gestes suggestifs ou bien des phrases ayant trait su sexe. </w:t>
      </w:r>
      <w:r w:rsidRPr="001E1594">
        <w:rPr>
          <w:sz w:val="22"/>
          <w:szCs w:val="22"/>
          <w:vertAlign w:val="superscript"/>
        </w:rPr>
        <w:footnoteReference w:id="40"/>
      </w:r>
    </w:p>
    <w:p w14:paraId="2A23C1AC" w14:textId="77777777" w:rsidR="00DF4E65" w:rsidRPr="008F35E9" w:rsidRDefault="00DF4E65" w:rsidP="00582B55">
      <w:pPr>
        <w:pStyle w:val="Paragrdouble"/>
        <w:spacing w:line="240" w:lineRule="auto"/>
      </w:pPr>
      <w:r w:rsidRPr="00CA4FF9">
        <w:rPr>
          <w:lang w:val="fr-FR"/>
        </w:rPr>
        <w:t xml:space="preserve">Lors d’une autre hospitalisation, cette fois en 1990, il est rapporté que J.C. a des idées suicidaires </w:t>
      </w:r>
      <w:r w:rsidRPr="008F35E9">
        <w:t xml:space="preserve">allant même jusqu’à remplir le formulaire </w:t>
      </w:r>
      <w:proofErr w:type="gramStart"/>
      <w:r w:rsidRPr="008F35E9">
        <w:t>de  </w:t>
      </w:r>
      <w:r w:rsidRPr="00AF3844">
        <w:rPr>
          <w:i/>
          <w:iCs/>
        </w:rPr>
        <w:t>décès</w:t>
      </w:r>
      <w:proofErr w:type="gramEnd"/>
      <w:r w:rsidRPr="00AF3844">
        <w:rPr>
          <w:i/>
          <w:iCs/>
        </w:rPr>
        <w:t xml:space="preserve"> de patient</w:t>
      </w:r>
      <w:r w:rsidRPr="008F35E9">
        <w:t>  et indiquant qu’elle allait se couper les veines</w:t>
      </w:r>
      <w:r w:rsidRPr="008F35E9">
        <w:rPr>
          <w:vertAlign w:val="superscript"/>
        </w:rPr>
        <w:footnoteReference w:id="41"/>
      </w:r>
      <w:r w:rsidRPr="008F35E9">
        <w:t>.</w:t>
      </w:r>
    </w:p>
    <w:p w14:paraId="38C9A93E" w14:textId="77777777" w:rsidR="00DF4E65" w:rsidRPr="008F35E9" w:rsidRDefault="00DF4E65" w:rsidP="008F35E9">
      <w:pPr>
        <w:pStyle w:val="Paragrdouble"/>
        <w:spacing w:line="240" w:lineRule="auto"/>
      </w:pPr>
      <w:r>
        <w:t>Le témoignage sincère de J.C. appuie toutes ces constatations. Elle se souvient s’être sentie seule et isolée à l’école, après s’être confiée à une camarade de classe relativement aux abus qu’elle vivait à la maison.</w:t>
      </w:r>
    </w:p>
    <w:p w14:paraId="2B6E8D7C" w14:textId="77777777" w:rsidR="00DF4E65" w:rsidRPr="008F35E9" w:rsidRDefault="00DF4E65" w:rsidP="007F4152">
      <w:pPr>
        <w:pStyle w:val="Paragrdouble"/>
        <w:spacing w:line="240" w:lineRule="auto"/>
      </w:pPr>
      <w:r>
        <w:t>M</w:t>
      </w:r>
      <w:r w:rsidRPr="008F35E9">
        <w:t xml:space="preserve">algré tout ce qu’elle a enduré durant cinq années de gestes incestueux, </w:t>
      </w:r>
      <w:r>
        <w:t xml:space="preserve">J.C. explique s’être longtemps </w:t>
      </w:r>
      <w:r w:rsidRPr="008F35E9">
        <w:t>sentie responsable de l’éclatement de la cellule familiale, due aux révélations des agression</w:t>
      </w:r>
      <w:r>
        <w:t>s.</w:t>
      </w:r>
    </w:p>
    <w:p w14:paraId="4B369F58" w14:textId="77777777" w:rsidR="00DF4E65" w:rsidRPr="008F35E9" w:rsidRDefault="00DF4E65" w:rsidP="008F35E9">
      <w:pPr>
        <w:pStyle w:val="Paragrdouble"/>
        <w:spacing w:line="240" w:lineRule="auto"/>
      </w:pPr>
      <w:r>
        <w:t xml:space="preserve">Elle relate avec détails les </w:t>
      </w:r>
      <w:r w:rsidRPr="008F35E9">
        <w:t>multiples formes que prennent les impacts des agressions sexuelles dans sa vie depuis sa majorité. Ceux-ci couvrent les aspects de sa santé psychologique et émotionnelle, ses relations interpersonnelles, sa sexualité, sa consommation de substances, sa santé physique, ainsi que ses études et son travail.</w:t>
      </w:r>
    </w:p>
    <w:p w14:paraId="098BCFE2" w14:textId="77777777" w:rsidR="00DF4E65" w:rsidRPr="00AF3844" w:rsidRDefault="00DF4E65" w:rsidP="008F35E9">
      <w:pPr>
        <w:pStyle w:val="Paragrdouble"/>
        <w:numPr>
          <w:ilvl w:val="0"/>
          <w:numId w:val="0"/>
        </w:numPr>
        <w:spacing w:line="240" w:lineRule="auto"/>
        <w:rPr>
          <w:i/>
        </w:rPr>
      </w:pPr>
      <w:r w:rsidRPr="001510D2">
        <w:rPr>
          <w:i/>
        </w:rPr>
        <w:t>Santé psychologique et émotionnelle</w:t>
      </w:r>
    </w:p>
    <w:p w14:paraId="53B2CD91" w14:textId="77777777" w:rsidR="00DF4E65" w:rsidRPr="008F35E9" w:rsidRDefault="00DF4E65" w:rsidP="008F35E9">
      <w:pPr>
        <w:pStyle w:val="Paragrdouble"/>
        <w:spacing w:line="240" w:lineRule="auto"/>
      </w:pPr>
      <w:r w:rsidRPr="008F35E9">
        <w:t>J.C. ressent beaucoup d’anxiété, se manifestant sous diverses formes.</w:t>
      </w:r>
      <w:r>
        <w:t xml:space="preserve"> </w:t>
      </w:r>
      <w:r w:rsidRPr="008F35E9">
        <w:t xml:space="preserve">Elle se sent envahie et </w:t>
      </w:r>
      <w:r>
        <w:t>a</w:t>
      </w:r>
      <w:r w:rsidRPr="008F35E9">
        <w:t xml:space="preserve"> recours à la médicamentation afin de pouvoir gérer ce sentiment ainsi que pour </w:t>
      </w:r>
      <w:r w:rsidRPr="00F2601F">
        <w:rPr>
          <w:i/>
          <w:iCs/>
        </w:rPr>
        <w:t>arrêter</w:t>
      </w:r>
      <w:r w:rsidRPr="008F35E9">
        <w:t xml:space="preserve"> sa</w:t>
      </w:r>
      <w:r w:rsidRPr="00AF3844">
        <w:rPr>
          <w:i/>
          <w:iCs/>
        </w:rPr>
        <w:t xml:space="preserve"> tête qui tourne</w:t>
      </w:r>
      <w:r w:rsidRPr="008F35E9">
        <w:t xml:space="preserve"> . L’anxiété l’a également amenée à s’automédicamenter par l’alcool, lui causant ainsi un trouble de consommation. </w:t>
      </w:r>
    </w:p>
    <w:p w14:paraId="0D8523EC" w14:textId="77777777" w:rsidR="00DF4E65" w:rsidRPr="008F35E9" w:rsidRDefault="00DF4E65" w:rsidP="008F35E9">
      <w:pPr>
        <w:pStyle w:val="Paragrdouble"/>
        <w:spacing w:line="240" w:lineRule="auto"/>
      </w:pPr>
      <w:r w:rsidRPr="008F35E9">
        <w:t xml:space="preserve">Son anxiété lui cause également de l’hypervigilance. </w:t>
      </w:r>
    </w:p>
    <w:p w14:paraId="47BFCBF5" w14:textId="77777777" w:rsidR="00DF4E65" w:rsidRPr="008F35E9" w:rsidRDefault="00DF4E65" w:rsidP="008F35E9">
      <w:pPr>
        <w:pStyle w:val="Paragrdouble"/>
        <w:spacing w:line="240" w:lineRule="auto"/>
      </w:pPr>
      <w:r w:rsidRPr="008F35E9">
        <w:t xml:space="preserve">J.C. </w:t>
      </w:r>
      <w:r>
        <w:t xml:space="preserve"> éprouve un</w:t>
      </w:r>
      <w:r w:rsidRPr="008F35E9">
        <w:t xml:space="preserve"> grand besoin de contrôle qui imprègne sa vie quotidienne. Elle ressent l’obligation d’avoir un carnet de notes à portée de main pour tout noter et tout se rappeler. Ce besoin de contrôle se répercute aussi dans sa vie professionnelle, où elle tente de restructurer les entreprises de ses employeurs sans en avoir l’autorisation. </w:t>
      </w:r>
    </w:p>
    <w:p w14:paraId="24004AD3" w14:textId="77777777" w:rsidR="00DF4E65" w:rsidRPr="008F35E9" w:rsidRDefault="00DF4E65" w:rsidP="001C479D">
      <w:pPr>
        <w:pStyle w:val="Paragrdouble"/>
        <w:spacing w:line="240" w:lineRule="auto"/>
      </w:pPr>
      <w:r>
        <w:rPr>
          <w:lang w:val="fr-FR"/>
        </w:rPr>
        <w:t xml:space="preserve"> E</w:t>
      </w:r>
      <w:r w:rsidRPr="008F35E9">
        <w:rPr>
          <w:lang w:val="fr-FR"/>
        </w:rPr>
        <w:t xml:space="preserve">lle </w:t>
      </w:r>
      <w:proofErr w:type="gramStart"/>
      <w:r>
        <w:rPr>
          <w:lang w:val="fr-FR"/>
        </w:rPr>
        <w:t>a</w:t>
      </w:r>
      <w:proofErr w:type="gramEnd"/>
      <w:r w:rsidRPr="008F35E9">
        <w:rPr>
          <w:lang w:val="fr-FR"/>
        </w:rPr>
        <w:t xml:space="preserve"> des difficultés avec l’autorité, ce qui a eu des répercussions sur ses différents emplois</w:t>
      </w:r>
      <w:r>
        <w:rPr>
          <w:lang w:val="fr-FR"/>
        </w:rPr>
        <w:t>.</w:t>
      </w:r>
      <w:r w:rsidRPr="008F35E9">
        <w:t xml:space="preserve"> </w:t>
      </w:r>
    </w:p>
    <w:p w14:paraId="3A434BCE" w14:textId="77777777" w:rsidR="00DF4E65" w:rsidRPr="008F35E9" w:rsidRDefault="00DF4E65" w:rsidP="008F35E9">
      <w:pPr>
        <w:pStyle w:val="Paragrdouble"/>
        <w:spacing w:line="240" w:lineRule="auto"/>
      </w:pPr>
      <w:r w:rsidRPr="008F35E9">
        <w:t xml:space="preserve">Elle </w:t>
      </w:r>
      <w:r>
        <w:t>éprouve</w:t>
      </w:r>
      <w:r w:rsidRPr="008F35E9">
        <w:t xml:space="preserve"> des souvenirs envahissants des agressions</w:t>
      </w:r>
      <w:r>
        <w:t>.</w:t>
      </w:r>
      <w:r w:rsidRPr="008F35E9">
        <w:t xml:space="preserve"> </w:t>
      </w:r>
      <w:r>
        <w:t xml:space="preserve"> Elle a</w:t>
      </w:r>
      <w:r w:rsidRPr="008F35E9">
        <w:t xml:space="preserve"> des flashs  apparaissant comme des images du divan sur lequel M.C.</w:t>
      </w:r>
      <w:r>
        <w:t xml:space="preserve"> l’agressait.</w:t>
      </w:r>
      <w:r w:rsidRPr="008F35E9">
        <w:t xml:space="preserve"> Parfois ce sont les dimensions des pièces de la maison où se sont déroulées les agressions, sa position face à la toilette où éjaculait M.C., de même que des odeurs et le goût du sperme de M.C.</w:t>
      </w:r>
    </w:p>
    <w:p w14:paraId="42BFFECB" w14:textId="77777777" w:rsidR="00DF4E65" w:rsidRPr="000B0C43" w:rsidRDefault="00DF4E65" w:rsidP="001E1326">
      <w:pPr>
        <w:pStyle w:val="Paragrdouble"/>
        <w:numPr>
          <w:ilvl w:val="0"/>
          <w:numId w:val="0"/>
        </w:numPr>
        <w:spacing w:line="240" w:lineRule="auto"/>
      </w:pPr>
      <w:r w:rsidRPr="00AF3844">
        <w:rPr>
          <w:i/>
        </w:rPr>
        <w:t>Santé physique</w:t>
      </w:r>
    </w:p>
    <w:p w14:paraId="5A9E8D3B" w14:textId="77777777" w:rsidR="00DF4E65" w:rsidRPr="008F35E9" w:rsidRDefault="00DF4E65" w:rsidP="001E1326">
      <w:pPr>
        <w:pStyle w:val="Paragrdouble"/>
        <w:spacing w:line="240" w:lineRule="auto"/>
      </w:pPr>
      <w:r w:rsidRPr="008F35E9">
        <w:lastRenderedPageBreak/>
        <w:t xml:space="preserve">J.C. </w:t>
      </w:r>
      <w:r>
        <w:t xml:space="preserve">souffre de la </w:t>
      </w:r>
      <w:r w:rsidRPr="008F35E9">
        <w:t xml:space="preserve">maladie de Crohn </w:t>
      </w:r>
      <w:r>
        <w:t xml:space="preserve">depuis le début de sa vie adulte. À cela s’ajoute un diagnostic </w:t>
      </w:r>
      <w:r w:rsidRPr="008F35E9">
        <w:t>d’arthrite rhumatoïde en 2017</w:t>
      </w:r>
      <w:r w:rsidRPr="008F35E9">
        <w:rPr>
          <w:vertAlign w:val="superscript"/>
        </w:rPr>
        <w:footnoteReference w:id="42"/>
      </w:r>
      <w:r w:rsidRPr="008F35E9">
        <w:t>.</w:t>
      </w:r>
    </w:p>
    <w:p w14:paraId="0F9D0852" w14:textId="77777777" w:rsidR="00DF4E65" w:rsidRPr="008F35E9" w:rsidRDefault="00DF4E65" w:rsidP="001E1326">
      <w:pPr>
        <w:pStyle w:val="Paragrdouble"/>
        <w:spacing w:line="240" w:lineRule="auto"/>
      </w:pPr>
      <w:r w:rsidRPr="008F35E9">
        <w:t xml:space="preserve">Elle </w:t>
      </w:r>
      <w:r>
        <w:t xml:space="preserve">a vécu </w:t>
      </w:r>
      <w:r w:rsidRPr="008F35E9">
        <w:t xml:space="preserve">deux paralysies de Bell, une première en 2006 et une seconde en 2007. Elle </w:t>
      </w:r>
      <w:r>
        <w:t>est</w:t>
      </w:r>
      <w:r w:rsidRPr="008F35E9">
        <w:t xml:space="preserve"> également atteinte de dermatites, et </w:t>
      </w:r>
      <w:r>
        <w:t>souffre</w:t>
      </w:r>
      <w:r w:rsidRPr="008F35E9">
        <w:t xml:space="preserve"> de bruxisme</w:t>
      </w:r>
      <w:r w:rsidRPr="008F35E9">
        <w:rPr>
          <w:vertAlign w:val="superscript"/>
        </w:rPr>
        <w:footnoteReference w:id="43"/>
      </w:r>
      <w:r w:rsidRPr="008F35E9">
        <w:t xml:space="preserve">. Elle </w:t>
      </w:r>
      <w:r>
        <w:t>a</w:t>
      </w:r>
      <w:r w:rsidRPr="008F35E9">
        <w:t xml:space="preserve"> un sommeil très perturbé, nécessitant de la médication</w:t>
      </w:r>
      <w:r>
        <w:t>.</w:t>
      </w:r>
      <w:r w:rsidRPr="008F35E9">
        <w:t xml:space="preserve"> Elle prend</w:t>
      </w:r>
      <w:r>
        <w:t xml:space="preserve"> également</w:t>
      </w:r>
      <w:r w:rsidRPr="008F35E9">
        <w:t xml:space="preserve"> plusieurs médicaments pour ses diverses conditions</w:t>
      </w:r>
      <w:r w:rsidRPr="008F35E9">
        <w:rPr>
          <w:vertAlign w:val="superscript"/>
        </w:rPr>
        <w:footnoteReference w:id="44"/>
      </w:r>
      <w:r w:rsidRPr="008F35E9">
        <w:t>.</w:t>
      </w:r>
    </w:p>
    <w:p w14:paraId="1654FD3F" w14:textId="77777777" w:rsidR="00DF4E65" w:rsidRPr="008671EE" w:rsidRDefault="00DF4E65" w:rsidP="008F35E9">
      <w:pPr>
        <w:pStyle w:val="Paragrdouble"/>
        <w:numPr>
          <w:ilvl w:val="0"/>
          <w:numId w:val="0"/>
        </w:numPr>
        <w:spacing w:line="240" w:lineRule="auto"/>
        <w:rPr>
          <w:i/>
        </w:rPr>
      </w:pPr>
      <w:r w:rsidRPr="001510D2">
        <w:rPr>
          <w:i/>
        </w:rPr>
        <w:t>Relations interpersonnelles</w:t>
      </w:r>
    </w:p>
    <w:p w14:paraId="558409FD" w14:textId="77777777" w:rsidR="00DF4E65" w:rsidRPr="008F35E9" w:rsidRDefault="00DF4E65" w:rsidP="00144607">
      <w:pPr>
        <w:pStyle w:val="Paragrdouble"/>
        <w:spacing w:line="240" w:lineRule="auto"/>
      </w:pPr>
      <w:r w:rsidRPr="008F35E9">
        <w:t xml:space="preserve">J.C. </w:t>
      </w:r>
      <w:r>
        <w:t xml:space="preserve">a de la </w:t>
      </w:r>
      <w:r w:rsidRPr="008F35E9">
        <w:t xml:space="preserve">difficile </w:t>
      </w:r>
      <w:r>
        <w:t>à</w:t>
      </w:r>
      <w:r w:rsidRPr="008F35E9">
        <w:t xml:space="preserve"> se lier d’amitié. Elle n’a en réalité qu’une seule vraie amie. Elle a par ailleurs de la difficulté à faire confiance aux autres</w:t>
      </w:r>
      <w:r>
        <w:t xml:space="preserve">, préfère </w:t>
      </w:r>
      <w:r w:rsidRPr="008F35E9">
        <w:t>se fier à elle-même.</w:t>
      </w:r>
    </w:p>
    <w:p w14:paraId="45802047" w14:textId="77777777" w:rsidR="00DF4E65" w:rsidRPr="008F35E9" w:rsidRDefault="00DF4E65" w:rsidP="008F35E9">
      <w:pPr>
        <w:pStyle w:val="Paragrdouble"/>
        <w:spacing w:line="240" w:lineRule="auto"/>
      </w:pPr>
      <w:r w:rsidRPr="008F35E9">
        <w:t>Elle</w:t>
      </w:r>
      <w:r>
        <w:t xml:space="preserve"> craint</w:t>
      </w:r>
      <w:r w:rsidRPr="008F35E9">
        <w:t xml:space="preserve"> l’intimité</w:t>
      </w:r>
      <w:r>
        <w:t xml:space="preserve"> et ajoute </w:t>
      </w:r>
      <w:r w:rsidRPr="008F35E9">
        <w:t>avoir été dans des relations abusives, dans lesquelles ses partenaires l’ont utilisée selon leurs propres envies, tout comme c’était le cas lors de son enfance.</w:t>
      </w:r>
    </w:p>
    <w:p w14:paraId="5F6316D0" w14:textId="77777777" w:rsidR="00DF4E65" w:rsidRPr="00E3057E" w:rsidRDefault="00DF4E65" w:rsidP="008F35E9">
      <w:pPr>
        <w:pStyle w:val="Paragrdouble"/>
        <w:numPr>
          <w:ilvl w:val="0"/>
          <w:numId w:val="0"/>
        </w:numPr>
        <w:spacing w:line="240" w:lineRule="auto"/>
      </w:pPr>
      <w:r w:rsidRPr="001510D2">
        <w:rPr>
          <w:i/>
        </w:rPr>
        <w:t>Sexualité</w:t>
      </w:r>
    </w:p>
    <w:p w14:paraId="776F0D4A" w14:textId="77777777" w:rsidR="00DF4E65" w:rsidRPr="008F35E9" w:rsidRDefault="00DF4E65" w:rsidP="008F35E9">
      <w:pPr>
        <w:pStyle w:val="Paragrdouble"/>
        <w:spacing w:line="240" w:lineRule="auto"/>
      </w:pPr>
      <w:r w:rsidRPr="008F35E9">
        <w:t>J.C. révèle avoir une aversion de la sexualité</w:t>
      </w:r>
      <w:r>
        <w:t xml:space="preserve"> et</w:t>
      </w:r>
      <w:r w:rsidRPr="008F35E9">
        <w:t xml:space="preserve"> n’aime pas être touchée. </w:t>
      </w:r>
    </w:p>
    <w:p w14:paraId="7A5DC704" w14:textId="77777777" w:rsidR="00DF4E65" w:rsidRPr="00FD29EC" w:rsidRDefault="00DF4E65" w:rsidP="008F35E9">
      <w:pPr>
        <w:pStyle w:val="Paragrdouble"/>
        <w:numPr>
          <w:ilvl w:val="0"/>
          <w:numId w:val="0"/>
        </w:numPr>
        <w:spacing w:line="240" w:lineRule="auto"/>
        <w:rPr>
          <w:i/>
        </w:rPr>
      </w:pPr>
      <w:r w:rsidRPr="00AF3844">
        <w:rPr>
          <w:i/>
        </w:rPr>
        <w:t>Études et travail</w:t>
      </w:r>
    </w:p>
    <w:p w14:paraId="7AA8DD76" w14:textId="77777777" w:rsidR="00DF4E65" w:rsidRPr="008F35E9" w:rsidRDefault="00DF4E65" w:rsidP="008F35E9">
      <w:pPr>
        <w:pStyle w:val="Paragrdouble"/>
        <w:spacing w:line="240" w:lineRule="auto"/>
      </w:pPr>
      <w:r w:rsidRPr="008F35E9">
        <w:t xml:space="preserve">J.C. explique que tout au long de son parcours scolaire, elle a eu de la difficulté à se concentrer, </w:t>
      </w:r>
      <w:r>
        <w:t>procrastinait souvent</w:t>
      </w:r>
      <w:r w:rsidRPr="008F35E9">
        <w:t xml:space="preserve">. </w:t>
      </w:r>
      <w:r>
        <w:t>À cet égard, elle précise qu’elle tente depuis 2011 de compléter un baccalauréat par correspondance</w:t>
      </w:r>
      <w:r w:rsidRPr="008F35E9">
        <w:t>.</w:t>
      </w:r>
    </w:p>
    <w:p w14:paraId="3B44DF32" w14:textId="77777777" w:rsidR="00DF4E65" w:rsidRPr="00030C88" w:rsidRDefault="00DF4E65" w:rsidP="008F35E9">
      <w:pPr>
        <w:pStyle w:val="Paragrdouble"/>
        <w:spacing w:line="240" w:lineRule="auto"/>
      </w:pPr>
      <w:r w:rsidRPr="008F35E9">
        <w:t>Elle exprime ne jamais avoir eu de trajectoire professionnelle</w:t>
      </w:r>
      <w:r>
        <w:t>. Elle va</w:t>
      </w:r>
      <w:r w:rsidRPr="008F35E9">
        <w:t xml:space="preserve"> là où un employeur </w:t>
      </w:r>
      <w:r>
        <w:t>peut</w:t>
      </w:r>
      <w:r w:rsidRPr="008F35E9">
        <w:t xml:space="preserve"> lui offrir un emploi, créant</w:t>
      </w:r>
      <w:r>
        <w:t xml:space="preserve"> du même coup</w:t>
      </w:r>
      <w:r w:rsidRPr="008F35E9">
        <w:t xml:space="preserve"> de l’instabilité. </w:t>
      </w:r>
      <w:r>
        <w:t>En raison de cette précarité,</w:t>
      </w:r>
      <w:r w:rsidRPr="008F35E9">
        <w:t xml:space="preserve"> elle a parfois dû avoir deux emplois pour y arriver</w:t>
      </w:r>
      <w:r>
        <w:t>.</w:t>
      </w:r>
    </w:p>
    <w:p w14:paraId="5C334738" w14:textId="77777777" w:rsidR="00DF4E65" w:rsidRDefault="00DF4E65" w:rsidP="008F35E9">
      <w:pPr>
        <w:pStyle w:val="Paragrdouble"/>
        <w:spacing w:line="240" w:lineRule="auto"/>
      </w:pPr>
      <w:r>
        <w:t>Au soutien de ses prétentions, J. C. produit différents rapports d’experts.</w:t>
      </w:r>
    </w:p>
    <w:p w14:paraId="3640292E" w14:textId="77777777" w:rsidR="00DF4E65" w:rsidRPr="00F67EFE" w:rsidRDefault="00DF4E65" w:rsidP="00DF4E65">
      <w:pPr>
        <w:pStyle w:val="Paragrdouble"/>
        <w:numPr>
          <w:ilvl w:val="0"/>
          <w:numId w:val="47"/>
        </w:numPr>
        <w:spacing w:line="240" w:lineRule="auto"/>
        <w:rPr>
          <w:i/>
          <w:iCs/>
        </w:rPr>
      </w:pPr>
      <w:r w:rsidRPr="00DB2014">
        <w:rPr>
          <w:lang w:val="fr-FR"/>
        </w:rPr>
        <w:t>Diagnostics</w:t>
      </w:r>
      <w:r w:rsidRPr="00F67EFE">
        <w:rPr>
          <w:i/>
          <w:iCs/>
        </w:rPr>
        <w:t xml:space="preserve"> de la Dre Marie-Hélène Saint-Hilaire</w:t>
      </w:r>
    </w:p>
    <w:p w14:paraId="56788A86" w14:textId="77777777" w:rsidR="00DF4E65" w:rsidRDefault="00DF4E65" w:rsidP="008F35E9">
      <w:pPr>
        <w:pStyle w:val="Paragrdouble"/>
        <w:spacing w:line="240" w:lineRule="auto"/>
      </w:pPr>
      <w:r>
        <w:t xml:space="preserve">La docteure Saint-Hilaire est reconnu par le Tribunal à titre d’experte psycho-légal. Celle-ci se spécialise notamment en psychophysiologie du trauma. </w:t>
      </w:r>
    </w:p>
    <w:p w14:paraId="69671516" w14:textId="77777777" w:rsidR="00DF4E65" w:rsidRPr="008F35E9" w:rsidRDefault="00DF4E65" w:rsidP="008F35E9">
      <w:pPr>
        <w:pStyle w:val="Paragrdouble"/>
        <w:spacing w:line="240" w:lineRule="auto"/>
      </w:pPr>
      <w:r>
        <w:t xml:space="preserve">La Dre Saint-Hilaire, en plus d’avoir pris connaissance de l’ensemble du dossier de J. C., l’a rencontrée à quatre occasions et lui a fait passer différents tests. </w:t>
      </w:r>
    </w:p>
    <w:p w14:paraId="32A0E81A" w14:textId="77777777" w:rsidR="00DF4E65" w:rsidRPr="008F35E9" w:rsidRDefault="00DF4E65" w:rsidP="00AA53D4">
      <w:pPr>
        <w:pStyle w:val="Paragrdouble"/>
        <w:spacing w:line="240" w:lineRule="auto"/>
      </w:pPr>
      <w:r w:rsidRPr="008F35E9">
        <w:lastRenderedPageBreak/>
        <w:t xml:space="preserve">En lien avec les faits rapportés par J.C. lors de ses rencontres, la Dre Saint-Hilaire précise dans son rapport d’expertise les diagnostics, séquelles et limitations qu’ont entraînées les agressions sexuelles perpétrées par M.C. envers J.C. : </w:t>
      </w:r>
    </w:p>
    <w:p w14:paraId="61F4F1A1" w14:textId="77777777" w:rsidR="00DF4E65" w:rsidRPr="008F35E9" w:rsidRDefault="00DF4E65" w:rsidP="00DF4E65">
      <w:pPr>
        <w:pStyle w:val="Paragrdouble"/>
        <w:numPr>
          <w:ilvl w:val="0"/>
          <w:numId w:val="40"/>
        </w:numPr>
        <w:spacing w:line="240" w:lineRule="auto"/>
        <w:rPr>
          <w:lang w:val="fr-FR"/>
        </w:rPr>
      </w:pPr>
      <w:r w:rsidRPr="008F35E9">
        <w:rPr>
          <w:lang w:val="fr-FR"/>
        </w:rPr>
        <w:t xml:space="preserve">Trouble de stress post-traumatique </w:t>
      </w:r>
      <w:r>
        <w:rPr>
          <w:lang w:val="fr-FR"/>
        </w:rPr>
        <w:t xml:space="preserve">(TSPT) </w:t>
      </w:r>
      <w:r w:rsidRPr="008F35E9">
        <w:rPr>
          <w:lang w:val="fr-FR"/>
        </w:rPr>
        <w:t>complexe avec comorbidités depuis l’âge de 5 ans</w:t>
      </w:r>
    </w:p>
    <w:p w14:paraId="0CE69292" w14:textId="77777777" w:rsidR="00DF4E65" w:rsidRPr="008F35E9" w:rsidRDefault="00DF4E65" w:rsidP="00DF4E65">
      <w:pPr>
        <w:pStyle w:val="Paragrdouble"/>
        <w:numPr>
          <w:ilvl w:val="0"/>
          <w:numId w:val="40"/>
        </w:numPr>
        <w:spacing w:line="240" w:lineRule="auto"/>
      </w:pPr>
      <w:r w:rsidRPr="008F35E9">
        <w:rPr>
          <w:lang w:val="fr-FR"/>
        </w:rPr>
        <w:t>Trouble de dépression majeure</w:t>
      </w:r>
    </w:p>
    <w:p w14:paraId="04919FCB" w14:textId="77777777" w:rsidR="00DF4E65" w:rsidRPr="008F35E9" w:rsidRDefault="00DF4E65" w:rsidP="00DF4E65">
      <w:pPr>
        <w:pStyle w:val="Paragrdouble"/>
        <w:numPr>
          <w:ilvl w:val="0"/>
          <w:numId w:val="40"/>
        </w:numPr>
        <w:spacing w:line="240" w:lineRule="auto"/>
        <w:rPr>
          <w:lang w:val="fr-FR"/>
        </w:rPr>
      </w:pPr>
      <w:r w:rsidRPr="008F35E9">
        <w:rPr>
          <w:lang w:val="fr-FR"/>
        </w:rPr>
        <w:t>Hypervigilance</w:t>
      </w:r>
    </w:p>
    <w:p w14:paraId="61ABDD6D" w14:textId="77777777" w:rsidR="00DF4E65" w:rsidRPr="008F35E9" w:rsidRDefault="00DF4E65" w:rsidP="00DF4E65">
      <w:pPr>
        <w:pStyle w:val="Paragrdouble"/>
        <w:numPr>
          <w:ilvl w:val="0"/>
          <w:numId w:val="40"/>
        </w:numPr>
        <w:spacing w:line="240" w:lineRule="auto"/>
        <w:rPr>
          <w:lang w:val="fr-FR"/>
        </w:rPr>
      </w:pPr>
      <w:r w:rsidRPr="008F35E9">
        <w:rPr>
          <w:lang w:val="fr-FR"/>
        </w:rPr>
        <w:t>Syndrome de Stockholm</w:t>
      </w:r>
    </w:p>
    <w:p w14:paraId="195A7EA9" w14:textId="77777777" w:rsidR="00DF4E65" w:rsidRPr="008F35E9" w:rsidRDefault="00DF4E65" w:rsidP="00DF4E65">
      <w:pPr>
        <w:pStyle w:val="Paragrdouble"/>
        <w:numPr>
          <w:ilvl w:val="0"/>
          <w:numId w:val="40"/>
        </w:numPr>
        <w:spacing w:line="240" w:lineRule="auto"/>
        <w:rPr>
          <w:lang w:val="fr-FR"/>
        </w:rPr>
      </w:pPr>
      <w:r w:rsidRPr="008F35E9">
        <w:rPr>
          <w:lang w:val="fr-FR"/>
        </w:rPr>
        <w:t>Une altération de sa capacité à faire confiance</w:t>
      </w:r>
    </w:p>
    <w:p w14:paraId="3FB9C7A0" w14:textId="77777777" w:rsidR="00DF4E65" w:rsidRPr="008F35E9" w:rsidRDefault="00DF4E65" w:rsidP="00DF4E65">
      <w:pPr>
        <w:pStyle w:val="Paragrdouble"/>
        <w:numPr>
          <w:ilvl w:val="0"/>
          <w:numId w:val="40"/>
        </w:numPr>
        <w:spacing w:line="240" w:lineRule="auto"/>
        <w:rPr>
          <w:lang w:val="fr-FR"/>
        </w:rPr>
      </w:pPr>
      <w:r w:rsidRPr="008F35E9">
        <w:rPr>
          <w:lang w:val="fr-FR"/>
        </w:rPr>
        <w:t>Reviviscences</w:t>
      </w:r>
    </w:p>
    <w:p w14:paraId="552C21BC" w14:textId="77777777" w:rsidR="00DF4E65" w:rsidRPr="008F35E9" w:rsidRDefault="00DF4E65" w:rsidP="00DF4E65">
      <w:pPr>
        <w:pStyle w:val="Paragrdouble"/>
        <w:numPr>
          <w:ilvl w:val="0"/>
          <w:numId w:val="40"/>
        </w:numPr>
        <w:spacing w:line="240" w:lineRule="auto"/>
        <w:rPr>
          <w:lang w:val="fr-FR"/>
        </w:rPr>
      </w:pPr>
      <w:r w:rsidRPr="008F35E9">
        <w:rPr>
          <w:lang w:val="fr-FR"/>
        </w:rPr>
        <w:t>Trouble de dissociation</w:t>
      </w:r>
    </w:p>
    <w:p w14:paraId="1917169F" w14:textId="77777777" w:rsidR="00DF4E65" w:rsidRPr="008F35E9" w:rsidRDefault="00DF4E65" w:rsidP="00DF4E65">
      <w:pPr>
        <w:pStyle w:val="Paragrdouble"/>
        <w:numPr>
          <w:ilvl w:val="0"/>
          <w:numId w:val="40"/>
        </w:numPr>
        <w:spacing w:line="240" w:lineRule="auto"/>
        <w:rPr>
          <w:lang w:val="fr-FR"/>
        </w:rPr>
      </w:pPr>
      <w:r w:rsidRPr="008F35E9">
        <w:rPr>
          <w:lang w:val="fr-FR"/>
        </w:rPr>
        <w:t>Des problèmes physiques conséquents au stress</w:t>
      </w:r>
    </w:p>
    <w:p w14:paraId="25CB85C4" w14:textId="77777777" w:rsidR="00DF4E65" w:rsidRDefault="00DF4E65" w:rsidP="00DF4E65">
      <w:pPr>
        <w:pStyle w:val="Paragrdouble"/>
        <w:numPr>
          <w:ilvl w:val="0"/>
          <w:numId w:val="40"/>
        </w:numPr>
        <w:spacing w:line="240" w:lineRule="auto"/>
        <w:rPr>
          <w:lang w:val="fr-FR"/>
        </w:rPr>
      </w:pPr>
      <w:r w:rsidRPr="008F35E9">
        <w:rPr>
          <w:lang w:val="fr-FR"/>
        </w:rPr>
        <w:t>Un déficit anatomophysiologique de 50 %</w:t>
      </w:r>
      <w:r w:rsidRPr="008F35E9">
        <w:rPr>
          <w:vertAlign w:val="superscript"/>
          <w:lang w:val="fr-FR"/>
        </w:rPr>
        <w:footnoteReference w:id="45"/>
      </w:r>
    </w:p>
    <w:p w14:paraId="0BD765EE" w14:textId="77777777" w:rsidR="00DF4E65" w:rsidRDefault="00DF4E65" w:rsidP="00AA53D4">
      <w:pPr>
        <w:pStyle w:val="Paragrdouble"/>
        <w:spacing w:line="240" w:lineRule="auto"/>
        <w:rPr>
          <w:lang w:val="fr-FR"/>
        </w:rPr>
      </w:pPr>
      <w:r>
        <w:rPr>
          <w:lang w:val="fr-FR"/>
        </w:rPr>
        <w:t>L’experte soutient que le TSPT complexe de J.C.  et les comorbidités qui en découlent sont directement causés par les agressions perpétrées par son père</w:t>
      </w:r>
      <w:r>
        <w:rPr>
          <w:rStyle w:val="Appelnotedebasdep"/>
          <w:lang w:val="fr-FR"/>
        </w:rPr>
        <w:footnoteReference w:id="46"/>
      </w:r>
      <w:r>
        <w:rPr>
          <w:lang w:val="fr-FR"/>
        </w:rPr>
        <w:t>.</w:t>
      </w:r>
    </w:p>
    <w:p w14:paraId="616E1800" w14:textId="77777777" w:rsidR="00DF4E65" w:rsidRDefault="00DF4E65" w:rsidP="00582B55">
      <w:pPr>
        <w:pStyle w:val="Paragrdouble"/>
        <w:spacing w:line="240" w:lineRule="auto"/>
        <w:rPr>
          <w:lang w:val="fr-FR"/>
        </w:rPr>
      </w:pPr>
      <w:r w:rsidRPr="00AC0DE2">
        <w:rPr>
          <w:lang w:val="fr-FR"/>
        </w:rPr>
        <w:t>Cette preuve n’est pas contredite et jouit d’une haute crédibilité aux vues des compétences de</w:t>
      </w:r>
      <w:r>
        <w:rPr>
          <w:lang w:val="fr-FR"/>
        </w:rPr>
        <w:t xml:space="preserve"> la Dre Saint-Hilaire</w:t>
      </w:r>
      <w:r w:rsidRPr="00AC0DE2">
        <w:rPr>
          <w:lang w:val="fr-FR"/>
        </w:rPr>
        <w:t>.</w:t>
      </w:r>
    </w:p>
    <w:p w14:paraId="579BAF36" w14:textId="77777777" w:rsidR="00DF4E65" w:rsidRPr="00F67EFE" w:rsidRDefault="00DF4E65" w:rsidP="00F67EFE">
      <w:pPr>
        <w:pStyle w:val="Paragrdouble"/>
        <w:numPr>
          <w:ilvl w:val="0"/>
          <w:numId w:val="0"/>
        </w:numPr>
        <w:spacing w:line="240" w:lineRule="auto"/>
        <w:rPr>
          <w:i/>
          <w:iCs/>
          <w:lang w:val="fr-FR"/>
        </w:rPr>
      </w:pPr>
      <w:r w:rsidRPr="00F67EFE">
        <w:rPr>
          <w:i/>
          <w:iCs/>
          <w:lang w:val="fr-FR"/>
        </w:rPr>
        <w:t>L’évaluation des dommages – Julien Perreault, actuaire</w:t>
      </w:r>
      <w:r>
        <w:rPr>
          <w:i/>
          <w:iCs/>
          <w:lang w:val="fr-FR"/>
        </w:rPr>
        <w:t xml:space="preserve"> et Linda Cameron, experte en employabilité</w:t>
      </w:r>
      <w:r w:rsidRPr="00F67EFE">
        <w:rPr>
          <w:i/>
          <w:iCs/>
          <w:lang w:val="fr-FR"/>
        </w:rPr>
        <w:t xml:space="preserve"> </w:t>
      </w:r>
    </w:p>
    <w:p w14:paraId="0A9D8416" w14:textId="77777777" w:rsidR="00DF4E65" w:rsidRDefault="00DF4E65" w:rsidP="00DF4E65">
      <w:pPr>
        <w:pStyle w:val="Paragrdouble"/>
        <w:numPr>
          <w:ilvl w:val="0"/>
          <w:numId w:val="47"/>
        </w:numPr>
        <w:spacing w:line="240" w:lineRule="auto"/>
        <w:rPr>
          <w:lang w:val="fr-FR"/>
        </w:rPr>
      </w:pPr>
      <w:r>
        <w:rPr>
          <w:lang w:val="fr-FR"/>
        </w:rPr>
        <w:t>Pertes de revenus passés</w:t>
      </w:r>
    </w:p>
    <w:p w14:paraId="57E0EED2" w14:textId="77777777" w:rsidR="00DF4E65" w:rsidRPr="00DE596A" w:rsidRDefault="00DF4E65" w:rsidP="00582B55">
      <w:pPr>
        <w:pStyle w:val="Paragrdouble"/>
        <w:autoSpaceDE w:val="0"/>
        <w:autoSpaceDN w:val="0"/>
        <w:adjustRightInd w:val="0"/>
        <w:spacing w:line="240" w:lineRule="auto"/>
        <w:rPr>
          <w:rFonts w:cs="Arial"/>
          <w:szCs w:val="24"/>
          <w:lang w:eastAsia="fr-CA"/>
        </w:rPr>
      </w:pPr>
      <w:r>
        <w:rPr>
          <w:rFonts w:cs="Arial"/>
          <w:szCs w:val="24"/>
          <w:lang w:val="fr-FR"/>
        </w:rPr>
        <w:t>M.</w:t>
      </w:r>
      <w:r w:rsidRPr="007F4152">
        <w:rPr>
          <w:rFonts w:cs="Arial"/>
          <w:szCs w:val="24"/>
          <w:lang w:val="fr-FR"/>
        </w:rPr>
        <w:t xml:space="preserve"> Julien Perreault</w:t>
      </w:r>
      <w:r>
        <w:rPr>
          <w:rFonts w:cs="Arial"/>
          <w:szCs w:val="24"/>
          <w:lang w:val="fr-FR"/>
        </w:rPr>
        <w:t>, expert en actuariat,</w:t>
      </w:r>
      <w:r w:rsidRPr="007F4152">
        <w:rPr>
          <w:rFonts w:cs="Arial"/>
          <w:szCs w:val="24"/>
          <w:lang w:val="fr-FR"/>
        </w:rPr>
        <w:t xml:space="preserve"> évalue la perte de revenus passés à 809 423$</w:t>
      </w:r>
      <w:r>
        <w:rPr>
          <w:rStyle w:val="Appelnotedebasdep"/>
          <w:rFonts w:cs="Arial"/>
          <w:szCs w:val="24"/>
          <w:lang w:val="fr-FR"/>
        </w:rPr>
        <w:footnoteReference w:id="47"/>
      </w:r>
      <w:r w:rsidRPr="007F4152">
        <w:rPr>
          <w:rFonts w:cs="Arial"/>
          <w:szCs w:val="24"/>
          <w:lang w:val="fr-FR"/>
        </w:rPr>
        <w:t xml:space="preserve">. </w:t>
      </w:r>
      <w:r>
        <w:rPr>
          <w:rFonts w:cs="Arial"/>
          <w:szCs w:val="24"/>
          <w:lang w:val="fr-FR"/>
        </w:rPr>
        <w:t xml:space="preserve">Le calcul des revenus passés s’évalue en tenant compte des revenus </w:t>
      </w:r>
      <w:r>
        <w:rPr>
          <w:rFonts w:cs="Arial"/>
          <w:szCs w:val="24"/>
          <w:lang w:val="fr-FR"/>
        </w:rPr>
        <w:lastRenderedPageBreak/>
        <w:t>potentiels auxquels on déduit les revenus résiduels. Une fois ce chiffre établi, l’expert y applique un facteur d’actualisation</w:t>
      </w:r>
      <w:r>
        <w:rPr>
          <w:rStyle w:val="Appelnotedebasdep"/>
          <w:rFonts w:cs="Arial"/>
          <w:szCs w:val="24"/>
          <w:lang w:val="fr-FR"/>
        </w:rPr>
        <w:footnoteReference w:id="48"/>
      </w:r>
      <w:r>
        <w:rPr>
          <w:rFonts w:cs="Arial"/>
          <w:szCs w:val="24"/>
          <w:lang w:val="fr-FR"/>
        </w:rPr>
        <w:t>.</w:t>
      </w:r>
    </w:p>
    <w:p w14:paraId="6B36DC48" w14:textId="77777777" w:rsidR="00DF4E65" w:rsidRPr="007F4152" w:rsidRDefault="00DF4E65" w:rsidP="00582B55">
      <w:pPr>
        <w:pStyle w:val="Paragrdouble"/>
        <w:autoSpaceDE w:val="0"/>
        <w:autoSpaceDN w:val="0"/>
        <w:adjustRightInd w:val="0"/>
        <w:spacing w:line="240" w:lineRule="auto"/>
        <w:rPr>
          <w:rFonts w:cs="Arial"/>
          <w:szCs w:val="24"/>
          <w:lang w:eastAsia="fr-CA"/>
        </w:rPr>
      </w:pPr>
      <w:r w:rsidRPr="007F4152">
        <w:rPr>
          <w:rFonts w:cs="Arial"/>
          <w:szCs w:val="24"/>
          <w:lang w:val="fr-FR"/>
        </w:rPr>
        <w:t xml:space="preserve">Cette preuve non-contredite </w:t>
      </w:r>
      <w:r>
        <w:rPr>
          <w:rFonts w:cs="Arial"/>
          <w:szCs w:val="24"/>
          <w:lang w:val="fr-FR"/>
        </w:rPr>
        <w:t xml:space="preserve">de l’actuaire </w:t>
      </w:r>
      <w:r w:rsidRPr="007F4152">
        <w:rPr>
          <w:rFonts w:cs="Arial"/>
          <w:szCs w:val="24"/>
          <w:lang w:val="fr-FR"/>
        </w:rPr>
        <w:t xml:space="preserve">s’appuie </w:t>
      </w:r>
      <w:r>
        <w:rPr>
          <w:rFonts w:cs="Arial"/>
          <w:szCs w:val="24"/>
          <w:lang w:val="fr-FR"/>
        </w:rPr>
        <w:t xml:space="preserve">notamment </w:t>
      </w:r>
      <w:r w:rsidRPr="007F4152">
        <w:rPr>
          <w:rFonts w:cs="Arial"/>
          <w:szCs w:val="24"/>
          <w:lang w:val="fr-FR"/>
        </w:rPr>
        <w:t xml:space="preserve">sur le </w:t>
      </w:r>
      <w:r w:rsidRPr="007F4152">
        <w:rPr>
          <w:rFonts w:cs="Arial"/>
          <w:szCs w:val="24"/>
          <w:lang w:eastAsia="fr-CA"/>
        </w:rPr>
        <w:t xml:space="preserve">rapport en employabilité de l’experte </w:t>
      </w:r>
      <w:r>
        <w:rPr>
          <w:rFonts w:cs="Arial"/>
          <w:szCs w:val="24"/>
          <w:lang w:eastAsia="fr-CA"/>
        </w:rPr>
        <w:t xml:space="preserve">Mme </w:t>
      </w:r>
      <w:r w:rsidRPr="007F4152">
        <w:rPr>
          <w:rFonts w:cs="Arial"/>
          <w:szCs w:val="24"/>
          <w:lang w:eastAsia="fr-CA"/>
        </w:rPr>
        <w:t>Linda Cameron</w:t>
      </w:r>
      <w:r>
        <w:rPr>
          <w:rStyle w:val="Appelnotedebasdep"/>
          <w:rFonts w:cs="Arial"/>
          <w:szCs w:val="24"/>
          <w:lang w:eastAsia="fr-CA"/>
        </w:rPr>
        <w:footnoteReference w:id="49"/>
      </w:r>
      <w:r w:rsidRPr="007F4152">
        <w:rPr>
          <w:rFonts w:cs="Arial"/>
          <w:szCs w:val="24"/>
          <w:lang w:eastAsia="fr-CA"/>
        </w:rPr>
        <w:t>. Ce rapport présente plusieurs emplois potentiels que J.C. aurait pu occuper n’eut été les évènements en litige</w:t>
      </w:r>
      <w:r>
        <w:rPr>
          <w:rFonts w:cs="Arial"/>
          <w:szCs w:val="24"/>
          <w:lang w:eastAsia="fr-CA"/>
        </w:rPr>
        <w:t xml:space="preserve">. Dans le cadre de son rapport, </w:t>
      </w:r>
      <w:r w:rsidRPr="007F4152">
        <w:rPr>
          <w:rFonts w:cs="Arial"/>
          <w:szCs w:val="24"/>
          <w:lang w:eastAsia="fr-CA"/>
        </w:rPr>
        <w:t xml:space="preserve">Mme Cameron </w:t>
      </w:r>
      <w:r>
        <w:rPr>
          <w:rFonts w:cs="Arial"/>
          <w:szCs w:val="24"/>
          <w:lang w:eastAsia="fr-CA"/>
        </w:rPr>
        <w:t>détermine</w:t>
      </w:r>
      <w:r w:rsidRPr="007F4152">
        <w:rPr>
          <w:rFonts w:cs="Arial"/>
          <w:szCs w:val="24"/>
          <w:lang w:eastAsia="fr-CA"/>
        </w:rPr>
        <w:t xml:space="preserve"> une moyenne statistique de 103 000 $ de revenu annuel (en dollars de l’année 2024).</w:t>
      </w:r>
    </w:p>
    <w:p w14:paraId="32ADA8DF" w14:textId="77777777" w:rsidR="00DF4E65" w:rsidRPr="007F4152" w:rsidRDefault="00DF4E65" w:rsidP="00582B55">
      <w:pPr>
        <w:pStyle w:val="Paragrdouble"/>
        <w:autoSpaceDE w:val="0"/>
        <w:autoSpaceDN w:val="0"/>
        <w:adjustRightInd w:val="0"/>
        <w:spacing w:line="240" w:lineRule="auto"/>
        <w:rPr>
          <w:rFonts w:cs="Arial"/>
          <w:szCs w:val="24"/>
          <w:lang w:val="fr-FR"/>
        </w:rPr>
      </w:pPr>
      <w:r w:rsidRPr="007F4152">
        <w:rPr>
          <w:rFonts w:cs="Arial"/>
          <w:szCs w:val="24"/>
          <w:lang w:eastAsia="fr-CA"/>
        </w:rPr>
        <w:t>Ainsi, à la lumière de ce rapport, l’expert Perreault retient un salaire de 103 000 $ qui serait, selon lui, le salaire gagné à 45 ans lorsque la carrière d’un individu est à maturité. Les revenus qui sont gagnés à des âges inférieurs ou supérieurs à ce point pivot sont affectés par l’acquisition d’expérience et l’effet promotionnel. Afin de refléter cet effet, il prend en considération les statistiques</w:t>
      </w:r>
      <w:r>
        <w:rPr>
          <w:rFonts w:cs="Arial"/>
          <w:szCs w:val="24"/>
          <w:lang w:eastAsia="fr-CA"/>
        </w:rPr>
        <w:t xml:space="preserve"> </w:t>
      </w:r>
      <w:r w:rsidRPr="007F4152">
        <w:rPr>
          <w:rFonts w:cs="Arial"/>
          <w:szCs w:val="24"/>
          <w:lang w:eastAsia="fr-CA"/>
        </w:rPr>
        <w:t xml:space="preserve">salariales provenant de l’enquête salariale de Statistique Canada. </w:t>
      </w:r>
    </w:p>
    <w:p w14:paraId="4B345072" w14:textId="77777777" w:rsidR="00DF4E65" w:rsidRPr="007F4152" w:rsidRDefault="00DF4E65" w:rsidP="00DF4E65">
      <w:pPr>
        <w:pStyle w:val="Paragrdouble"/>
        <w:numPr>
          <w:ilvl w:val="0"/>
          <w:numId w:val="47"/>
        </w:numPr>
        <w:autoSpaceDE w:val="0"/>
        <w:autoSpaceDN w:val="0"/>
        <w:adjustRightInd w:val="0"/>
        <w:spacing w:line="240" w:lineRule="auto"/>
        <w:rPr>
          <w:rFonts w:cs="Arial"/>
          <w:szCs w:val="24"/>
          <w:lang w:val="fr-FR"/>
        </w:rPr>
      </w:pPr>
      <w:r>
        <w:rPr>
          <w:rFonts w:cs="Arial"/>
          <w:szCs w:val="24"/>
          <w:lang w:val="fr-FR"/>
        </w:rPr>
        <w:t>Pertes de revenus futurs</w:t>
      </w:r>
    </w:p>
    <w:p w14:paraId="30FF12A9" w14:textId="77777777" w:rsidR="00DF4E65" w:rsidRDefault="00DF4E65" w:rsidP="00AA53D4">
      <w:pPr>
        <w:pStyle w:val="Paragrdouble"/>
        <w:spacing w:line="240" w:lineRule="auto"/>
        <w:rPr>
          <w:lang w:val="fr-FR"/>
        </w:rPr>
      </w:pPr>
      <w:r w:rsidRPr="00AA53D4">
        <w:rPr>
          <w:lang w:val="fr-FR"/>
        </w:rPr>
        <w:t>En ce qui a trait à la perte future de revenu</w:t>
      </w:r>
      <w:r>
        <w:rPr>
          <w:lang w:val="fr-FR"/>
        </w:rPr>
        <w:t>s</w:t>
      </w:r>
      <w:r w:rsidRPr="00AA53D4">
        <w:rPr>
          <w:lang w:val="fr-FR"/>
        </w:rPr>
        <w:t xml:space="preserve">, l’éclairage apporté par </w:t>
      </w:r>
      <w:r>
        <w:rPr>
          <w:lang w:val="fr-FR"/>
        </w:rPr>
        <w:t xml:space="preserve">la </w:t>
      </w:r>
      <w:r w:rsidRPr="00AA53D4">
        <w:rPr>
          <w:lang w:val="fr-FR"/>
        </w:rPr>
        <w:t>Dre Marie-Hélène Saint-Hilaire permet d’inférer la probabilité que J.C.</w:t>
      </w:r>
      <w:r>
        <w:rPr>
          <w:lang w:val="fr-FR"/>
        </w:rPr>
        <w:t xml:space="preserve"> puisse </w:t>
      </w:r>
      <w:r w:rsidRPr="00AA53D4">
        <w:rPr>
          <w:lang w:val="fr-FR"/>
        </w:rPr>
        <w:t>occupe</w:t>
      </w:r>
      <w:r>
        <w:rPr>
          <w:lang w:val="fr-FR"/>
        </w:rPr>
        <w:t>r</w:t>
      </w:r>
      <w:r w:rsidRPr="00AA53D4">
        <w:rPr>
          <w:lang w:val="fr-FR"/>
        </w:rPr>
        <w:t xml:space="preserve"> un emploi à mi-temps pour le restant de sa vie. </w:t>
      </w:r>
    </w:p>
    <w:p w14:paraId="447BB0CA" w14:textId="77777777" w:rsidR="00DF4E65" w:rsidRPr="00F15BD1" w:rsidRDefault="00DF4E65" w:rsidP="00582B55">
      <w:pPr>
        <w:pStyle w:val="Paragrdouble"/>
        <w:autoSpaceDE w:val="0"/>
        <w:autoSpaceDN w:val="0"/>
        <w:adjustRightInd w:val="0"/>
        <w:spacing w:line="240" w:lineRule="auto"/>
        <w:rPr>
          <w:rFonts w:cs="Arial"/>
          <w:szCs w:val="24"/>
          <w:lang w:val="fr-FR"/>
        </w:rPr>
      </w:pPr>
      <w:r w:rsidRPr="007F4152">
        <w:rPr>
          <w:rFonts w:cs="Arial"/>
          <w:szCs w:val="24"/>
          <w:lang w:eastAsia="fr-CA"/>
        </w:rPr>
        <w:t xml:space="preserve">Pour évaluer la perte de revenus futurs, l’expert Perreault </w:t>
      </w:r>
      <w:r>
        <w:rPr>
          <w:rFonts w:cs="Arial"/>
          <w:szCs w:val="24"/>
          <w:lang w:eastAsia="fr-CA"/>
        </w:rPr>
        <w:t xml:space="preserve">note que </w:t>
      </w:r>
      <w:r w:rsidRPr="007F4152">
        <w:rPr>
          <w:rFonts w:cs="Arial"/>
          <w:szCs w:val="24"/>
          <w:lang w:eastAsia="fr-CA"/>
        </w:rPr>
        <w:t>l’expert</w:t>
      </w:r>
      <w:r>
        <w:rPr>
          <w:rFonts w:cs="Arial"/>
          <w:szCs w:val="24"/>
          <w:lang w:eastAsia="fr-CA"/>
        </w:rPr>
        <w:t>e</w:t>
      </w:r>
      <w:r w:rsidRPr="007F4152">
        <w:rPr>
          <w:rFonts w:cs="Arial"/>
          <w:szCs w:val="24"/>
          <w:lang w:eastAsia="fr-CA"/>
        </w:rPr>
        <w:t xml:space="preserve"> Cameron répertorie plusieurs emplois que J.C. pourrait occuper tenant compte des séquelles psychologiques découlant des agressions sexuelles. Cet exercice</w:t>
      </w:r>
      <w:r>
        <w:rPr>
          <w:rFonts w:cs="Arial"/>
          <w:szCs w:val="24"/>
          <w:lang w:eastAsia="fr-CA"/>
        </w:rPr>
        <w:t xml:space="preserve"> permet de déterminer</w:t>
      </w:r>
      <w:r w:rsidRPr="007F4152">
        <w:rPr>
          <w:rFonts w:cs="Arial"/>
          <w:szCs w:val="24"/>
          <w:lang w:eastAsia="fr-CA"/>
        </w:rPr>
        <w:t xml:space="preserve"> un revenu d’emploi résiduel de 50 000 $ (en</w:t>
      </w:r>
      <w:r>
        <w:rPr>
          <w:rFonts w:cs="Arial"/>
          <w:szCs w:val="24"/>
          <w:lang w:eastAsia="fr-CA"/>
        </w:rPr>
        <w:t xml:space="preserve"> </w:t>
      </w:r>
      <w:r w:rsidRPr="007F4152">
        <w:rPr>
          <w:rFonts w:cs="Arial"/>
          <w:szCs w:val="24"/>
          <w:lang w:eastAsia="fr-CA"/>
        </w:rPr>
        <w:t>dollars de l’année 2024).</w:t>
      </w:r>
      <w:r>
        <w:rPr>
          <w:rFonts w:cs="Arial"/>
          <w:szCs w:val="24"/>
          <w:lang w:eastAsia="fr-CA"/>
        </w:rPr>
        <w:t xml:space="preserve"> </w:t>
      </w:r>
      <w:r w:rsidRPr="007F4152">
        <w:rPr>
          <w:rFonts w:cs="Arial"/>
          <w:szCs w:val="24"/>
          <w:lang w:eastAsia="fr-CA"/>
        </w:rPr>
        <w:t>En outre, en se fondant sur sa propre expertise et sur celle de la Dre St-Hilaire, il conclut que J.C. pourra travailler à mi-temp</w:t>
      </w:r>
      <w:r>
        <w:rPr>
          <w:rFonts w:cs="Arial"/>
          <w:szCs w:val="24"/>
          <w:lang w:eastAsia="fr-CA"/>
        </w:rPr>
        <w:t>s</w:t>
      </w:r>
      <w:r w:rsidRPr="007F4152">
        <w:rPr>
          <w:rFonts w:cs="Arial"/>
          <w:szCs w:val="24"/>
          <w:lang w:eastAsia="fr-CA"/>
        </w:rPr>
        <w:t xml:space="preserve"> jusqu’à la retraite.</w:t>
      </w:r>
    </w:p>
    <w:p w14:paraId="583A1597" w14:textId="77777777" w:rsidR="00DF4E65" w:rsidRPr="00F15BD1" w:rsidRDefault="00DF4E65" w:rsidP="00582B55">
      <w:pPr>
        <w:pStyle w:val="Paragrdouble"/>
        <w:autoSpaceDE w:val="0"/>
        <w:autoSpaceDN w:val="0"/>
        <w:adjustRightInd w:val="0"/>
        <w:spacing w:line="240" w:lineRule="auto"/>
        <w:rPr>
          <w:rFonts w:cs="Arial"/>
          <w:szCs w:val="24"/>
          <w:lang w:val="fr-FR"/>
        </w:rPr>
      </w:pPr>
      <w:r>
        <w:rPr>
          <w:rFonts w:cs="Arial"/>
          <w:szCs w:val="24"/>
          <w:lang w:eastAsia="fr-CA"/>
        </w:rPr>
        <w:t>En utilisant ces paramètres, l’expert Perreault évalue la perte de revenus futurs à 1 208 143$.</w:t>
      </w:r>
    </w:p>
    <w:p w14:paraId="475B2463" w14:textId="77777777" w:rsidR="00DF4E65" w:rsidRPr="00BD3BEE" w:rsidRDefault="00DF4E65" w:rsidP="00582B55">
      <w:pPr>
        <w:pStyle w:val="Paragrdouble"/>
        <w:autoSpaceDE w:val="0"/>
        <w:autoSpaceDN w:val="0"/>
        <w:adjustRightInd w:val="0"/>
        <w:spacing w:line="240" w:lineRule="auto"/>
        <w:rPr>
          <w:rFonts w:cs="Arial"/>
          <w:szCs w:val="24"/>
          <w:lang w:val="fr-FR"/>
        </w:rPr>
      </w:pPr>
      <w:r>
        <w:rPr>
          <w:rFonts w:cs="Arial"/>
          <w:szCs w:val="24"/>
          <w:lang w:eastAsia="fr-CA"/>
        </w:rPr>
        <w:t>Cette preuve n’est pas contredite.</w:t>
      </w:r>
    </w:p>
    <w:p w14:paraId="0E8FBE56" w14:textId="77777777" w:rsidR="00DF4E65" w:rsidRPr="00BD3BEE" w:rsidRDefault="00DF4E65" w:rsidP="00BD3BEE">
      <w:pPr>
        <w:pStyle w:val="Paragrdouble"/>
        <w:spacing w:line="240" w:lineRule="auto"/>
        <w:rPr>
          <w:rFonts w:cs="Arial"/>
          <w:szCs w:val="24"/>
          <w:lang w:val="fr-FR"/>
        </w:rPr>
      </w:pPr>
      <w:r w:rsidRPr="00BD3BEE">
        <w:rPr>
          <w:rFonts w:cs="Arial"/>
          <w:szCs w:val="24"/>
          <w:lang w:val="fr-FR"/>
        </w:rPr>
        <w:t xml:space="preserve">Par ailleurs, J.C. ayant cessé de recevoir de l’aide financière pour pallier une perte de revenu, il n’y a pas à craindre qu’elle bénéficie d’une double indemnisation. Les sommes réclamées sous ce chef ne font pas double emploi avec des prestations accordées en vertu de la LAPVIC. </w:t>
      </w:r>
    </w:p>
    <w:p w14:paraId="3B85B0F3" w14:textId="77777777" w:rsidR="00DF4E65" w:rsidRPr="007F4152" w:rsidRDefault="00DF4E65" w:rsidP="00DF4E65">
      <w:pPr>
        <w:pStyle w:val="Paragrdouble"/>
        <w:numPr>
          <w:ilvl w:val="0"/>
          <w:numId w:val="47"/>
        </w:numPr>
        <w:autoSpaceDE w:val="0"/>
        <w:autoSpaceDN w:val="0"/>
        <w:adjustRightInd w:val="0"/>
        <w:spacing w:line="240" w:lineRule="auto"/>
        <w:rPr>
          <w:rFonts w:cs="Arial"/>
          <w:szCs w:val="24"/>
          <w:lang w:val="fr-FR"/>
        </w:rPr>
      </w:pPr>
      <w:r>
        <w:rPr>
          <w:rFonts w:cs="Arial"/>
          <w:szCs w:val="24"/>
          <w:lang w:val="fr-FR"/>
        </w:rPr>
        <w:t>Biens et services futurs</w:t>
      </w:r>
    </w:p>
    <w:p w14:paraId="12E22D9A" w14:textId="77777777" w:rsidR="00DF4E65" w:rsidRDefault="00DF4E65" w:rsidP="00AA53D4">
      <w:pPr>
        <w:pStyle w:val="Paragrdouble"/>
        <w:spacing w:line="240" w:lineRule="auto"/>
        <w:rPr>
          <w:lang w:val="fr-FR"/>
        </w:rPr>
      </w:pPr>
      <w:r w:rsidRPr="00AA53D4">
        <w:rPr>
          <w:lang w:val="fr-FR"/>
        </w:rPr>
        <w:t xml:space="preserve">En ce qui a trait aux biens et services futurs, les frais de ceux-ci peuvent être accordés sur la foi d’une preuve testimoniale, dans la mesure où ceux-ci sont </w:t>
      </w:r>
      <w:r w:rsidRPr="00AA53D4">
        <w:rPr>
          <w:lang w:val="fr-FR"/>
        </w:rPr>
        <w:lastRenderedPageBreak/>
        <w:t>raisonnables et liés à des besoins de la personne victime relativement à sa condition, la certitude relative de la probabilité est d</w:t>
      </w:r>
      <w:r>
        <w:rPr>
          <w:lang w:val="fr-FR"/>
        </w:rPr>
        <w:t>û</w:t>
      </w:r>
      <w:r w:rsidRPr="00AA53D4">
        <w:rPr>
          <w:lang w:val="fr-FR"/>
        </w:rPr>
        <w:t>ment remplie quant aux paramètres devant être utilisés quant aux calculs actuariels.</w:t>
      </w:r>
    </w:p>
    <w:p w14:paraId="09FC1FD3" w14:textId="77777777" w:rsidR="00DF4E65" w:rsidRPr="00BD3BEE" w:rsidRDefault="00DF4E65" w:rsidP="00BD3BEE">
      <w:pPr>
        <w:pStyle w:val="Paragrdouble"/>
        <w:spacing w:line="240" w:lineRule="auto"/>
        <w:rPr>
          <w:rFonts w:cs="Arial"/>
          <w:szCs w:val="24"/>
          <w:lang w:eastAsia="fr-CA"/>
        </w:rPr>
      </w:pPr>
      <w:r w:rsidRPr="00F15BD1">
        <w:rPr>
          <w:rFonts w:cs="Arial"/>
          <w:szCs w:val="24"/>
          <w:lang w:eastAsia="fr-CA"/>
        </w:rPr>
        <w:t xml:space="preserve">Les biens et services supplémentaires constituent des dépenses additionnelles qui découlent de l’incident survenu. </w:t>
      </w:r>
      <w:r w:rsidRPr="00BD3BEE">
        <w:rPr>
          <w:rFonts w:cs="Arial"/>
          <w:szCs w:val="24"/>
          <w:lang w:eastAsia="fr-CA"/>
        </w:rPr>
        <w:t>Le tableau amendé préparé par l’expert Perreault</w:t>
      </w:r>
      <w:r>
        <w:rPr>
          <w:rFonts w:cs="Arial"/>
          <w:szCs w:val="24"/>
          <w:lang w:eastAsia="fr-CA"/>
        </w:rPr>
        <w:t>,</w:t>
      </w:r>
      <w:r w:rsidRPr="00BD3BEE">
        <w:rPr>
          <w:rFonts w:cs="Arial"/>
          <w:szCs w:val="24"/>
          <w:lang w:eastAsia="fr-CA"/>
        </w:rPr>
        <w:t xml:space="preserve"> présente sommairement les méthodes utilisées pour établir la valeur actualisée de ces dépenses futures et tient compte des indemnités qui continueront à être versées par l’IVAC tant que les biens et services seront requis et justifiés par les traitants afin d’éviter le cumul des indemnisations</w:t>
      </w:r>
      <w:r>
        <w:rPr>
          <w:rStyle w:val="Appelnotedebasdep"/>
          <w:rFonts w:cs="Arial"/>
          <w:szCs w:val="24"/>
          <w:lang w:eastAsia="fr-CA"/>
        </w:rPr>
        <w:footnoteReference w:id="50"/>
      </w:r>
      <w:r w:rsidRPr="00BD3BEE">
        <w:rPr>
          <w:rFonts w:cs="Arial"/>
          <w:szCs w:val="24"/>
          <w:lang w:eastAsia="fr-CA"/>
        </w:rPr>
        <w:t>.</w:t>
      </w:r>
    </w:p>
    <w:p w14:paraId="285DA1F1" w14:textId="77777777" w:rsidR="00DF4E65" w:rsidRDefault="00DF4E65" w:rsidP="00F15BD1">
      <w:pPr>
        <w:pStyle w:val="Paragrdouble"/>
        <w:spacing w:line="240" w:lineRule="auto"/>
        <w:rPr>
          <w:lang w:val="fr-FR"/>
        </w:rPr>
      </w:pPr>
      <w:r>
        <w:rPr>
          <w:lang w:val="fr-FR"/>
        </w:rPr>
        <w:t>L’expert s’appuie sur les recommandations de la Dre St-Hilaire pour évaluer les biens et les services supplémentaires. Il effectue ce calcul en date du 1</w:t>
      </w:r>
      <w:r w:rsidRPr="00C542BD">
        <w:rPr>
          <w:vertAlign w:val="superscript"/>
          <w:lang w:val="fr-FR"/>
        </w:rPr>
        <w:t>er</w:t>
      </w:r>
      <w:r>
        <w:rPr>
          <w:lang w:val="fr-FR"/>
        </w:rPr>
        <w:t xml:space="preserve"> janvier 2024 et arrive à un montant de 29 089$.</w:t>
      </w:r>
    </w:p>
    <w:p w14:paraId="2B1A6E8C" w14:textId="77777777" w:rsidR="00DF4E65" w:rsidRDefault="00DF4E65" w:rsidP="00DF4E65">
      <w:pPr>
        <w:pStyle w:val="Paragrdouble"/>
        <w:numPr>
          <w:ilvl w:val="0"/>
          <w:numId w:val="47"/>
        </w:numPr>
        <w:spacing w:line="240" w:lineRule="auto"/>
        <w:rPr>
          <w:lang w:val="fr-FR"/>
        </w:rPr>
      </w:pPr>
      <w:r>
        <w:rPr>
          <w:lang w:val="fr-FR"/>
        </w:rPr>
        <w:t>Provision pour impôts</w:t>
      </w:r>
    </w:p>
    <w:p w14:paraId="300FBC17" w14:textId="77777777" w:rsidR="00DF4E65" w:rsidRPr="00B9704D" w:rsidRDefault="00DF4E65" w:rsidP="00582B55">
      <w:pPr>
        <w:pStyle w:val="Paragrdouble"/>
        <w:autoSpaceDE w:val="0"/>
        <w:autoSpaceDN w:val="0"/>
        <w:adjustRightInd w:val="0"/>
        <w:spacing w:line="240" w:lineRule="auto"/>
        <w:rPr>
          <w:rFonts w:cs="Arial"/>
          <w:szCs w:val="24"/>
          <w:lang w:eastAsia="fr-CA"/>
        </w:rPr>
      </w:pPr>
      <w:r>
        <w:rPr>
          <w:rFonts w:cs="Arial"/>
          <w:szCs w:val="24"/>
          <w:lang w:val="fr-FR"/>
        </w:rPr>
        <w:t xml:space="preserve">Bien qu’une telle provision soit la norme, dans la présente affaire, l’expert ne retient aucun montant. </w:t>
      </w:r>
    </w:p>
    <w:p w14:paraId="66AF7FEA" w14:textId="77777777" w:rsidR="00DF4E65" w:rsidRDefault="00DF4E65" w:rsidP="00582B55">
      <w:pPr>
        <w:pStyle w:val="Paragrdouble"/>
        <w:autoSpaceDE w:val="0"/>
        <w:autoSpaceDN w:val="0"/>
        <w:adjustRightInd w:val="0"/>
        <w:spacing w:line="240" w:lineRule="auto"/>
        <w:rPr>
          <w:rFonts w:cs="Arial"/>
          <w:szCs w:val="24"/>
          <w:lang w:eastAsia="fr-CA"/>
        </w:rPr>
      </w:pPr>
      <w:r>
        <w:rPr>
          <w:rFonts w:cs="Arial"/>
          <w:szCs w:val="24"/>
        </w:rPr>
        <w:t>En effet, en raison de différents crédits d’impôts, il n’y a pas lieu d’ajouter un montant additionnel aux dommages établis</w:t>
      </w:r>
      <w:r>
        <w:rPr>
          <w:rStyle w:val="Appelnotedebasdep"/>
          <w:rFonts w:cs="Arial"/>
          <w:szCs w:val="24"/>
        </w:rPr>
        <w:footnoteReference w:id="51"/>
      </w:r>
      <w:r>
        <w:rPr>
          <w:rFonts w:cs="Arial"/>
          <w:szCs w:val="24"/>
        </w:rPr>
        <w:t>.</w:t>
      </w:r>
    </w:p>
    <w:p w14:paraId="75CB31BC" w14:textId="77777777" w:rsidR="00DF4E65" w:rsidRPr="00AA53D4" w:rsidRDefault="00DF4E65" w:rsidP="00DF4E65">
      <w:pPr>
        <w:pStyle w:val="Paragrdouble"/>
        <w:numPr>
          <w:ilvl w:val="0"/>
          <w:numId w:val="47"/>
        </w:numPr>
        <w:spacing w:line="240" w:lineRule="auto"/>
        <w:rPr>
          <w:lang w:val="fr-FR"/>
        </w:rPr>
      </w:pPr>
      <w:r>
        <w:rPr>
          <w:lang w:val="fr-FR"/>
        </w:rPr>
        <w:t>Provision pour frais de gestion</w:t>
      </w:r>
    </w:p>
    <w:p w14:paraId="0F3FF18F" w14:textId="77777777" w:rsidR="00DF4E65" w:rsidRDefault="00DF4E65" w:rsidP="00AA53D4">
      <w:pPr>
        <w:pStyle w:val="Paragrdouble"/>
        <w:spacing w:line="240" w:lineRule="auto"/>
        <w:rPr>
          <w:lang w:val="fr-FR"/>
        </w:rPr>
      </w:pPr>
      <w:r w:rsidRPr="00AA53D4">
        <w:rPr>
          <w:lang w:val="fr-FR"/>
        </w:rPr>
        <w:t>En ce qui a trait à la provision pour frais de gestion, ce poste de réclamation est accordé dans le cadre de dossier</w:t>
      </w:r>
      <w:r>
        <w:rPr>
          <w:lang w:val="fr-FR"/>
        </w:rPr>
        <w:t>s de réclamation portant sur des</w:t>
      </w:r>
      <w:r w:rsidRPr="00AA53D4">
        <w:rPr>
          <w:lang w:val="fr-FR"/>
        </w:rPr>
        <w:t xml:space="preserve"> préjudice</w:t>
      </w:r>
      <w:r>
        <w:rPr>
          <w:lang w:val="fr-FR"/>
        </w:rPr>
        <w:t>s</w:t>
      </w:r>
      <w:r w:rsidRPr="00AA53D4">
        <w:rPr>
          <w:lang w:val="fr-FR"/>
        </w:rPr>
        <w:t xml:space="preserve"> corporel</w:t>
      </w:r>
      <w:r>
        <w:rPr>
          <w:lang w:val="fr-FR"/>
        </w:rPr>
        <w:t>s</w:t>
      </w:r>
      <w:r w:rsidRPr="00AA53D4">
        <w:rPr>
          <w:lang w:val="fr-FR"/>
        </w:rPr>
        <w:t xml:space="preserve"> lorsqu’il est démontré que la victime est incapable d’administrer la somme obtenue pour compenser à ses pertes, ce </w:t>
      </w:r>
      <w:r>
        <w:rPr>
          <w:lang w:val="fr-FR"/>
        </w:rPr>
        <w:t>que</w:t>
      </w:r>
      <w:r w:rsidRPr="00AA53D4">
        <w:rPr>
          <w:lang w:val="fr-FR"/>
        </w:rPr>
        <w:t xml:space="preserve"> M</w:t>
      </w:r>
      <w:r>
        <w:rPr>
          <w:lang w:val="fr-FR"/>
        </w:rPr>
        <w:t>.</w:t>
      </w:r>
      <w:r w:rsidRPr="00AA53D4">
        <w:rPr>
          <w:lang w:val="fr-FR"/>
        </w:rPr>
        <w:t xml:space="preserve"> Perreault</w:t>
      </w:r>
      <w:r>
        <w:rPr>
          <w:lang w:val="fr-FR"/>
        </w:rPr>
        <w:t xml:space="preserve"> constate</w:t>
      </w:r>
      <w:r w:rsidRPr="00AA53D4">
        <w:rPr>
          <w:lang w:val="fr-FR"/>
        </w:rPr>
        <w:t xml:space="preserve">. </w:t>
      </w:r>
    </w:p>
    <w:p w14:paraId="2322C2F5" w14:textId="77777777" w:rsidR="00DF4E65" w:rsidRPr="002B6B78" w:rsidRDefault="00DF4E65" w:rsidP="00E451B0">
      <w:pPr>
        <w:pStyle w:val="Paragrdouble"/>
        <w:autoSpaceDE w:val="0"/>
        <w:autoSpaceDN w:val="0"/>
        <w:adjustRightInd w:val="0"/>
        <w:spacing w:line="240" w:lineRule="auto"/>
        <w:rPr>
          <w:rFonts w:cs="Arial"/>
          <w:szCs w:val="24"/>
          <w:lang w:val="fr-FR"/>
        </w:rPr>
      </w:pPr>
      <w:r w:rsidRPr="006C12EF">
        <w:rPr>
          <w:rFonts w:cs="Arial"/>
          <w:szCs w:val="24"/>
          <w:lang w:eastAsia="fr-CA"/>
        </w:rPr>
        <w:t>Les calculs décrits ci</w:t>
      </w:r>
      <w:r>
        <w:rPr>
          <w:rFonts w:cs="Arial"/>
          <w:szCs w:val="24"/>
          <w:lang w:eastAsia="fr-CA"/>
        </w:rPr>
        <w:t>-</w:t>
      </w:r>
      <w:r w:rsidRPr="006C12EF">
        <w:rPr>
          <w:rFonts w:cs="Arial"/>
          <w:szCs w:val="24"/>
          <w:lang w:eastAsia="fr-CA"/>
        </w:rPr>
        <w:t>haut supposent le placement du capital représentant l’indemnité, et ce, à compter de la date d’évaluation</w:t>
      </w:r>
      <w:r>
        <w:rPr>
          <w:rFonts w:cs="Arial"/>
          <w:szCs w:val="24"/>
          <w:lang w:eastAsia="fr-CA"/>
        </w:rPr>
        <w:t xml:space="preserve">. </w:t>
      </w:r>
      <w:r w:rsidRPr="006C12EF">
        <w:rPr>
          <w:rFonts w:cs="Arial"/>
          <w:szCs w:val="24"/>
          <w:lang w:eastAsia="fr-CA"/>
        </w:rPr>
        <w:t>Pour réaliser des rendements adéquats, des frais devront être engagés</w:t>
      </w:r>
      <w:r>
        <w:rPr>
          <w:rFonts w:cs="Arial"/>
          <w:szCs w:val="24"/>
          <w:lang w:eastAsia="fr-CA"/>
        </w:rPr>
        <w:t xml:space="preserve"> </w:t>
      </w:r>
      <w:r w:rsidRPr="006C12EF">
        <w:rPr>
          <w:rFonts w:cs="Arial"/>
          <w:szCs w:val="24"/>
          <w:lang w:eastAsia="fr-CA"/>
        </w:rPr>
        <w:t>afin d’assurer une saine gestion des placements qui seront effectués. Les services requis sont ceux d’un gestionnaire qui s’occuperait de la garde des valeurs et du choix de titres de placement.</w:t>
      </w:r>
    </w:p>
    <w:p w14:paraId="079DF9D7" w14:textId="77777777" w:rsidR="00DF4E65" w:rsidRPr="00E451B0" w:rsidRDefault="00DF4E65" w:rsidP="00E451B0">
      <w:pPr>
        <w:pStyle w:val="Paragrdouble"/>
        <w:autoSpaceDE w:val="0"/>
        <w:autoSpaceDN w:val="0"/>
        <w:adjustRightInd w:val="0"/>
        <w:spacing w:line="240" w:lineRule="auto"/>
        <w:rPr>
          <w:rFonts w:cs="Arial"/>
          <w:szCs w:val="24"/>
          <w:lang w:val="fr-FR"/>
        </w:rPr>
      </w:pPr>
      <w:r>
        <w:rPr>
          <w:rFonts w:cs="Arial"/>
          <w:szCs w:val="24"/>
          <w:lang w:eastAsia="fr-CA"/>
        </w:rPr>
        <w:t>En l’espèce, l’expert Perreault évalue lesdits frais à 113 354$.</w:t>
      </w:r>
    </w:p>
    <w:p w14:paraId="52864F7F" w14:textId="77777777" w:rsidR="00DF4E65" w:rsidRDefault="00DF4E65" w:rsidP="00DF4E65">
      <w:pPr>
        <w:pStyle w:val="Titre3"/>
        <w:numPr>
          <w:ilvl w:val="1"/>
          <w:numId w:val="37"/>
        </w:numPr>
        <w:ind w:left="810"/>
        <w:rPr>
          <w:bCs/>
          <w:szCs w:val="24"/>
        </w:rPr>
      </w:pPr>
      <w:r w:rsidRPr="00A3436B">
        <w:lastRenderedPageBreak/>
        <w:t>Dommages</w:t>
      </w:r>
      <w:r w:rsidRPr="00EB5C1F">
        <w:rPr>
          <w:bCs/>
          <w:szCs w:val="24"/>
        </w:rPr>
        <w:t xml:space="preserve"> non</w:t>
      </w:r>
      <w:r>
        <w:rPr>
          <w:bCs/>
          <w:szCs w:val="24"/>
        </w:rPr>
        <w:t xml:space="preserve"> </w:t>
      </w:r>
      <w:r w:rsidRPr="00EB5C1F">
        <w:rPr>
          <w:bCs/>
          <w:szCs w:val="24"/>
        </w:rPr>
        <w:t>pécuniaires</w:t>
      </w:r>
    </w:p>
    <w:p w14:paraId="05A4A34A" w14:textId="77777777" w:rsidR="00DF4E65" w:rsidRPr="00C15F34" w:rsidRDefault="00DF4E65" w:rsidP="00DF4E65">
      <w:pPr>
        <w:pStyle w:val="Titre4"/>
        <w:numPr>
          <w:ilvl w:val="2"/>
          <w:numId w:val="37"/>
        </w:numPr>
        <w:ind w:left="1260"/>
      </w:pPr>
      <w:r>
        <w:t>Droit applicable</w:t>
      </w:r>
    </w:p>
    <w:p w14:paraId="181913CB" w14:textId="77777777" w:rsidR="00DF4E65" w:rsidRDefault="00DF4E65" w:rsidP="00933694">
      <w:pPr>
        <w:pStyle w:val="Paragrdouble"/>
        <w:spacing w:line="240" w:lineRule="auto"/>
      </w:pPr>
      <w:r>
        <w:t>L</w:t>
      </w:r>
      <w:r w:rsidRPr="00A53529">
        <w:t xml:space="preserve">’indemnisation des pertes non pécuniaires </w:t>
      </w:r>
      <w:r>
        <w:t xml:space="preserve">s’évalue différemment puisqu’elles servent </w:t>
      </w:r>
      <w:r w:rsidRPr="00A53529">
        <w:t>à fournir une consolation raisonnable.</w:t>
      </w:r>
      <w:r>
        <w:t xml:space="preserve"> </w:t>
      </w:r>
    </w:p>
    <w:p w14:paraId="15191848" w14:textId="77777777" w:rsidR="00DF4E65" w:rsidRPr="0081732C" w:rsidRDefault="00DF4E65" w:rsidP="001628CF">
      <w:pPr>
        <w:numPr>
          <w:ilvl w:val="0"/>
          <w:numId w:val="1"/>
        </w:numPr>
        <w:tabs>
          <w:tab w:val="clear" w:pos="360"/>
        </w:tabs>
        <w:spacing w:before="120" w:after="120"/>
        <w:jc w:val="both"/>
        <w:rPr>
          <w:rFonts w:cs="Arial"/>
        </w:rPr>
      </w:pPr>
      <w:r w:rsidRPr="009C6D18">
        <w:rPr>
          <w:rFonts w:cs="Arial"/>
        </w:rPr>
        <w:t xml:space="preserve">Dans le cadre du processus de quantification des sommes à être versées, la Cour </w:t>
      </w:r>
      <w:r w:rsidRPr="0081732C">
        <w:rPr>
          <w:rFonts w:cs="Arial"/>
        </w:rPr>
        <w:t>suprême nous enseigne que trois approches doivent être balancées, soit celle conceptuelle, fonctionnelle et personnelle afin d’atteindre un équilibre entre la gravité du préjudice et la situation individuelle de la personne victime</w:t>
      </w:r>
      <w:bookmarkStart w:id="15" w:name="_Ref226365679"/>
      <w:r w:rsidRPr="0081732C">
        <w:rPr>
          <w:rStyle w:val="Appelnotedebasdep"/>
          <w:rFonts w:cs="Arial"/>
        </w:rPr>
        <w:footnoteReference w:id="52"/>
      </w:r>
      <w:bookmarkEnd w:id="15"/>
      <w:r w:rsidRPr="0081732C">
        <w:rPr>
          <w:rFonts w:cs="Arial"/>
        </w:rPr>
        <w:t>.</w:t>
      </w:r>
    </w:p>
    <w:p w14:paraId="7EC54B35" w14:textId="77777777" w:rsidR="00DF4E65" w:rsidRDefault="00DF4E65" w:rsidP="001628CF">
      <w:pPr>
        <w:numPr>
          <w:ilvl w:val="0"/>
          <w:numId w:val="1"/>
        </w:numPr>
        <w:tabs>
          <w:tab w:val="clear" w:pos="360"/>
        </w:tabs>
        <w:spacing w:before="120" w:after="120"/>
        <w:jc w:val="both"/>
        <w:rPr>
          <w:rFonts w:cs="Arial"/>
        </w:rPr>
      </w:pPr>
      <w:r w:rsidRPr="009C6D18">
        <w:rPr>
          <w:rFonts w:cs="Arial"/>
        </w:rPr>
        <w:t>Le préjudice doit être évalué en fonction des conséquences que les actes ont eues et continuent d’avoir sur la personne victime et non pas en vertu d’une échelle objective de gravité préétablie</w:t>
      </w:r>
      <w:bookmarkStart w:id="16" w:name="_Ref226365354"/>
      <w:r w:rsidRPr="009C6D18">
        <w:rPr>
          <w:rStyle w:val="Appelnotedebasdep"/>
          <w:rFonts w:cs="Arial"/>
        </w:rPr>
        <w:footnoteReference w:id="53"/>
      </w:r>
      <w:bookmarkEnd w:id="16"/>
      <w:r w:rsidRPr="009C6D18">
        <w:rPr>
          <w:rFonts w:cs="Arial"/>
        </w:rPr>
        <w:t>.</w:t>
      </w:r>
    </w:p>
    <w:p w14:paraId="71E33446" w14:textId="77777777" w:rsidR="00DF4E65" w:rsidRPr="00A53529" w:rsidRDefault="00DF4E65" w:rsidP="00EB5C1F">
      <w:pPr>
        <w:pStyle w:val="Paragrdouble"/>
        <w:spacing w:line="240" w:lineRule="auto"/>
      </w:pPr>
      <w:r>
        <w:t xml:space="preserve">Comme le rappelait le juge Dickson dans l’arrêt </w:t>
      </w:r>
      <w:r w:rsidRPr="00D05D44">
        <w:rPr>
          <w:i/>
          <w:iCs/>
        </w:rPr>
        <w:t>Andrews</w:t>
      </w:r>
      <w:r>
        <w:t xml:space="preserve">, </w:t>
      </w:r>
      <w:r w:rsidRPr="00A53529">
        <w:t xml:space="preserve">les dommages-intérêts ne </w:t>
      </w:r>
      <w:r w:rsidRPr="00CC20DE">
        <w:t>visent pas</w:t>
      </w:r>
      <w:r w:rsidRPr="00A53529">
        <w:t xml:space="preserve"> à indemniser intégralement les pertes non pécuniaires</w:t>
      </w:r>
      <w:r>
        <w:t xml:space="preserve"> mais plutôt à parvenir à une </w:t>
      </w:r>
      <w:r w:rsidRPr="00AF3844">
        <w:rPr>
          <w:i/>
          <w:iCs/>
        </w:rPr>
        <w:t>indemnité équitable et raisonnable</w:t>
      </w:r>
      <w:r>
        <w:rPr>
          <w:rStyle w:val="Appelnotedebasdep"/>
        </w:rPr>
        <w:footnoteReference w:id="54"/>
      </w:r>
      <w:r>
        <w:t> :</w:t>
      </w:r>
    </w:p>
    <w:p w14:paraId="345963BB" w14:textId="77777777" w:rsidR="00DF4E65" w:rsidRDefault="00DF4E65" w:rsidP="00EB5C1F">
      <w:pPr>
        <w:pStyle w:val="Citationenretrait"/>
      </w:pPr>
      <w:r w:rsidRPr="00A53529">
        <w:t xml:space="preserve">Le bonheur et la vie n’ont pas de prix. </w:t>
      </w:r>
      <w:r w:rsidRPr="00235A5E">
        <w:rPr>
          <w:u w:val="single"/>
        </w:rPr>
        <w:t>L’évaluation monétaire des pertes non pécuniaires est plus un exercice philosophique et social qu’un exercice juridique ou logique. L’indemnité doit être équitable et raisonnable, l’équité étant mesurée à l’aide des décisions antérieures; mais l’indemnité est aussi nécessairement arbitraire ou conventionnelle.</w:t>
      </w:r>
      <w:r w:rsidRPr="00A53529">
        <w:t xml:space="preserve"> Le préjudice n’est pas intégralement réparable en argent. L’argent permet d’obtenir les soins nécessaires et c’est pourquoi j’estime que la préoccupation majeure des tribunaux, en matière d’indemnisation du préjudice corporel, doit être de s’assurer que la victime sera en mesure d’obtenir ces soins dans l’avenir. </w:t>
      </w:r>
    </w:p>
    <w:p w14:paraId="6453D1FA" w14:textId="77777777" w:rsidR="00DF4E65" w:rsidRPr="00A53529" w:rsidRDefault="00DF4E65" w:rsidP="00EB5C1F">
      <w:pPr>
        <w:pStyle w:val="Citationenretrait"/>
      </w:pPr>
      <w:r>
        <w:t xml:space="preserve">                                                                               (Soulignements ajoutés)</w:t>
      </w:r>
    </w:p>
    <w:p w14:paraId="7EAB43E0" w14:textId="77777777" w:rsidR="00DF4E65" w:rsidRDefault="00DF4E65" w:rsidP="00EB5C1F">
      <w:pPr>
        <w:pStyle w:val="Paragrdouble"/>
        <w:spacing w:line="240" w:lineRule="auto"/>
      </w:pPr>
      <w:r>
        <w:t xml:space="preserve">L’indemnisation des pertes non pécuniaires comporte un </w:t>
      </w:r>
      <w:r w:rsidRPr="009C6D18">
        <w:t xml:space="preserve">plafonnement qui a été établi par la Cour suprême dans la trilogie </w:t>
      </w:r>
      <w:r w:rsidRPr="009C6D18">
        <w:rPr>
          <w:i/>
        </w:rPr>
        <w:t>Andrews</w:t>
      </w:r>
      <w:r w:rsidRPr="009C6D18">
        <w:t xml:space="preserve">, </w:t>
      </w:r>
      <w:r w:rsidRPr="009C6D18">
        <w:rPr>
          <w:i/>
        </w:rPr>
        <w:t>Teno</w:t>
      </w:r>
      <w:r w:rsidRPr="009C6D18">
        <w:t xml:space="preserve"> et </w:t>
      </w:r>
      <w:r w:rsidRPr="009C6D18">
        <w:rPr>
          <w:i/>
        </w:rPr>
        <w:t>Thornton</w:t>
      </w:r>
      <w:r w:rsidRPr="009C6D18">
        <w:t xml:space="preserve"> fixé à 100</w:t>
      </w:r>
      <w:r>
        <w:t> 000 </w:t>
      </w:r>
      <w:r w:rsidRPr="009C6D18">
        <w:t>$ en 1978</w:t>
      </w:r>
      <w:r w:rsidRPr="009C6D18">
        <w:rPr>
          <w:rStyle w:val="Appelnotedebasdep"/>
          <w:rFonts w:cs="Arial"/>
        </w:rPr>
        <w:footnoteReference w:id="55"/>
      </w:r>
      <w:r w:rsidRPr="009C6D18">
        <w:t>.</w:t>
      </w:r>
    </w:p>
    <w:p w14:paraId="0B57E356" w14:textId="77777777" w:rsidR="00DF4E65" w:rsidRDefault="00DF4E65" w:rsidP="00EB5C1F">
      <w:pPr>
        <w:pStyle w:val="Paragrdouble"/>
        <w:spacing w:line="240" w:lineRule="auto"/>
      </w:pPr>
      <w:r>
        <w:t>En 1995, l</w:t>
      </w:r>
      <w:r w:rsidRPr="00A53529">
        <w:t>a Cour suprême du Canada a réitéré le plafond des dommages non pécuniaires, ajusté en fonction de l’inflation, qu’elle a qualifié</w:t>
      </w:r>
      <w:r>
        <w:t>e</w:t>
      </w:r>
      <w:r w:rsidRPr="00A53529">
        <w:t xml:space="preserve"> de règle de droit en refusant de le majorer</w:t>
      </w:r>
      <w:r>
        <w:rPr>
          <w:rStyle w:val="Appelnotedebasdep"/>
        </w:rPr>
        <w:footnoteReference w:id="56"/>
      </w:r>
      <w:r w:rsidRPr="00A53529">
        <w:t>.</w:t>
      </w:r>
    </w:p>
    <w:p w14:paraId="45B91091" w14:textId="77777777" w:rsidR="00DF4E65" w:rsidRPr="009C6D18" w:rsidRDefault="00DF4E65" w:rsidP="00EB5C1F">
      <w:pPr>
        <w:pStyle w:val="Paragrsimple"/>
      </w:pPr>
      <w:r w:rsidRPr="009C6D18">
        <w:lastRenderedPageBreak/>
        <w:t>Ce plafond ne doit pas être interprété comme un barème et il doit être actualisé à la date où le jugement sera rendu</w:t>
      </w:r>
      <w:r w:rsidRPr="009C6D18">
        <w:rPr>
          <w:rStyle w:val="Appelnotedebasdep"/>
          <w:rFonts w:cs="Arial"/>
        </w:rPr>
        <w:footnoteReference w:id="57"/>
      </w:r>
      <w:r w:rsidRPr="009C6D18">
        <w:t>.</w:t>
      </w:r>
    </w:p>
    <w:p w14:paraId="67BD5899" w14:textId="77777777" w:rsidR="00DF4E65" w:rsidRDefault="00DF4E65" w:rsidP="00EB5C1F">
      <w:pPr>
        <w:pStyle w:val="Paragrsimple"/>
      </w:pPr>
      <w:r w:rsidRPr="009C6D18">
        <w:t>En date du 31</w:t>
      </w:r>
      <w:r>
        <w:t> </w:t>
      </w:r>
      <w:r w:rsidRPr="009C6D18">
        <w:t xml:space="preserve">août 2025, </w:t>
      </w:r>
      <w:r>
        <w:t>il</w:t>
      </w:r>
      <w:r w:rsidRPr="009C6D18">
        <w:t xml:space="preserve"> est d’une valeur de 469</w:t>
      </w:r>
      <w:r>
        <w:t> 801 </w:t>
      </w:r>
      <w:r w:rsidRPr="009C6D18">
        <w:t>$</w:t>
      </w:r>
      <w:r w:rsidRPr="009C6D18">
        <w:rPr>
          <w:rStyle w:val="Appelnotedebasdep"/>
          <w:rFonts w:cs="Arial"/>
        </w:rPr>
        <w:footnoteReference w:id="58"/>
      </w:r>
      <w:r w:rsidRPr="009C6D18">
        <w:t xml:space="preserve">. </w:t>
      </w:r>
    </w:p>
    <w:p w14:paraId="65FCE230" w14:textId="77777777" w:rsidR="00DF4E65" w:rsidRDefault="00DF4E65" w:rsidP="0081732C">
      <w:pPr>
        <w:pStyle w:val="Paragrsimple"/>
      </w:pPr>
      <w:r>
        <w:t>Lorsqu’elle a établi ce plafond en 1978, la Cour suprême a sensibilité les tribunaux à travers le pays à l’effet qu’il ne devrait pas y avoir de trop grandes disparités dans les indemnités accordées à travers les différentes juridictions canadiennes. Son raisonnement reposait sur l’idée que chaque personne, peu importe l’endroit où elle réside au pays, devrait pouvoir bénéficier d’une indemnisation équivalente pour des pertes pécuniaires semblables. Comme l’a indiqué le juge Dickson </w:t>
      </w:r>
      <w:r>
        <w:rPr>
          <w:rStyle w:val="Appelnotedebasdep"/>
          <w:sz w:val="22"/>
          <w:szCs w:val="22"/>
        </w:rPr>
        <w:footnoteReference w:id="59"/>
      </w:r>
      <w:r>
        <w:t>:</w:t>
      </w:r>
    </w:p>
    <w:p w14:paraId="317E27E6" w14:textId="77777777" w:rsidR="00DF4E65" w:rsidRPr="00A273AC" w:rsidRDefault="00DF4E65" w:rsidP="001510D2">
      <w:pPr>
        <w:ind w:left="709" w:right="857"/>
        <w:jc w:val="both"/>
        <w:rPr>
          <w:sz w:val="22"/>
          <w:szCs w:val="22"/>
        </w:rPr>
      </w:pPr>
      <w:r w:rsidRPr="00712FB1">
        <w:rPr>
          <w:sz w:val="22"/>
          <w:szCs w:val="22"/>
        </w:rPr>
        <w:t>Il ne devrait pas y avoir de trop grandes disparités dans les indemnités accordées au Canada. Tous les Canadiens, où qu’ils résident, ont droit à une indemnisation à peu près équivalente pour des pertes non pécuniaires semblables. Toute variation dans l’indemnisation doit être fonction du cas par</w:t>
      </w:r>
      <w:r w:rsidRPr="00712FB1">
        <w:rPr>
          <w:sz w:val="22"/>
          <w:szCs w:val="22"/>
        </w:rPr>
        <w:softHyphen/>
        <w:t>ticulier de la victime, ce qu’elle a perdu d’agré</w:t>
      </w:r>
      <w:r w:rsidRPr="00712FB1">
        <w:rPr>
          <w:sz w:val="22"/>
          <w:szCs w:val="22"/>
        </w:rPr>
        <w:softHyphen/>
        <w:t>ments de la vie et ce qui peut compenser cette</w:t>
      </w:r>
      <w:r>
        <w:rPr>
          <w:sz w:val="22"/>
          <w:szCs w:val="22"/>
        </w:rPr>
        <w:t xml:space="preserve"> </w:t>
      </w:r>
      <w:r w:rsidRPr="001E10F5">
        <w:rPr>
          <w:sz w:val="22"/>
          <w:szCs w:val="22"/>
        </w:rPr>
        <w:t>perte, mais cette variation ne doit pas dépendre uniquement de la province dans laquelle elle réside.</w:t>
      </w:r>
    </w:p>
    <w:p w14:paraId="4FCD81F0" w14:textId="77777777" w:rsidR="00DF4E65" w:rsidRPr="00EB5C1F" w:rsidRDefault="00DF4E65" w:rsidP="00EB5C1F">
      <w:pPr>
        <w:numPr>
          <w:ilvl w:val="0"/>
          <w:numId w:val="1"/>
        </w:numPr>
        <w:tabs>
          <w:tab w:val="clear" w:pos="360"/>
          <w:tab w:val="left" w:pos="709"/>
          <w:tab w:val="left" w:pos="851"/>
        </w:tabs>
        <w:spacing w:before="120" w:after="120"/>
        <w:jc w:val="both"/>
        <w:rPr>
          <w:rFonts w:cs="Arial"/>
          <w:kern w:val="28"/>
        </w:rPr>
      </w:pPr>
      <w:r w:rsidRPr="009C6D18">
        <w:t xml:space="preserve">L’indemnité à être octroyée doit </w:t>
      </w:r>
      <w:r>
        <w:t>donc</w:t>
      </w:r>
      <w:r w:rsidRPr="009C6D18">
        <w:t xml:space="preserve"> être comparée avec des cas offrant une certaine similarité, ce qui peut s’avérer être un exercice fort complexe</w:t>
      </w:r>
      <w:r w:rsidRPr="009C6D18">
        <w:rPr>
          <w:rStyle w:val="Appelnotedebasdep"/>
          <w:rFonts w:cs="Arial"/>
        </w:rPr>
        <w:footnoteReference w:id="60"/>
      </w:r>
      <w:r w:rsidRPr="009C6D18">
        <w:t>.</w:t>
      </w:r>
      <w:r w:rsidRPr="009A6CAF">
        <w:t xml:space="preserve"> </w:t>
      </w:r>
      <w:r>
        <w:rPr>
          <w:rFonts w:cs="Arial"/>
          <w:kern w:val="28"/>
        </w:rPr>
        <w:t>I</w:t>
      </w:r>
      <w:r w:rsidRPr="004B386B">
        <w:rPr>
          <w:rFonts w:cs="Arial"/>
          <w:kern w:val="28"/>
        </w:rPr>
        <w:t>l faut rechercher ce qui apparaît raisonnable, équitable et juste par rapport aux jugements antérieurs des tribunaux</w:t>
      </w:r>
      <w:r>
        <w:rPr>
          <w:rFonts w:cs="Arial"/>
          <w:kern w:val="28"/>
        </w:rPr>
        <w:t>.</w:t>
      </w:r>
    </w:p>
    <w:p w14:paraId="19FEB6CC" w14:textId="77777777" w:rsidR="00DF4E65" w:rsidRPr="009C6D18" w:rsidRDefault="00DF4E65" w:rsidP="001628CF">
      <w:pPr>
        <w:numPr>
          <w:ilvl w:val="0"/>
          <w:numId w:val="1"/>
        </w:numPr>
        <w:tabs>
          <w:tab w:val="clear" w:pos="360"/>
        </w:tabs>
        <w:spacing w:before="120" w:after="120"/>
        <w:jc w:val="both"/>
        <w:rPr>
          <w:rFonts w:cs="Arial"/>
        </w:rPr>
      </w:pPr>
      <w:r>
        <w:rPr>
          <w:rFonts w:cs="Arial"/>
        </w:rPr>
        <w:t>À cet égard,</w:t>
      </w:r>
      <w:r w:rsidRPr="00EB5C1F">
        <w:rPr>
          <w:rFonts w:cs="Arial"/>
        </w:rPr>
        <w:t xml:space="preserve"> </w:t>
      </w:r>
      <w:r w:rsidRPr="009C6D18">
        <w:rPr>
          <w:rFonts w:cs="Arial"/>
        </w:rPr>
        <w:t xml:space="preserve">dans l’arrêt </w:t>
      </w:r>
      <w:r w:rsidRPr="009C6D18">
        <w:rPr>
          <w:rFonts w:cs="Arial"/>
          <w:i/>
          <w:iCs/>
        </w:rPr>
        <w:t>Friessen</w:t>
      </w:r>
      <w:r>
        <w:rPr>
          <w:rFonts w:cs="Arial"/>
          <w:i/>
          <w:iCs/>
        </w:rPr>
        <w:t xml:space="preserve"> </w:t>
      </w:r>
      <w:r w:rsidRPr="00BE2398">
        <w:rPr>
          <w:rFonts w:cs="Arial"/>
        </w:rPr>
        <w:t>précité</w:t>
      </w:r>
      <w:r w:rsidRPr="009C6D18">
        <w:rPr>
          <w:rStyle w:val="Appelnotedebasdep"/>
          <w:rFonts w:cs="Arial"/>
          <w:i/>
          <w:iCs/>
        </w:rPr>
        <w:footnoteReference w:id="61"/>
      </w:r>
      <w:r w:rsidRPr="009C6D18">
        <w:rPr>
          <w:rFonts w:cs="Arial"/>
        </w:rPr>
        <w:t>,</w:t>
      </w:r>
      <w:r>
        <w:rPr>
          <w:rFonts w:cs="Arial"/>
        </w:rPr>
        <w:t xml:space="preserve"> </w:t>
      </w:r>
      <w:r w:rsidRPr="009C6D18">
        <w:rPr>
          <w:rFonts w:cs="Arial"/>
        </w:rPr>
        <w:t>la Cour suprême du Canada</w:t>
      </w:r>
      <w:r>
        <w:rPr>
          <w:rFonts w:cs="Arial"/>
        </w:rPr>
        <w:t xml:space="preserve"> enseigne que</w:t>
      </w:r>
      <w:r w:rsidRPr="009C6D18">
        <w:rPr>
          <w:rFonts w:cs="Arial"/>
        </w:rPr>
        <w:t xml:space="preserve"> le fait d’être victime de violences à caractère sexuel amène chez les personnes victime</w:t>
      </w:r>
      <w:r>
        <w:rPr>
          <w:rFonts w:cs="Arial"/>
        </w:rPr>
        <w:t>s</w:t>
      </w:r>
      <w:r w:rsidRPr="009C6D18">
        <w:rPr>
          <w:rFonts w:cs="Arial"/>
        </w:rPr>
        <w:t xml:space="preserve"> un préjudice émotionnel et psychologique important, exacerbé lorsque les événements sont survenus lors de l’enfance, en sus du préjudice corporel important :</w:t>
      </w:r>
    </w:p>
    <w:p w14:paraId="5BB76515" w14:textId="77777777" w:rsidR="00DF4E65" w:rsidRPr="000B5B70" w:rsidRDefault="00DF4E65" w:rsidP="001628CF">
      <w:pPr>
        <w:pStyle w:val="Citationenretrait"/>
      </w:pPr>
      <w:r w:rsidRPr="000B5B70">
        <w:t>[55] Ces changements s’expliquent par un virage plus large, car la société en est venue à comprendre que le point de mire du régime des infractions d’ordre sexuel est non pas la bienséance sexuelle, mais l’atteinte fautive à l’intégrité sexuelle. Comme le fait remarquer la professeure Elaine Craig, [traduction] « [c]e changement d’éclairage, qui passe de la bienséance sexuelle à l’intégrité sexuelle, permet de mettre un accent accru sur les abus de confiance, l’humiliation, l’objectification, l’exploitation, la honte et la perte d’estime de soi plutôt que sur simplement, ou seulement, l’atteinte à l’honneur, à la chasteté ou à l’intégrité physique (comme c’était davantage le cas quand le droit se souciait davantage de la bienséance sexuelle) ».</w:t>
      </w:r>
    </w:p>
    <w:p w14:paraId="25ADC094" w14:textId="77777777" w:rsidR="00DF4E65" w:rsidRPr="000B5B70" w:rsidRDefault="00DF4E65" w:rsidP="001628CF">
      <w:pPr>
        <w:pStyle w:val="Paragraphedeliste"/>
        <w:ind w:left="731" w:right="-58"/>
        <w:jc w:val="both"/>
        <w:rPr>
          <w:rFonts w:cs="Arial"/>
          <w:sz w:val="22"/>
          <w:szCs w:val="22"/>
        </w:rPr>
      </w:pPr>
    </w:p>
    <w:p w14:paraId="15C1C177" w14:textId="77777777" w:rsidR="00DF4E65" w:rsidRPr="000B5B70" w:rsidRDefault="00DF4E65" w:rsidP="001628CF">
      <w:pPr>
        <w:pStyle w:val="Citationenretrait"/>
      </w:pPr>
      <w:r w:rsidRPr="000B5B70">
        <w:t xml:space="preserve">[56] </w:t>
      </w:r>
      <w:r w:rsidRPr="00D05D44">
        <w:rPr>
          <w:u w:val="single"/>
        </w:rPr>
        <w:t>Cette insistance sur l’autonomie personnelle, l’intégrité physique et sexuelle, la dignité et l’égalité oblige les tribunaux à se concentrer sur le préjudice émotionnel et psychologique, et non simplement sur le préjudice corporel. La violence sexuelle peut causer aux enfants un grave préjudice émotionnel et psychologique qui, tel que l’a mentionné notre Cour dans R. c. McCraw,  « peut souvent avoir des effets plus pénétrants et permanents qu’une blessure physique ».</w:t>
      </w:r>
    </w:p>
    <w:p w14:paraId="4527A196" w14:textId="77777777" w:rsidR="00DF4E65" w:rsidRPr="000B5B70" w:rsidRDefault="00DF4E65" w:rsidP="001628CF">
      <w:pPr>
        <w:pStyle w:val="Citationenretrait"/>
      </w:pPr>
      <w:r w:rsidRPr="000B5B70">
        <w:t>[57] Plusieurs arrêts de notre Cour donnent un aperçu de ces formes de préjudice. Dans l’arrêt R. c. L. (D.O.), la juge L’Heureux-Dubé a souligné le traumatisme émotionnel qu’a fait subir la violence sexuelle à la plaignante âgée de neuf ans. De même, dans McDonnell, la juge McLachlin (plus tard juge en chef) a insisté sur le préjudice émotionnel causé par « l’atteinte à l’intégrité de la victime, à sa confiance en soi et au contrôle sur son corps » qu’a subi une enfant agressée sexuellement alors qu’elle dormait. L’agression sexuelle aurait vraisemblablement causé « de la honte, de la gêne, une colère inapaisée, une aptitude réduite à faire confiance à autrui et la crainte que [. . .] des gens puissent abuser d’elle et qu’ils le fassent effectivement ».</w:t>
      </w:r>
    </w:p>
    <w:p w14:paraId="1C6EC98B" w14:textId="77777777" w:rsidR="00DF4E65" w:rsidRPr="000B5B70" w:rsidRDefault="00DF4E65" w:rsidP="001628CF">
      <w:pPr>
        <w:pStyle w:val="Citationenretrait"/>
      </w:pPr>
      <w:r w:rsidRPr="000B5B70">
        <w:t xml:space="preserve">[58] </w:t>
      </w:r>
      <w:r w:rsidRPr="00D05D44">
        <w:rPr>
          <w:u w:val="single"/>
        </w:rPr>
        <w:t>Ces formes de préjudice sont particulièrement considérables dans le cas des enfants. La violence sexuelle peut compromettre leur épanouissement personnel ainsi que leur développement sain et autonome jusqu’à l’âge adulte précisément parce qu’ils sont encore en train de développer et d’acquérir les compétences et qualités voulues pour surmonter l’adversité. Pour cette raison, même un incident isolé de violence sexuelle risque [traduction] « [d’]altérer à jamais le cours de la vie d’un enfant »</w:t>
      </w:r>
      <w:r w:rsidRPr="000B5B70">
        <w:t>. Comme l’a expliqué la juge d’appel Otis dans L. (J.-J.),</w:t>
      </w:r>
      <w:r>
        <w:t> :</w:t>
      </w:r>
    </w:p>
    <w:p w14:paraId="61368900" w14:textId="77777777" w:rsidR="00DF4E65" w:rsidRPr="000B5B70" w:rsidRDefault="00DF4E65" w:rsidP="001628CF">
      <w:pPr>
        <w:pStyle w:val="Paragraphedeliste"/>
        <w:ind w:left="731" w:right="-58"/>
        <w:jc w:val="both"/>
        <w:rPr>
          <w:rFonts w:cs="Arial"/>
          <w:sz w:val="22"/>
          <w:szCs w:val="22"/>
        </w:rPr>
      </w:pPr>
    </w:p>
    <w:p w14:paraId="0432A4FD" w14:textId="77777777" w:rsidR="00DF4E65" w:rsidRPr="00EB5C1F" w:rsidRDefault="00DF4E65" w:rsidP="00EB5C1F">
      <w:pPr>
        <w:pStyle w:val="Citationenretrait"/>
        <w:ind w:left="1170" w:right="1262"/>
        <w:rPr>
          <w:sz w:val="20"/>
        </w:rPr>
      </w:pPr>
      <w:r w:rsidRPr="00AD693F">
        <w:rPr>
          <w:sz w:val="20"/>
        </w:rPr>
        <w:t>La fragmentation de la personnalité d’un enfant à l’époque où son organisation</w:t>
      </w:r>
      <w:r>
        <w:rPr>
          <w:sz w:val="20"/>
        </w:rPr>
        <w:t xml:space="preserve">    </w:t>
      </w:r>
      <w:r w:rsidRPr="00AD693F">
        <w:rPr>
          <w:sz w:val="20"/>
        </w:rPr>
        <w:t>naissante ne laisse voir qu’une structure défensive très fragile engendrera — à long terme — la souffrance, la détresse et la perte d’estime de soi.</w:t>
      </w:r>
    </w:p>
    <w:p w14:paraId="25F0252D" w14:textId="77777777" w:rsidR="00DF4E65" w:rsidRPr="009C6D18" w:rsidRDefault="00DF4E65" w:rsidP="000B5B70">
      <w:pPr>
        <w:pStyle w:val="Paragraphedeliste"/>
        <w:ind w:left="1843" w:right="651"/>
        <w:jc w:val="both"/>
        <w:rPr>
          <w:rFonts w:cs="Arial"/>
        </w:rPr>
      </w:pPr>
      <w:r>
        <w:rPr>
          <w:rFonts w:cs="Arial"/>
        </w:rPr>
        <w:tab/>
      </w:r>
      <w:r>
        <w:rPr>
          <w:rFonts w:cs="Arial"/>
        </w:rPr>
        <w:tab/>
      </w:r>
      <w:r>
        <w:rPr>
          <w:rFonts w:cs="Arial"/>
        </w:rPr>
        <w:tab/>
        <w:t>(références omises et soulignements ajoutés)</w:t>
      </w:r>
    </w:p>
    <w:p w14:paraId="08CEE9B8" w14:textId="77777777" w:rsidR="00DF4E65" w:rsidRPr="00940533" w:rsidRDefault="00DF4E65" w:rsidP="002A6E34">
      <w:pPr>
        <w:numPr>
          <w:ilvl w:val="0"/>
          <w:numId w:val="1"/>
        </w:numPr>
        <w:tabs>
          <w:tab w:val="clear" w:pos="360"/>
        </w:tabs>
        <w:spacing w:before="120" w:after="120"/>
        <w:jc w:val="both"/>
        <w:rPr>
          <w:rFonts w:cs="Arial"/>
        </w:rPr>
      </w:pPr>
      <w:r>
        <w:rPr>
          <w:rFonts w:cs="Arial"/>
        </w:rPr>
        <w:t>Cela étant</w:t>
      </w:r>
      <w:r w:rsidRPr="003B10DB">
        <w:rPr>
          <w:rFonts w:cs="Arial"/>
        </w:rPr>
        <w:t>, force est de constater, que des disparités</w:t>
      </w:r>
      <w:r>
        <w:rPr>
          <w:rFonts w:cs="Arial"/>
        </w:rPr>
        <w:t xml:space="preserve"> importantes</w:t>
      </w:r>
      <w:r w:rsidRPr="003B10DB">
        <w:rPr>
          <w:rFonts w:cs="Arial"/>
        </w:rPr>
        <w:t xml:space="preserve"> existent </w:t>
      </w:r>
      <w:r>
        <w:rPr>
          <w:rFonts w:cs="Arial"/>
        </w:rPr>
        <w:t xml:space="preserve">malgré tout </w:t>
      </w:r>
      <w:r w:rsidRPr="003B10DB">
        <w:rPr>
          <w:rFonts w:cs="Arial"/>
        </w:rPr>
        <w:t xml:space="preserve">dans les indemnités offertes aux victimes de violences à caractère sexuel durant l’enfance à travers </w:t>
      </w:r>
      <w:r w:rsidRPr="00940533">
        <w:rPr>
          <w:rFonts w:cs="Arial"/>
        </w:rPr>
        <w:t xml:space="preserve">le Canada, tel que le démontre le bref survol de la jurisprudence qui suit : </w:t>
      </w:r>
    </w:p>
    <w:p w14:paraId="04E8FE6E" w14:textId="77777777" w:rsidR="00DF4E65" w:rsidRPr="003B10DB" w:rsidRDefault="00DF4E65" w:rsidP="008930B2">
      <w:pPr>
        <w:pStyle w:val="Paragraphedeliste"/>
        <w:rPr>
          <w:rFonts w:cs="Arial"/>
          <w:i/>
        </w:rPr>
      </w:pPr>
    </w:p>
    <w:p w14:paraId="7975797B" w14:textId="77777777" w:rsidR="00DF4E65" w:rsidRDefault="00DF4E65" w:rsidP="00DF4E65">
      <w:pPr>
        <w:pStyle w:val="Paragraphedeliste"/>
        <w:numPr>
          <w:ilvl w:val="0"/>
          <w:numId w:val="41"/>
        </w:numPr>
        <w:spacing w:after="160"/>
        <w:ind w:left="1276" w:hanging="709"/>
        <w:contextualSpacing/>
        <w:jc w:val="both"/>
        <w:rPr>
          <w:rFonts w:cs="Arial"/>
        </w:rPr>
      </w:pPr>
      <w:r w:rsidRPr="007218C6">
        <w:rPr>
          <w:rFonts w:cs="Arial"/>
          <w:i/>
          <w:iCs/>
        </w:rPr>
        <w:t>C.M.A</w:t>
      </w:r>
      <w:r w:rsidRPr="007200D8">
        <w:rPr>
          <w:rFonts w:cs="Arial"/>
        </w:rPr>
        <w:t xml:space="preserve">. v </w:t>
      </w:r>
      <w:r w:rsidRPr="007218C6">
        <w:rPr>
          <w:rFonts w:cs="Arial"/>
          <w:i/>
          <w:iCs/>
        </w:rPr>
        <w:t>Blais</w:t>
      </w:r>
      <w:r w:rsidRPr="007200D8">
        <w:rPr>
          <w:rFonts w:cs="Arial"/>
        </w:rPr>
        <w:t>, 2022 BCSC 214</w:t>
      </w:r>
      <w:r>
        <w:rPr>
          <w:rFonts w:cs="Arial"/>
        </w:rPr>
        <w:t xml:space="preserve"> (Colombie-Britannique)</w:t>
      </w:r>
      <w:r w:rsidRPr="007200D8">
        <w:rPr>
          <w:rFonts w:cs="Arial"/>
        </w:rPr>
        <w:t>; 250 000$ s</w:t>
      </w:r>
      <w:r w:rsidRPr="007218C6">
        <w:rPr>
          <w:rFonts w:cs="Arial"/>
        </w:rPr>
        <w:t>on</w:t>
      </w:r>
      <w:r>
        <w:rPr>
          <w:rFonts w:cs="Arial"/>
        </w:rPr>
        <w:t>t accordés en dommages non pécuniaires à la partie demanderesse qui a été agressée sexuellement vers l’âge de 10-11 ans par un ami proche de la famille.</w:t>
      </w:r>
    </w:p>
    <w:p w14:paraId="2AC25461" w14:textId="77777777" w:rsidR="00DF4E65" w:rsidRDefault="00DF4E65" w:rsidP="0070551F">
      <w:pPr>
        <w:pStyle w:val="Paragraphedeliste"/>
        <w:spacing w:after="160"/>
        <w:ind w:left="1276"/>
        <w:jc w:val="both"/>
        <w:rPr>
          <w:rFonts w:cs="Arial"/>
          <w:i/>
          <w:iCs/>
        </w:rPr>
      </w:pPr>
    </w:p>
    <w:p w14:paraId="7C2BC7E7" w14:textId="77777777" w:rsidR="00DF4E65" w:rsidRDefault="00DF4E65" w:rsidP="00DF4E65">
      <w:pPr>
        <w:pStyle w:val="Paragraphedeliste"/>
        <w:numPr>
          <w:ilvl w:val="0"/>
          <w:numId w:val="41"/>
        </w:numPr>
        <w:spacing w:after="160"/>
        <w:ind w:left="1276" w:hanging="709"/>
        <w:contextualSpacing/>
        <w:jc w:val="both"/>
        <w:rPr>
          <w:rFonts w:cs="Arial"/>
        </w:rPr>
      </w:pPr>
      <w:r w:rsidRPr="0070551F">
        <w:rPr>
          <w:rFonts w:cs="Arial"/>
          <w:i/>
          <w:iCs/>
        </w:rPr>
        <w:t xml:space="preserve">MacLeod </w:t>
      </w:r>
      <w:r w:rsidRPr="0070551F">
        <w:rPr>
          <w:rFonts w:cs="Arial"/>
        </w:rPr>
        <w:t xml:space="preserve">v. </w:t>
      </w:r>
      <w:r w:rsidRPr="0070551F">
        <w:rPr>
          <w:rFonts w:cs="Arial"/>
          <w:i/>
          <w:iCs/>
        </w:rPr>
        <w:t>Marshall,</w:t>
      </w:r>
      <w:r w:rsidRPr="0070551F">
        <w:rPr>
          <w:rFonts w:cs="Arial"/>
        </w:rPr>
        <w:t xml:space="preserve"> 2019 ONCA 842</w:t>
      </w:r>
      <w:r>
        <w:rPr>
          <w:rFonts w:cs="Arial"/>
        </w:rPr>
        <w:t xml:space="preserve"> (Ontario)</w:t>
      </w:r>
      <w:r w:rsidRPr="0070551F">
        <w:rPr>
          <w:rFonts w:cs="Arial"/>
        </w:rPr>
        <w:t>; u</w:t>
      </w:r>
      <w:r w:rsidRPr="007218C6">
        <w:rPr>
          <w:rFonts w:cs="Arial"/>
        </w:rPr>
        <w:t xml:space="preserve">n jury a accordé 350 000$ </w:t>
      </w:r>
      <w:r>
        <w:rPr>
          <w:rFonts w:cs="Arial"/>
        </w:rPr>
        <w:t xml:space="preserve">en dommages non pécuniaires à un homme qui a été agressé sexuellement </w:t>
      </w:r>
      <w:r>
        <w:rPr>
          <w:rFonts w:cs="Arial"/>
        </w:rPr>
        <w:lastRenderedPageBreak/>
        <w:t xml:space="preserve">par un prêtre qui enseignait à son école. Ce montant n’a pas été modifié en appel. </w:t>
      </w:r>
    </w:p>
    <w:p w14:paraId="36A0F1BD" w14:textId="77777777" w:rsidR="00DF4E65" w:rsidRPr="00016128" w:rsidRDefault="00DF4E65" w:rsidP="007218C6">
      <w:pPr>
        <w:pStyle w:val="Paragraphedeliste"/>
        <w:rPr>
          <w:rFonts w:cs="Arial"/>
        </w:rPr>
      </w:pPr>
    </w:p>
    <w:p w14:paraId="5766AD36" w14:textId="77777777" w:rsidR="00DF4E65" w:rsidRPr="003B10DB" w:rsidRDefault="00DF4E65" w:rsidP="00DF4E65">
      <w:pPr>
        <w:pStyle w:val="Paragraphedeliste"/>
        <w:numPr>
          <w:ilvl w:val="0"/>
          <w:numId w:val="41"/>
        </w:numPr>
        <w:spacing w:after="160"/>
        <w:ind w:left="1276" w:hanging="709"/>
        <w:contextualSpacing/>
        <w:jc w:val="both"/>
        <w:rPr>
          <w:rFonts w:cs="Arial"/>
        </w:rPr>
      </w:pPr>
      <w:r w:rsidRPr="003B10DB">
        <w:rPr>
          <w:rFonts w:cs="Arial"/>
          <w:i/>
        </w:rPr>
        <w:t>S.B</w:t>
      </w:r>
      <w:r w:rsidRPr="003B10DB">
        <w:rPr>
          <w:rFonts w:cs="Arial"/>
        </w:rPr>
        <w:t xml:space="preserve">. v. </w:t>
      </w:r>
      <w:r w:rsidRPr="003B10DB">
        <w:rPr>
          <w:rFonts w:cs="Arial"/>
          <w:i/>
        </w:rPr>
        <w:t>S.B</w:t>
      </w:r>
      <w:r w:rsidRPr="003B10DB">
        <w:rPr>
          <w:rFonts w:cs="Arial"/>
        </w:rPr>
        <w:t>., 2008</w:t>
      </w:r>
      <w:r>
        <w:rPr>
          <w:rFonts w:cs="Arial"/>
        </w:rPr>
        <w:t> </w:t>
      </w:r>
      <w:r w:rsidRPr="003B10DB">
        <w:rPr>
          <w:rFonts w:cs="Arial"/>
        </w:rPr>
        <w:t>ABQB</w:t>
      </w:r>
      <w:r>
        <w:rPr>
          <w:rFonts w:cs="Arial"/>
        </w:rPr>
        <w:t> </w:t>
      </w:r>
      <w:r w:rsidRPr="003B10DB">
        <w:rPr>
          <w:rFonts w:cs="Arial"/>
        </w:rPr>
        <w:t>78</w:t>
      </w:r>
      <w:r>
        <w:rPr>
          <w:rFonts w:cs="Arial"/>
        </w:rPr>
        <w:t> (Alberta)</w:t>
      </w:r>
      <w:r w:rsidRPr="003B10DB">
        <w:rPr>
          <w:rFonts w:cs="Arial"/>
        </w:rPr>
        <w:t>; 150</w:t>
      </w:r>
      <w:r>
        <w:rPr>
          <w:rFonts w:cs="Arial"/>
        </w:rPr>
        <w:t> 000 </w:t>
      </w:r>
      <w:r w:rsidRPr="003B10DB">
        <w:rPr>
          <w:rFonts w:cs="Arial"/>
        </w:rPr>
        <w:t>$ sont octroyés en dommages non pécuniaires</w:t>
      </w:r>
      <w:r>
        <w:rPr>
          <w:rFonts w:cs="Arial"/>
        </w:rPr>
        <w:t xml:space="preserve"> à la partie demanderesse qui a été agressée par son grand-père entre l’âge de 11 à 17 ans.</w:t>
      </w:r>
    </w:p>
    <w:p w14:paraId="190FCA62" w14:textId="77777777" w:rsidR="00DF4E65" w:rsidRPr="003B10DB" w:rsidRDefault="00DF4E65" w:rsidP="008930B2">
      <w:pPr>
        <w:pStyle w:val="Paragraphedeliste"/>
        <w:ind w:left="1276"/>
        <w:jc w:val="both"/>
        <w:rPr>
          <w:rFonts w:cs="Arial"/>
        </w:rPr>
      </w:pPr>
    </w:p>
    <w:p w14:paraId="0DD3DC4F" w14:textId="77777777" w:rsidR="00DF4E65" w:rsidRPr="003B10DB" w:rsidRDefault="00DF4E65" w:rsidP="00DF4E65">
      <w:pPr>
        <w:pStyle w:val="Paragraphedeliste"/>
        <w:numPr>
          <w:ilvl w:val="0"/>
          <w:numId w:val="41"/>
        </w:numPr>
        <w:spacing w:after="160"/>
        <w:ind w:left="1276" w:hanging="709"/>
        <w:contextualSpacing/>
        <w:jc w:val="both"/>
        <w:rPr>
          <w:rFonts w:cs="Arial"/>
        </w:rPr>
      </w:pPr>
      <w:r w:rsidRPr="003B10DB">
        <w:rPr>
          <w:rFonts w:cs="Arial"/>
          <w:i/>
        </w:rPr>
        <w:t>Mrs. R</w:t>
      </w:r>
      <w:r w:rsidRPr="003B10DB">
        <w:rPr>
          <w:rFonts w:cs="Arial"/>
        </w:rPr>
        <w:t xml:space="preserve">. v. </w:t>
      </w:r>
      <w:r w:rsidRPr="003B10DB">
        <w:rPr>
          <w:rFonts w:cs="Arial"/>
          <w:i/>
        </w:rPr>
        <w:t>Mr. W.,</w:t>
      </w:r>
      <w:r w:rsidRPr="003B10DB">
        <w:rPr>
          <w:rFonts w:cs="Arial"/>
        </w:rPr>
        <w:t xml:space="preserve"> 2003</w:t>
      </w:r>
      <w:r>
        <w:rPr>
          <w:rFonts w:cs="Arial"/>
        </w:rPr>
        <w:t> </w:t>
      </w:r>
      <w:r w:rsidRPr="003B10DB">
        <w:rPr>
          <w:rFonts w:cs="Arial"/>
        </w:rPr>
        <w:t>ABQB</w:t>
      </w:r>
      <w:r>
        <w:rPr>
          <w:rFonts w:cs="Arial"/>
        </w:rPr>
        <w:t> </w:t>
      </w:r>
      <w:r w:rsidRPr="003B10DB">
        <w:rPr>
          <w:rFonts w:cs="Arial"/>
        </w:rPr>
        <w:t>50</w:t>
      </w:r>
      <w:r>
        <w:rPr>
          <w:rFonts w:cs="Arial"/>
        </w:rPr>
        <w:t> (Alberta)</w:t>
      </w:r>
      <w:r w:rsidRPr="003B10DB">
        <w:rPr>
          <w:rFonts w:cs="Arial"/>
        </w:rPr>
        <w:t>; 285</w:t>
      </w:r>
      <w:r>
        <w:rPr>
          <w:rFonts w:cs="Arial"/>
        </w:rPr>
        <w:t> 000 </w:t>
      </w:r>
      <w:r w:rsidRPr="003B10DB">
        <w:rPr>
          <w:rFonts w:cs="Arial"/>
        </w:rPr>
        <w:t>$ sont octroyés en dommages non pécuniaires</w:t>
      </w:r>
      <w:r>
        <w:rPr>
          <w:rFonts w:cs="Arial"/>
        </w:rPr>
        <w:t xml:space="preserve"> à la partie demanderesse qui a été agressée par son beau-père entre l’âge de 8 à 18 ans</w:t>
      </w:r>
      <w:r w:rsidRPr="003B10DB" w:rsidDel="001C5C81">
        <w:rPr>
          <w:rStyle w:val="Appelnotedebasdep"/>
          <w:rFonts w:cs="Arial"/>
        </w:rPr>
        <w:t xml:space="preserve"> </w:t>
      </w:r>
      <w:r w:rsidRPr="003B10DB">
        <w:rPr>
          <w:rFonts w:cs="Arial"/>
        </w:rPr>
        <w:t>.</w:t>
      </w:r>
    </w:p>
    <w:p w14:paraId="13B779D9" w14:textId="77777777" w:rsidR="00DF4E65" w:rsidRPr="003B10DB" w:rsidRDefault="00DF4E65" w:rsidP="008930B2">
      <w:pPr>
        <w:pStyle w:val="Paragraphedeliste"/>
        <w:rPr>
          <w:rFonts w:cs="Arial"/>
          <w:i/>
        </w:rPr>
      </w:pPr>
    </w:p>
    <w:p w14:paraId="00CA47B0" w14:textId="77777777" w:rsidR="00DF4E65" w:rsidRPr="003B10DB" w:rsidRDefault="00DF4E65" w:rsidP="00DF4E65">
      <w:pPr>
        <w:pStyle w:val="Paragraphedeliste"/>
        <w:numPr>
          <w:ilvl w:val="0"/>
          <w:numId w:val="41"/>
        </w:numPr>
        <w:spacing w:after="160"/>
        <w:ind w:left="1276" w:hanging="709"/>
        <w:contextualSpacing/>
        <w:jc w:val="both"/>
        <w:rPr>
          <w:rFonts w:cs="Arial"/>
        </w:rPr>
      </w:pPr>
      <w:r w:rsidRPr="003B10DB">
        <w:rPr>
          <w:rFonts w:cs="Arial"/>
          <w:i/>
        </w:rPr>
        <w:t>S.G.H</w:t>
      </w:r>
      <w:r w:rsidRPr="003B10DB">
        <w:rPr>
          <w:rFonts w:cs="Arial"/>
        </w:rPr>
        <w:t xml:space="preserve">. v. </w:t>
      </w:r>
      <w:r w:rsidRPr="003B10DB">
        <w:rPr>
          <w:rFonts w:cs="Arial"/>
          <w:i/>
        </w:rPr>
        <w:t>Gorsline</w:t>
      </w:r>
      <w:r w:rsidRPr="003B10DB">
        <w:rPr>
          <w:rFonts w:cs="Arial"/>
        </w:rPr>
        <w:t>, 2001</w:t>
      </w:r>
      <w:r>
        <w:rPr>
          <w:rFonts w:cs="Arial"/>
        </w:rPr>
        <w:t> </w:t>
      </w:r>
      <w:r w:rsidRPr="003B10DB">
        <w:rPr>
          <w:rFonts w:cs="Arial"/>
        </w:rPr>
        <w:t>ABQB</w:t>
      </w:r>
      <w:r>
        <w:rPr>
          <w:rFonts w:cs="Arial"/>
        </w:rPr>
        <w:t> </w:t>
      </w:r>
      <w:r w:rsidRPr="003B10DB">
        <w:rPr>
          <w:rFonts w:cs="Arial"/>
        </w:rPr>
        <w:t>163</w:t>
      </w:r>
      <w:r>
        <w:rPr>
          <w:rFonts w:cs="Arial"/>
        </w:rPr>
        <w:t> (Alberta)</w:t>
      </w:r>
      <w:r w:rsidRPr="003B10DB">
        <w:rPr>
          <w:rFonts w:cs="Arial"/>
        </w:rPr>
        <w:t>; 110</w:t>
      </w:r>
      <w:r>
        <w:rPr>
          <w:rFonts w:cs="Arial"/>
        </w:rPr>
        <w:t> 000 </w:t>
      </w:r>
      <w:r w:rsidRPr="003B10DB">
        <w:rPr>
          <w:rFonts w:cs="Arial"/>
        </w:rPr>
        <w:t>$ sont octroyés en dommages non pécuniaires</w:t>
      </w:r>
      <w:r>
        <w:rPr>
          <w:rFonts w:cs="Arial"/>
        </w:rPr>
        <w:t xml:space="preserve"> à la partie demanderesse qui a été agressée par son professeur d’éducation physique entre l’âge de 12 à 13 ans</w:t>
      </w:r>
      <w:r w:rsidRPr="003B10DB">
        <w:rPr>
          <w:rFonts w:cs="Arial"/>
        </w:rPr>
        <w:t>.</w:t>
      </w:r>
    </w:p>
    <w:p w14:paraId="6B2CD3D9" w14:textId="77777777" w:rsidR="00DF4E65" w:rsidRPr="003B10DB" w:rsidRDefault="00DF4E65" w:rsidP="008930B2">
      <w:pPr>
        <w:pStyle w:val="Paragraphedeliste"/>
        <w:rPr>
          <w:rFonts w:cs="Arial"/>
          <w:i/>
          <w:iCs/>
        </w:rPr>
      </w:pPr>
    </w:p>
    <w:p w14:paraId="31C80C6B" w14:textId="77777777" w:rsidR="00DF4E65" w:rsidRPr="003B10DB" w:rsidRDefault="00DF4E65" w:rsidP="00DF4E65">
      <w:pPr>
        <w:pStyle w:val="Paragraphedeliste"/>
        <w:numPr>
          <w:ilvl w:val="0"/>
          <w:numId w:val="41"/>
        </w:numPr>
        <w:spacing w:after="160"/>
        <w:ind w:left="1276" w:hanging="709"/>
        <w:contextualSpacing/>
        <w:jc w:val="both"/>
        <w:rPr>
          <w:rFonts w:cs="Arial"/>
        </w:rPr>
      </w:pPr>
      <w:r w:rsidRPr="003B10DB">
        <w:rPr>
          <w:rFonts w:cs="Arial"/>
          <w:i/>
          <w:iCs/>
        </w:rPr>
        <w:t>S.Y.</w:t>
      </w:r>
      <w:r w:rsidRPr="003B10DB">
        <w:rPr>
          <w:rFonts w:cs="Arial"/>
        </w:rPr>
        <w:t xml:space="preserve"> v. </w:t>
      </w:r>
      <w:r w:rsidRPr="003B10DB">
        <w:rPr>
          <w:rFonts w:cs="Arial"/>
          <w:i/>
          <w:iCs/>
        </w:rPr>
        <w:t>F.G.C</w:t>
      </w:r>
      <w:r w:rsidRPr="003B10DB">
        <w:rPr>
          <w:rFonts w:cs="Arial"/>
        </w:rPr>
        <w:t>., 1996</w:t>
      </w:r>
      <w:r>
        <w:rPr>
          <w:rFonts w:cs="Arial"/>
        </w:rPr>
        <w:t> </w:t>
      </w:r>
      <w:r w:rsidRPr="003B10DB">
        <w:rPr>
          <w:rFonts w:cs="Arial"/>
        </w:rPr>
        <w:t>BCCA</w:t>
      </w:r>
      <w:r>
        <w:rPr>
          <w:rFonts w:cs="Arial"/>
        </w:rPr>
        <w:t> </w:t>
      </w:r>
      <w:r w:rsidRPr="003B10DB">
        <w:rPr>
          <w:rFonts w:cs="Arial"/>
        </w:rPr>
        <w:t>6597 </w:t>
      </w:r>
      <w:r>
        <w:rPr>
          <w:rFonts w:cs="Arial"/>
        </w:rPr>
        <w:t>(Colombie-Britannique)</w:t>
      </w:r>
      <w:r w:rsidRPr="003B10DB">
        <w:rPr>
          <w:rFonts w:cs="Arial"/>
        </w:rPr>
        <w:t>: 250 000</w:t>
      </w:r>
      <w:r>
        <w:rPr>
          <w:rFonts w:cs="Arial"/>
        </w:rPr>
        <w:t> </w:t>
      </w:r>
      <w:r w:rsidRPr="003B10DB">
        <w:rPr>
          <w:rFonts w:cs="Arial"/>
        </w:rPr>
        <w:t>$ sont octroyés en dommages non pécuniaires</w:t>
      </w:r>
      <w:r w:rsidRPr="001C5C81">
        <w:rPr>
          <w:rFonts w:cs="Arial"/>
        </w:rPr>
        <w:t xml:space="preserve"> </w:t>
      </w:r>
      <w:r>
        <w:rPr>
          <w:rFonts w:cs="Arial"/>
        </w:rPr>
        <w:t>à la demanderesse qui a été agressée sexuellement par son beau-père entre l’âge de 7 et 18 ans. En première instance le tribunal avait accordé 350 000$ à titre de dommages non pécuniaires, ce montant a été réduit à 250 000$ par la Cour d’appel. Le Tribunal constate que les tribunaux qui réfèrent encore aujourd’hui à cette décision insistent pour indiquer que le montant accordé, devrait aujourd’hui correspondre à une somme de 490 000$ si l’on tient compte de l’inflation</w:t>
      </w:r>
      <w:r>
        <w:rPr>
          <w:rStyle w:val="Appelnotedebasdep"/>
          <w:rFonts w:cs="Arial"/>
        </w:rPr>
        <w:footnoteReference w:id="62"/>
      </w:r>
      <w:r>
        <w:rPr>
          <w:rFonts w:cs="Arial"/>
        </w:rPr>
        <w:t>.</w:t>
      </w:r>
    </w:p>
    <w:p w14:paraId="62912921" w14:textId="77777777" w:rsidR="00DF4E65" w:rsidRPr="003B10DB" w:rsidRDefault="00DF4E65" w:rsidP="008930B2">
      <w:pPr>
        <w:pStyle w:val="Paragraphedeliste"/>
        <w:spacing w:line="276" w:lineRule="auto"/>
        <w:ind w:left="927"/>
        <w:jc w:val="both"/>
        <w:rPr>
          <w:rFonts w:cs="Arial"/>
        </w:rPr>
      </w:pPr>
    </w:p>
    <w:p w14:paraId="75E3C308" w14:textId="77777777" w:rsidR="00DF4E65" w:rsidRDefault="00DF4E65" w:rsidP="00EB5C1F">
      <w:pPr>
        <w:numPr>
          <w:ilvl w:val="0"/>
          <w:numId w:val="1"/>
        </w:numPr>
        <w:tabs>
          <w:tab w:val="clear" w:pos="360"/>
        </w:tabs>
        <w:spacing w:before="120" w:after="120"/>
        <w:jc w:val="both"/>
        <w:rPr>
          <w:rFonts w:cs="Arial"/>
        </w:rPr>
      </w:pPr>
      <w:r>
        <w:rPr>
          <w:rFonts w:cs="Arial"/>
        </w:rPr>
        <w:t>Cette dernière décision de la Cour d’appel de la Colombie-Britannique a de quoi faire réfléchir. La Cour d’appel y précise qu’en 1996, le montant des indemnités accordées dans les cas d’abus sexuels commis par des personnes en qui la victime aurait dû pouvoir avoir entièrement confiance et par qui elles auraient dû être protégées, oscille entre 100 000$ et 175 000$ :</w:t>
      </w:r>
    </w:p>
    <w:p w14:paraId="3DBE0743" w14:textId="77777777" w:rsidR="00DF4E65" w:rsidRPr="00A273AC" w:rsidRDefault="00DF4E65" w:rsidP="00A273AC">
      <w:pPr>
        <w:pStyle w:val="Paragrdouble"/>
        <w:numPr>
          <w:ilvl w:val="0"/>
          <w:numId w:val="0"/>
        </w:numPr>
        <w:spacing w:line="240" w:lineRule="auto"/>
        <w:ind w:left="731" w:right="857"/>
        <w:rPr>
          <w:rFonts w:cs="Arial"/>
          <w:sz w:val="22"/>
          <w:szCs w:val="22"/>
          <w:lang w:val="en-CA"/>
        </w:rPr>
      </w:pPr>
      <w:r w:rsidRPr="00A273AC">
        <w:rPr>
          <w:sz w:val="22"/>
          <w:szCs w:val="22"/>
          <w:lang w:val="en-CA" w:eastAsia="fr-CA"/>
        </w:rPr>
        <w:t>50 The foregoing cases present a variety of circumstances and describe differing degrees of harm caused by sexual abuse</w:t>
      </w:r>
      <w:r w:rsidRPr="00A273AC">
        <w:rPr>
          <w:sz w:val="22"/>
          <w:szCs w:val="22"/>
          <w:u w:val="single"/>
          <w:lang w:val="en-CA" w:eastAsia="fr-CA"/>
        </w:rPr>
        <w:t>. They exemplify the difficulty of giving solace or satisfaction to a person who has been abused by one he or she was entitled to trust, and who may suffer from the psychological impact of that abuse for years to come</w:t>
      </w:r>
      <w:r w:rsidRPr="00A273AC">
        <w:rPr>
          <w:sz w:val="22"/>
          <w:szCs w:val="22"/>
          <w:lang w:val="en-CA" w:eastAsia="fr-CA"/>
        </w:rPr>
        <w:t xml:space="preserve">.  What amount of money is sufficient as a substitute for lost pleasures and amenities, and as compensation for what yet remains to be </w:t>
      </w:r>
      <w:r w:rsidRPr="00A273AC">
        <w:rPr>
          <w:sz w:val="22"/>
          <w:szCs w:val="22"/>
          <w:lang w:val="en-CA" w:eastAsia="fr-CA"/>
        </w:rPr>
        <w:lastRenderedPageBreak/>
        <w:t xml:space="preserve">suffered?  Prior to 1990 a respected judge thought $40,000 to be sufficient.  Within about five years other judges of the same Court thought $80,000 - $85,000 to be fair.  </w:t>
      </w:r>
      <w:r w:rsidRPr="00A273AC">
        <w:rPr>
          <w:sz w:val="22"/>
          <w:szCs w:val="22"/>
          <w:u w:val="single"/>
          <w:lang w:val="en-CA" w:eastAsia="fr-CA"/>
        </w:rPr>
        <w:t>Now awards by judges appear to range from about $100,00 to $175,000.</w:t>
      </w:r>
      <w:r w:rsidRPr="00A273AC">
        <w:rPr>
          <w:sz w:val="22"/>
          <w:szCs w:val="22"/>
          <w:lang w:val="en-CA" w:eastAsia="fr-CA"/>
        </w:rPr>
        <w:t xml:space="preserve">  It is understandable that juries, without guidance as to the range of awards in comparable cases, may have more difficulty than judges in keeping their emotions under control, and in making awards </w:t>
      </w:r>
      <w:proofErr w:type="gramStart"/>
      <w:r w:rsidRPr="00A273AC">
        <w:rPr>
          <w:sz w:val="22"/>
          <w:szCs w:val="22"/>
          <w:lang w:val="en-CA" w:eastAsia="fr-CA"/>
        </w:rPr>
        <w:t>as a result of</w:t>
      </w:r>
      <w:proofErr w:type="gramEnd"/>
      <w:r w:rsidRPr="00A273AC">
        <w:rPr>
          <w:sz w:val="22"/>
          <w:szCs w:val="22"/>
          <w:lang w:val="en-CA" w:eastAsia="fr-CA"/>
        </w:rPr>
        <w:t xml:space="preserve"> reasoned analysis. </w:t>
      </w:r>
    </w:p>
    <w:p w14:paraId="3E296AD5" w14:textId="77777777" w:rsidR="00DF4E65" w:rsidRPr="00940533" w:rsidRDefault="00DF4E65" w:rsidP="00A273AC">
      <w:pPr>
        <w:pStyle w:val="Paragrsimple"/>
      </w:pPr>
      <w:r w:rsidRPr="00940533">
        <w:t xml:space="preserve">Le Tribunal ne peut que constater que les sommes octroyées il y a 30 ans, par les tribunaux de la Colombie-Britannique dans des dossiers d’abus sexuels contre de jeunes enfants, correspondent aux montants maximums accordés par les tribunaux québécois aujourd’hui et ce, sans avoir été actualisés pour tenir compte de l’inflation. En dollars d’aujourd’hui, les sommes versées en 1996 par les tribunaux de la Colombie-Britannique seraient autrement plus avantageuses. D’ailleurs, la fourchette des indemnités accordées par les tribunaux de la Colombie-Britannique aux victimes d’abus sexuels pendant leur enfance pour leurs pertes non pécuniaires a continué d’augmenter au fil des années. En 2014, les sommes accordées se situaient entre </w:t>
      </w:r>
      <w:r w:rsidRPr="00940533">
        <w:rPr>
          <w:rFonts w:cs="Arial"/>
        </w:rPr>
        <w:t>150 000 $ et 265 000 $</w:t>
      </w:r>
      <w:bookmarkStart w:id="19" w:name="_Ref226365547"/>
      <w:r w:rsidRPr="00940533">
        <w:rPr>
          <w:rStyle w:val="Appelnotedebasdep"/>
          <w:rFonts w:cs="Arial"/>
        </w:rPr>
        <w:footnoteReference w:id="63"/>
      </w:r>
      <w:bookmarkEnd w:id="19"/>
    </w:p>
    <w:p w14:paraId="55F450E2" w14:textId="77777777" w:rsidR="00DF4E65" w:rsidRPr="00940533" w:rsidRDefault="00DF4E65" w:rsidP="00EB5C1F">
      <w:pPr>
        <w:numPr>
          <w:ilvl w:val="0"/>
          <w:numId w:val="1"/>
        </w:numPr>
        <w:tabs>
          <w:tab w:val="clear" w:pos="360"/>
        </w:tabs>
        <w:spacing w:before="120" w:after="120"/>
        <w:jc w:val="both"/>
        <w:rPr>
          <w:rFonts w:cs="Arial"/>
        </w:rPr>
      </w:pPr>
      <w:r w:rsidRPr="00940533">
        <w:rPr>
          <w:rFonts w:cs="Arial"/>
        </w:rPr>
        <w:t>À titre comparatif, il est également intéressant d’ajouter qu’en 2017, la Cour supérieure de l’Ontario avait reconnu que les indemnités accordées aux victimes d’agression sexuelles d’âge majeur variaient en 2008 entre 125 000 $ à 250 000 $, ce qui correspond, avec l’inflation, à des montants de 144 000$ à 290 000$ au moment du jugement</w:t>
      </w:r>
      <w:r w:rsidRPr="00940533">
        <w:rPr>
          <w:rStyle w:val="Appelnotedebasdep"/>
          <w:rFonts w:cs="Arial"/>
        </w:rPr>
        <w:footnoteReference w:id="64"/>
      </w:r>
      <w:r w:rsidRPr="00940533">
        <w:rPr>
          <w:rFonts w:cs="Arial"/>
        </w:rPr>
        <w:t>. La Cour ontarienne s’est appuyée sur ce constat pour accorder une indemnité de 175 000$ à titre de dommages non pécuniaires à une femme à la suite de l’agression sexuelle dont elle a été victime. La Cour d’appel de l’Ontario a confirmé le montant octroyé en rappelant l’objectif des dommages non pécuniaires en matière de violences sexuelles </w:t>
      </w:r>
      <w:r w:rsidRPr="00940533">
        <w:rPr>
          <w:rStyle w:val="Appelnotedebasdep"/>
          <w:rFonts w:cs="Arial"/>
        </w:rPr>
        <w:footnoteReference w:id="65"/>
      </w:r>
      <w:r w:rsidRPr="00940533">
        <w:rPr>
          <w:rFonts w:cs="Arial"/>
        </w:rPr>
        <w:t>:</w:t>
      </w:r>
    </w:p>
    <w:p w14:paraId="18CFD056" w14:textId="77777777" w:rsidR="00DF4E65" w:rsidRPr="00A273AC" w:rsidRDefault="00DF4E65" w:rsidP="001510D2">
      <w:pPr>
        <w:pStyle w:val="Citationenretrait"/>
        <w:rPr>
          <w:lang w:val="en-CA"/>
        </w:rPr>
      </w:pPr>
      <w:r w:rsidRPr="00940533">
        <w:rPr>
          <w:lang w:val="en-CA"/>
        </w:rPr>
        <w:t>[</w:t>
      </w:r>
      <w:bookmarkStart w:id="20" w:name="par12"/>
      <w:r w:rsidRPr="00940533">
        <w:rPr>
          <w:lang w:val="en-CA"/>
        </w:rPr>
        <w:t>12</w:t>
      </w:r>
      <w:bookmarkEnd w:id="20"/>
      <w:r w:rsidRPr="00940533">
        <w:rPr>
          <w:lang w:val="en-CA"/>
        </w:rPr>
        <w:t>] First, there is the purpose of non-pecuniary damages in sexual assault and battery cases: “to provide solace for the victim's pain and suffering and loss of enjoyment of life, to vindicate the victim's</w:t>
      </w:r>
      <w:r w:rsidRPr="00A273AC">
        <w:rPr>
          <w:lang w:val="en-CA"/>
        </w:rPr>
        <w:t xml:space="preserve"> dignity and personal autonomy and to recognize the humiliating and degrading nature of the wrongful acts” </w:t>
      </w:r>
    </w:p>
    <w:p w14:paraId="77782BBC" w14:textId="77777777" w:rsidR="00DF4E65" w:rsidRDefault="00DF4E65" w:rsidP="002A6E34">
      <w:pPr>
        <w:numPr>
          <w:ilvl w:val="0"/>
          <w:numId w:val="1"/>
        </w:numPr>
        <w:tabs>
          <w:tab w:val="clear" w:pos="360"/>
        </w:tabs>
        <w:spacing w:before="120" w:after="120"/>
        <w:jc w:val="both"/>
        <w:rPr>
          <w:rFonts w:cs="Arial"/>
        </w:rPr>
      </w:pPr>
      <w:r>
        <w:rPr>
          <w:rFonts w:cs="Arial"/>
        </w:rPr>
        <w:t>I</w:t>
      </w:r>
      <w:r w:rsidRPr="003B10DB">
        <w:rPr>
          <w:rFonts w:cs="Arial"/>
        </w:rPr>
        <w:t>l importe de souligner que, selon le juge Hamilton de la Cour d’appel</w:t>
      </w:r>
      <w:r>
        <w:rPr>
          <w:rFonts w:cs="Arial"/>
        </w:rPr>
        <w:t xml:space="preserve"> du Québec</w:t>
      </w:r>
      <w:r w:rsidRPr="003B10DB">
        <w:rPr>
          <w:rFonts w:cs="Arial"/>
        </w:rPr>
        <w:t>, les sommes accordées pour des sévices subis pendant l’enfance devraient être plus importantes que pour des sévices subis à l’âge adulte</w:t>
      </w:r>
      <w:r w:rsidRPr="003B10DB">
        <w:rPr>
          <w:rStyle w:val="Appelnotedebasdep"/>
          <w:rFonts w:cs="Arial"/>
        </w:rPr>
        <w:footnoteReference w:id="66"/>
      </w:r>
      <w:r w:rsidRPr="003B10DB">
        <w:rPr>
          <w:rFonts w:cs="Arial"/>
        </w:rPr>
        <w:t>.</w:t>
      </w:r>
    </w:p>
    <w:p w14:paraId="5832C9DA" w14:textId="77777777" w:rsidR="00DF4E65" w:rsidRDefault="00DF4E65" w:rsidP="002A6E34">
      <w:pPr>
        <w:numPr>
          <w:ilvl w:val="0"/>
          <w:numId w:val="1"/>
        </w:numPr>
        <w:tabs>
          <w:tab w:val="clear" w:pos="360"/>
        </w:tabs>
        <w:spacing w:before="120" w:after="120"/>
        <w:jc w:val="both"/>
        <w:rPr>
          <w:rFonts w:cs="Arial"/>
        </w:rPr>
      </w:pPr>
      <w:r>
        <w:rPr>
          <w:rFonts w:cs="Arial"/>
        </w:rPr>
        <w:t xml:space="preserve">Et pourtant, comme nous l’avons mentionné précédemment, au Québec, les sommes les plus élevées accordées par les tribunaux à titre de dommages non </w:t>
      </w:r>
      <w:r>
        <w:rPr>
          <w:rFonts w:cs="Arial"/>
        </w:rPr>
        <w:lastRenderedPageBreak/>
        <w:t>pécuniaires dans des litiges impliquant des violences sexuelles sur des enfants mineurs varient entre 75 000$ et 150 000$ :</w:t>
      </w:r>
    </w:p>
    <w:p w14:paraId="2F768218" w14:textId="77777777" w:rsidR="00DF4E65" w:rsidRPr="00A273AC" w:rsidRDefault="00DF4E65" w:rsidP="00DF4E65">
      <w:pPr>
        <w:pStyle w:val="Paragrsimple"/>
        <w:numPr>
          <w:ilvl w:val="1"/>
          <w:numId w:val="39"/>
        </w:numPr>
        <w:ind w:left="993"/>
        <w:rPr>
          <w:sz w:val="22"/>
          <w:lang w:eastAsia="en-US"/>
        </w:rPr>
      </w:pPr>
      <w:r>
        <w:rPr>
          <w:i/>
          <w:iCs/>
          <w:sz w:val="22"/>
          <w:lang w:eastAsia="en-US"/>
        </w:rPr>
        <w:t>G. L. c. E. L.</w:t>
      </w:r>
      <w:r>
        <w:rPr>
          <w:sz w:val="22"/>
          <w:lang w:eastAsia="en-US"/>
        </w:rPr>
        <w:t xml:space="preserve">, 2022 QCVCS 3983, une indemnité non pécuniaire de 100 000$ est reconnue à la victime qui a été abusée sexuelle par ses oncles alors qu’elle était âgée de 6 à 15 ans.  Un montant de 25 000$ a été accordé par le tribunal qui a tenu compte d’une entente prévoyant le versement de 75 000$ avec certains des défendeurs. </w:t>
      </w:r>
    </w:p>
    <w:p w14:paraId="70699AA6" w14:textId="77777777" w:rsidR="00DF4E65" w:rsidRDefault="00DF4E65" w:rsidP="00DF4E65">
      <w:pPr>
        <w:pStyle w:val="Paragrsimple"/>
        <w:numPr>
          <w:ilvl w:val="1"/>
          <w:numId w:val="39"/>
        </w:numPr>
        <w:ind w:left="993"/>
        <w:rPr>
          <w:sz w:val="22"/>
          <w:lang w:eastAsia="en-US"/>
        </w:rPr>
      </w:pPr>
      <w:r w:rsidRPr="00EA7E06">
        <w:rPr>
          <w:i/>
          <w:iCs/>
        </w:rPr>
        <w:t>A.</w:t>
      </w:r>
      <w:r>
        <w:t xml:space="preserve"> c. </w:t>
      </w:r>
      <w:r w:rsidRPr="00EA7E06">
        <w:rPr>
          <w:i/>
          <w:iCs/>
        </w:rPr>
        <w:t>B.</w:t>
      </w:r>
      <w:r>
        <w:t>, 2022</w:t>
      </w:r>
      <w:r>
        <w:rPr>
          <w:rFonts w:ascii="Cambria Math" w:hAnsi="Cambria Math"/>
        </w:rPr>
        <w:t> </w:t>
      </w:r>
      <w:r>
        <w:t>QCCS</w:t>
      </w:r>
      <w:r>
        <w:rPr>
          <w:rFonts w:ascii="Cambria Math" w:hAnsi="Cambria Math"/>
        </w:rPr>
        <w:t> </w:t>
      </w:r>
      <w:r>
        <w:t>768 (appel accueilli en partie aux seules fins de modifier les dommages exemplaires, 2024 QCCA 774)</w:t>
      </w:r>
      <w:r>
        <w:rPr>
          <w:rFonts w:ascii="Cambria Math" w:hAnsi="Cambria Math"/>
        </w:rPr>
        <w:t> </w:t>
      </w:r>
      <w:r>
        <w:t>: 150</w:t>
      </w:r>
      <w:r>
        <w:rPr>
          <w:rFonts w:ascii="Cambria Math" w:hAnsi="Cambria Math"/>
        </w:rPr>
        <w:t> </w:t>
      </w:r>
      <w:r>
        <w:t>000</w:t>
      </w:r>
      <w:r>
        <w:rPr>
          <w:rFonts w:ascii="Cambria Math" w:hAnsi="Cambria Math"/>
        </w:rPr>
        <w:t> </w:t>
      </w:r>
      <w:r>
        <w:t>$ sont octroyés pour les dommages non pécuniaires à la partie défenderesse qui a été victime d’abus et de gestes à caractère sexuel par son grand-père sur une période de 23 mois alors qu’elle était âgée entre 13 et 15 ans.</w:t>
      </w:r>
    </w:p>
    <w:p w14:paraId="1E5EBA88" w14:textId="77777777" w:rsidR="00DF4E65" w:rsidRDefault="00DF4E65" w:rsidP="00DF4E65">
      <w:pPr>
        <w:pStyle w:val="Paragrsimple"/>
        <w:numPr>
          <w:ilvl w:val="1"/>
          <w:numId w:val="39"/>
        </w:numPr>
        <w:ind w:left="993"/>
      </w:pPr>
      <w:r w:rsidRPr="00EA7E06">
        <w:rPr>
          <w:i/>
          <w:iCs/>
        </w:rPr>
        <w:t>Bolduc</w:t>
      </w:r>
      <w:r>
        <w:t xml:space="preserve"> c. </w:t>
      </w:r>
      <w:r w:rsidRPr="00EA7E06">
        <w:rPr>
          <w:i/>
          <w:iCs/>
        </w:rPr>
        <w:t>Leclerc</w:t>
      </w:r>
      <w:r>
        <w:t xml:space="preserve">, 2022 QCCS 3238 : La Cour accorde 75 000$ à titre de dommages non pécuniaires à la demanderesse. Celle-ci a été victime d’attouchements sexuels à l’âge de 10 ans et d’un viol à l’âge de 17 ans par son oncle. </w:t>
      </w:r>
    </w:p>
    <w:p w14:paraId="3326C05C" w14:textId="77777777" w:rsidR="00DF4E65" w:rsidRDefault="00DF4E65" w:rsidP="00DF4E65">
      <w:pPr>
        <w:pStyle w:val="Paragrsimple"/>
        <w:numPr>
          <w:ilvl w:val="1"/>
          <w:numId w:val="39"/>
        </w:numPr>
        <w:ind w:left="993"/>
      </w:pPr>
      <w:r w:rsidRPr="00EA7E06">
        <w:rPr>
          <w:i/>
          <w:iCs/>
        </w:rPr>
        <w:t>N.B.</w:t>
      </w:r>
      <w:r>
        <w:t xml:space="preserve"> c. </w:t>
      </w:r>
      <w:r w:rsidRPr="00EA7E06">
        <w:rPr>
          <w:i/>
          <w:iCs/>
        </w:rPr>
        <w:t>G.A.</w:t>
      </w:r>
      <w:r>
        <w:t xml:space="preserve">, 2021 QCCS 3179, la Cour supérieure accorde 100 000$ à titre de dommages non pécuniaires à la demanderesse. Celle-ci a été victime d’abus sexuels de la part de son oncle alors qu’elle était âgée entre 9 et 16 ans.  </w:t>
      </w:r>
    </w:p>
    <w:p w14:paraId="70AE51CD" w14:textId="77777777" w:rsidR="00DF4E65" w:rsidRDefault="00DF4E65" w:rsidP="00DF4E65">
      <w:pPr>
        <w:pStyle w:val="Paragrsimple"/>
        <w:numPr>
          <w:ilvl w:val="1"/>
          <w:numId w:val="39"/>
        </w:numPr>
        <w:ind w:left="993"/>
      </w:pPr>
      <w:r>
        <w:t xml:space="preserve">Succession de </w:t>
      </w:r>
      <w:r w:rsidRPr="00EA7E06">
        <w:rPr>
          <w:i/>
          <w:iCs/>
        </w:rPr>
        <w:t>G.P.</w:t>
      </w:r>
      <w:r>
        <w:t xml:space="preserve"> c. </w:t>
      </w:r>
      <w:r w:rsidRPr="00EA7E06">
        <w:rPr>
          <w:i/>
          <w:iCs/>
        </w:rPr>
        <w:t>L.P.</w:t>
      </w:r>
      <w:r>
        <w:t>, 2019</w:t>
      </w:r>
      <w:r>
        <w:rPr>
          <w:rFonts w:ascii="Cambria Math" w:hAnsi="Cambria Math"/>
        </w:rPr>
        <w:t> </w:t>
      </w:r>
      <w:r>
        <w:t>QCCA</w:t>
      </w:r>
      <w:r>
        <w:rPr>
          <w:rFonts w:ascii="Cambria Math" w:hAnsi="Cambria Math"/>
        </w:rPr>
        <w:t> </w:t>
      </w:r>
      <w:r>
        <w:t>863 (Requête pour autorisation de pourvoi à la Cour suprême rejetée [C.S.</w:t>
      </w:r>
      <w:r>
        <w:rPr>
          <w:rFonts w:ascii="Cambria Math" w:hAnsi="Cambria Math"/>
        </w:rPr>
        <w:t> </w:t>
      </w:r>
      <w:r>
        <w:t>Can., 2020-01-09])</w:t>
      </w:r>
      <w:r>
        <w:rPr>
          <w:rFonts w:ascii="Cambria Math" w:hAnsi="Cambria Math"/>
        </w:rPr>
        <w:t> </w:t>
      </w:r>
      <w:r>
        <w:t>: 100 000$ sont octroyés à l’une des demanderesses qui a été victime d’abus sexuels, physiques et psychologiques par son père</w:t>
      </w:r>
      <w:r w:rsidRPr="00CF74C2">
        <w:t xml:space="preserve">, </w:t>
      </w:r>
      <w:r>
        <w:t xml:space="preserve">dès l’âge de 8 ans et pour une </w:t>
      </w:r>
      <w:r w:rsidRPr="00EA7E06">
        <w:t>durée d'environ 7 ans</w:t>
      </w:r>
      <w:r>
        <w:t>. La Cour d’appel accueille en partie l’appel et confirme le montant de 100</w:t>
      </w:r>
      <w:r>
        <w:rPr>
          <w:rFonts w:ascii="Cambria Math" w:hAnsi="Cambria Math"/>
        </w:rPr>
        <w:t> </w:t>
      </w:r>
      <w:r>
        <w:t>000</w:t>
      </w:r>
      <w:r>
        <w:rPr>
          <w:rFonts w:ascii="Cambria Math" w:hAnsi="Cambria Math"/>
        </w:rPr>
        <w:t> </w:t>
      </w:r>
      <w:r>
        <w:t>$ octroyé à l’une des victimes en Cour supérieure pour les dommages non pécuniaires.</w:t>
      </w:r>
    </w:p>
    <w:p w14:paraId="6A851124" w14:textId="77777777" w:rsidR="00DF4E65" w:rsidRDefault="00DF4E65" w:rsidP="00DF4E65">
      <w:pPr>
        <w:pStyle w:val="Paragrsimple"/>
        <w:numPr>
          <w:ilvl w:val="1"/>
          <w:numId w:val="39"/>
        </w:numPr>
        <w:ind w:left="993"/>
      </w:pPr>
      <w:r w:rsidRPr="00EA7E06">
        <w:rPr>
          <w:i/>
          <w:iCs/>
        </w:rPr>
        <w:t>H.C.</w:t>
      </w:r>
      <w:r>
        <w:t xml:space="preserve"> c. </w:t>
      </w:r>
      <w:r w:rsidRPr="00EA7E06">
        <w:rPr>
          <w:i/>
          <w:iCs/>
        </w:rPr>
        <w:t>V. Cl.</w:t>
      </w:r>
      <w:r>
        <w:t xml:space="preserve"> 2016 QCCS 858 : La Cour supérieure accorde 125 000$ à la partie demanderesse pour les dommages non pécuniaires. La victime a subi des abus sexuels de la part de son oncle alors qu’elle était âgée entre 9 et 17 ans.</w:t>
      </w:r>
    </w:p>
    <w:p w14:paraId="0DEF9308" w14:textId="77777777" w:rsidR="00DF4E65" w:rsidRDefault="00DF4E65" w:rsidP="00DF4E65">
      <w:pPr>
        <w:pStyle w:val="Paragrsimple"/>
        <w:numPr>
          <w:ilvl w:val="1"/>
          <w:numId w:val="39"/>
        </w:numPr>
        <w:ind w:left="993"/>
      </w:pPr>
      <w:r w:rsidRPr="00EA7E06">
        <w:rPr>
          <w:i/>
          <w:iCs/>
        </w:rPr>
        <w:t>J.K.</w:t>
      </w:r>
      <w:r>
        <w:t xml:space="preserve"> c. </w:t>
      </w:r>
      <w:r w:rsidRPr="00EA7E06">
        <w:rPr>
          <w:i/>
          <w:iCs/>
        </w:rPr>
        <w:t>S.D.</w:t>
      </w:r>
      <w:r>
        <w:t>, 2009 QCCS 2004. La Cour supérieure accorde 100 000$ à la partie demanderesse pour les dommages non pécuniaires. La victime a été abusée sexuellement par son beau-père alors qu’elle était âgée entre 11 et 17 ans. Les abus ont perduré pendant 6 ans.</w:t>
      </w:r>
    </w:p>
    <w:p w14:paraId="3AE86489" w14:textId="77777777" w:rsidR="00DF4E65" w:rsidRDefault="00DF4E65" w:rsidP="00DF4E65">
      <w:pPr>
        <w:pStyle w:val="Paragrsimple"/>
        <w:numPr>
          <w:ilvl w:val="1"/>
          <w:numId w:val="39"/>
        </w:numPr>
        <w:ind w:left="993"/>
      </w:pPr>
      <w:r w:rsidRPr="00EA7E06">
        <w:rPr>
          <w:i/>
          <w:iCs/>
        </w:rPr>
        <w:t>M.</w:t>
      </w:r>
      <w:r w:rsidRPr="00EA7E06">
        <w:rPr>
          <w:rFonts w:ascii="Cambria Math" w:hAnsi="Cambria Math"/>
          <w:i/>
          <w:iCs/>
        </w:rPr>
        <w:t> </w:t>
      </w:r>
      <w:r w:rsidRPr="00EA7E06">
        <w:rPr>
          <w:i/>
          <w:iCs/>
        </w:rPr>
        <w:t>B.-C.</w:t>
      </w:r>
      <w:r>
        <w:t xml:space="preserve"> c. </w:t>
      </w:r>
      <w:r w:rsidRPr="00EA7E06">
        <w:rPr>
          <w:i/>
          <w:iCs/>
        </w:rPr>
        <w:t>L.H</w:t>
      </w:r>
      <w:r>
        <w:t>, J.E.</w:t>
      </w:r>
      <w:r>
        <w:rPr>
          <w:rFonts w:ascii="Cambria Math" w:hAnsi="Cambria Math"/>
        </w:rPr>
        <w:t> </w:t>
      </w:r>
      <w:r>
        <w:t>2005-824 (C.S.)</w:t>
      </w:r>
      <w:r>
        <w:rPr>
          <w:rFonts w:ascii="Cambria Math" w:hAnsi="Cambria Math"/>
        </w:rPr>
        <w:t> </w:t>
      </w:r>
      <w:r>
        <w:t>: La fille de la demanderesse, M.B.-C., a été sexuellement agressée par son parrain alors qu’elle était âgée de six ou sept ans. Les abus se sont déroulés sur une période de deux ans. 125</w:t>
      </w:r>
      <w:r>
        <w:rPr>
          <w:rFonts w:ascii="Cambria Math" w:hAnsi="Cambria Math"/>
        </w:rPr>
        <w:t> </w:t>
      </w:r>
      <w:r>
        <w:t>000</w:t>
      </w:r>
      <w:r>
        <w:rPr>
          <w:rFonts w:ascii="Cambria Math" w:hAnsi="Cambria Math"/>
        </w:rPr>
        <w:t> </w:t>
      </w:r>
      <w:r>
        <w:t>$ sont octroyés pour les dommages non pécuniaires.</w:t>
      </w:r>
    </w:p>
    <w:p w14:paraId="0065B251" w14:textId="77777777" w:rsidR="00DF4E65" w:rsidRDefault="00DF4E65" w:rsidP="00DF4E65">
      <w:pPr>
        <w:pStyle w:val="Titre4"/>
        <w:numPr>
          <w:ilvl w:val="2"/>
          <w:numId w:val="37"/>
        </w:numPr>
        <w:ind w:left="1260"/>
        <w:rPr>
          <w:rFonts w:cs="Arial"/>
        </w:rPr>
      </w:pPr>
      <w:r>
        <w:rPr>
          <w:rFonts w:cs="Arial"/>
        </w:rPr>
        <w:lastRenderedPageBreak/>
        <w:t xml:space="preserve">Discussion           </w:t>
      </w:r>
    </w:p>
    <w:p w14:paraId="58767908" w14:textId="77777777" w:rsidR="00DF4E65" w:rsidRDefault="00DF4E65" w:rsidP="00D713AF">
      <w:pPr>
        <w:numPr>
          <w:ilvl w:val="0"/>
          <w:numId w:val="1"/>
        </w:numPr>
        <w:tabs>
          <w:tab w:val="clear" w:pos="360"/>
        </w:tabs>
        <w:spacing w:before="120" w:after="120"/>
        <w:jc w:val="both"/>
        <w:rPr>
          <w:kern w:val="28"/>
        </w:rPr>
      </w:pPr>
      <w:r>
        <w:rPr>
          <w:kern w:val="28"/>
        </w:rPr>
        <w:t>En l’espèce, J. C. réclame 250 000$ à titre de dommages non pécuniaires.</w:t>
      </w:r>
    </w:p>
    <w:p w14:paraId="540E1D2B" w14:textId="77777777" w:rsidR="00DF4E65" w:rsidRDefault="00DF4E65" w:rsidP="00443765">
      <w:pPr>
        <w:numPr>
          <w:ilvl w:val="0"/>
          <w:numId w:val="1"/>
        </w:numPr>
        <w:tabs>
          <w:tab w:val="clear" w:pos="360"/>
        </w:tabs>
        <w:spacing w:before="120" w:after="120"/>
        <w:jc w:val="both"/>
        <w:rPr>
          <w:kern w:val="28"/>
        </w:rPr>
      </w:pPr>
      <w:r>
        <w:rPr>
          <w:kern w:val="28"/>
        </w:rPr>
        <w:t>Le Tribunal est d’accord de lui accorder cette somme et voici pourquoi.</w:t>
      </w:r>
    </w:p>
    <w:p w14:paraId="3C81ED1D" w14:textId="77777777" w:rsidR="00DF4E65" w:rsidRDefault="00DF4E65" w:rsidP="00443765">
      <w:pPr>
        <w:numPr>
          <w:ilvl w:val="0"/>
          <w:numId w:val="1"/>
        </w:numPr>
        <w:tabs>
          <w:tab w:val="clear" w:pos="360"/>
        </w:tabs>
        <w:spacing w:before="120" w:after="120"/>
        <w:jc w:val="both"/>
        <w:rPr>
          <w:kern w:val="28"/>
        </w:rPr>
      </w:pPr>
      <w:r>
        <w:rPr>
          <w:kern w:val="28"/>
        </w:rPr>
        <w:t>Sans reprendre les conclusions de l’experte Saint-Hilaire, on peut rappeler ici que les sévices vécus par J. C. se sont déroulés de l’âge de 5 ans jusqu’à 10 ans. Ces agressions ont été perpétrées par son propre père. En outre, force est de constater que sa mère n’a pu la protéger de son agresseur et qu’il a fallu plusieurs années avant que quelqu’un réalise l’horreur que vivait cette enfant.</w:t>
      </w:r>
    </w:p>
    <w:p w14:paraId="5F7239FD" w14:textId="77777777" w:rsidR="00DF4E65" w:rsidRDefault="00DF4E65" w:rsidP="00443765">
      <w:pPr>
        <w:numPr>
          <w:ilvl w:val="0"/>
          <w:numId w:val="1"/>
        </w:numPr>
        <w:tabs>
          <w:tab w:val="clear" w:pos="360"/>
        </w:tabs>
        <w:spacing w:before="120" w:after="120"/>
        <w:jc w:val="both"/>
        <w:rPr>
          <w:kern w:val="28"/>
        </w:rPr>
      </w:pPr>
      <w:r>
        <w:rPr>
          <w:kern w:val="28"/>
        </w:rPr>
        <w:t>Les conséquences des ignobles comportements du père de J. C. sont vastes et complexes.</w:t>
      </w:r>
    </w:p>
    <w:p w14:paraId="3C27918D" w14:textId="77777777" w:rsidR="00DF4E65" w:rsidRDefault="00DF4E65" w:rsidP="00443765">
      <w:pPr>
        <w:numPr>
          <w:ilvl w:val="0"/>
          <w:numId w:val="1"/>
        </w:numPr>
        <w:tabs>
          <w:tab w:val="clear" w:pos="360"/>
        </w:tabs>
        <w:spacing w:before="120" w:after="120"/>
        <w:jc w:val="both"/>
        <w:rPr>
          <w:kern w:val="28"/>
        </w:rPr>
      </w:pPr>
      <w:r>
        <w:rPr>
          <w:kern w:val="28"/>
        </w:rPr>
        <w:t>Certains constats de l’experte, notamment à l’égard du diagnostic du TSPT donnent un aperçu des conséquences avec lesquelles doit vivre J. C. :</w:t>
      </w:r>
    </w:p>
    <w:p w14:paraId="5507A49D" w14:textId="77777777" w:rsidR="00DF4E65" w:rsidRPr="00E42AF2" w:rsidRDefault="00DF4E65" w:rsidP="00443765">
      <w:pPr>
        <w:spacing w:before="120" w:after="120"/>
        <w:ind w:left="731"/>
        <w:jc w:val="both"/>
        <w:rPr>
          <w:kern w:val="28"/>
          <w:sz w:val="22"/>
          <w:szCs w:val="22"/>
        </w:rPr>
      </w:pPr>
      <w:r w:rsidRPr="00E42AF2">
        <w:rPr>
          <w:kern w:val="28"/>
          <w:sz w:val="22"/>
          <w:szCs w:val="22"/>
        </w:rPr>
        <w:t xml:space="preserve">Le TSPT complexe et ses comorbidités sont directement causés par les agressions perpétrées par le père. À partir de 5 ans, elle a donc vécu une enfance totalement polarisée par les traumas et les impacts du TSPT. Initialement c’est sous le terme Troubles du comportement que l’impact des abus est </w:t>
      </w:r>
      <w:proofErr w:type="gramStart"/>
      <w:r w:rsidRPr="00E42AF2">
        <w:rPr>
          <w:kern w:val="28"/>
          <w:sz w:val="22"/>
          <w:szCs w:val="22"/>
        </w:rPr>
        <w:t>rapportés</w:t>
      </w:r>
      <w:proofErr w:type="gramEnd"/>
      <w:r w:rsidRPr="00E42AF2">
        <w:rPr>
          <w:kern w:val="28"/>
          <w:sz w:val="22"/>
          <w:szCs w:val="22"/>
        </w:rPr>
        <w:t xml:space="preserve"> </w:t>
      </w:r>
      <w:r>
        <w:rPr>
          <w:kern w:val="28"/>
          <w:sz w:val="22"/>
          <w:szCs w:val="22"/>
        </w:rPr>
        <w:t xml:space="preserve">(sic) </w:t>
      </w:r>
      <w:r w:rsidRPr="00E42AF2">
        <w:rPr>
          <w:kern w:val="28"/>
          <w:sz w:val="22"/>
          <w:szCs w:val="22"/>
        </w:rPr>
        <w:t>et qui lui font redoubler la maternelle – symptômes décrits dans les dossiers médicaux à partir de 1984, alors qu’elle n’a que 7 ans. Au-delà de l’enfance ‘’volée’’, l’adolescence est également polarisée par les impacts des agressions sexuelles, le TSPT sur son estime de soi et son estime de soi social, sa capacité à s’affirmer adéquatement. Le fait que le père agissait différemment entre les enfants (perpétrait ses fantasmes pédophiles sur sa fille – favoritisme tout en cachant les 2 autres enfants dans une autre pièce sous verrou) a modulé négativement la relation dans la fratrie. Madame recevait des récompenses par fellation ce qui amènent de l’incompréhension et de la jalousie chez la fratrie sans récompense. Ceci l’empêche d’avoir un lien sain avec son frère et sa soeur à ce jour. L’incapacité de développer des liens significatifs s’est généralisée à l’école. L’incapacité de pouvoir développer la confiance envers les proches combinée au sentiment de détachement du TSPT interfère, à ce jour, avec ses habiletés sociales.</w:t>
      </w:r>
    </w:p>
    <w:p w14:paraId="2143056F" w14:textId="77777777" w:rsidR="00DF4E65" w:rsidRPr="00E42AF2" w:rsidRDefault="00DF4E65" w:rsidP="00443765">
      <w:pPr>
        <w:spacing w:before="120" w:after="120"/>
        <w:ind w:left="731"/>
        <w:jc w:val="both"/>
        <w:rPr>
          <w:kern w:val="28"/>
          <w:sz w:val="22"/>
          <w:szCs w:val="22"/>
        </w:rPr>
      </w:pPr>
      <w:r w:rsidRPr="00E42AF2">
        <w:rPr>
          <w:kern w:val="28"/>
          <w:sz w:val="22"/>
          <w:szCs w:val="22"/>
        </w:rPr>
        <w:t>Dès 1987, le psychiatre s’inquiète des répercussions des traumas à long terme (avec raison) : nous craignons que dans le contexte de difficultés familiales persistantes, JC arrive difficilement à se former une identité claire et propre.</w:t>
      </w:r>
    </w:p>
    <w:p w14:paraId="23344A78" w14:textId="77777777" w:rsidR="00DF4E65" w:rsidRPr="00E42AF2" w:rsidRDefault="00DF4E65" w:rsidP="00443765">
      <w:pPr>
        <w:spacing w:before="120" w:after="120"/>
        <w:ind w:left="731"/>
        <w:jc w:val="both"/>
        <w:rPr>
          <w:kern w:val="28"/>
          <w:sz w:val="22"/>
          <w:szCs w:val="22"/>
        </w:rPr>
      </w:pPr>
      <w:r w:rsidRPr="00E42AF2">
        <w:rPr>
          <w:kern w:val="28"/>
          <w:sz w:val="22"/>
          <w:szCs w:val="22"/>
        </w:rPr>
        <w:t>Quoique non répertorié dans le DSM-V, il est important de rapporter le syndrome de Stockholm ici étant donné le rôle à jouer des émotions mixtes d’une victime d’inceste dans le maintien du doute (le doute de soi exacerbe le TSPT) comme vécu par madame (encore perceptible durant mes rencontres).</w:t>
      </w:r>
    </w:p>
    <w:p w14:paraId="28199A96" w14:textId="77777777" w:rsidR="00DF4E65" w:rsidRPr="00E42AF2" w:rsidRDefault="00DF4E65" w:rsidP="00443765">
      <w:pPr>
        <w:spacing w:before="120" w:after="120"/>
        <w:ind w:left="731"/>
        <w:jc w:val="both"/>
        <w:rPr>
          <w:kern w:val="28"/>
          <w:sz w:val="22"/>
          <w:szCs w:val="22"/>
        </w:rPr>
      </w:pPr>
      <w:r w:rsidRPr="00E42AF2">
        <w:rPr>
          <w:b/>
          <w:bCs/>
          <w:kern w:val="28"/>
          <w:sz w:val="22"/>
          <w:szCs w:val="22"/>
        </w:rPr>
        <w:t xml:space="preserve">Syndrome de Stockholm </w:t>
      </w:r>
      <w:r w:rsidRPr="00E42AF2">
        <w:rPr>
          <w:kern w:val="28"/>
          <w:sz w:val="22"/>
          <w:szCs w:val="22"/>
        </w:rPr>
        <w:t>décrit les réactions des victimes de prises d’otage et qui, au cours de leur captivité, développent des liens d’empathie – voire d'amitié, avec le ou les agresseurs. Ce syndrome est fondamentalement paradoxal : les victimes développent des sentiments de sympathie, d'affection, voire d'amour</w:t>
      </w:r>
      <w:r w:rsidRPr="00E42AF2">
        <w:rPr>
          <w:b/>
          <w:bCs/>
          <w:kern w:val="28"/>
          <w:sz w:val="22"/>
          <w:szCs w:val="22"/>
        </w:rPr>
        <w:t xml:space="preserve">, </w:t>
      </w:r>
      <w:r w:rsidRPr="00E42AF2">
        <w:rPr>
          <w:kern w:val="28"/>
          <w:sz w:val="22"/>
          <w:szCs w:val="22"/>
        </w:rPr>
        <w:t xml:space="preserve">de fraternité, de grande </w:t>
      </w:r>
      <w:r w:rsidRPr="00E42AF2">
        <w:rPr>
          <w:kern w:val="28"/>
          <w:sz w:val="22"/>
          <w:szCs w:val="22"/>
        </w:rPr>
        <w:lastRenderedPageBreak/>
        <w:t>compréhension vis-à-vis de leurs agresseurs. Similairement pour les victimes d’inceste, sous la menace et l’état de survie, elles développent une compréhension et une envie parfois de sauver le parent agresseur; ceci peut également expliquer en partie les émotions contradictoires et les difficultés à dénoncer leur agresseur.</w:t>
      </w:r>
    </w:p>
    <w:p w14:paraId="794C40C9" w14:textId="77777777" w:rsidR="00DF4E65" w:rsidRDefault="00DF4E65" w:rsidP="00443765">
      <w:pPr>
        <w:spacing w:before="120" w:after="120"/>
        <w:ind w:left="731"/>
        <w:jc w:val="both"/>
        <w:rPr>
          <w:kern w:val="28"/>
          <w:sz w:val="22"/>
          <w:szCs w:val="22"/>
        </w:rPr>
      </w:pPr>
      <w:r w:rsidRPr="00E42AF2">
        <w:rPr>
          <w:kern w:val="28"/>
          <w:sz w:val="22"/>
          <w:szCs w:val="22"/>
        </w:rPr>
        <w:t>Au-delà du diagnostic de TSPT en tant qu’adulte ; la capacité de faire confiance à autrui se veut altérée significativement, en raison de son incapacité à avoir confiance premièrement en ses deux parents dès l’âge de 5 ans, la méfiance se transfère à l’école avec les autres élèves et professeurs puis dans le système de santé, etc.</w:t>
      </w:r>
      <w:r>
        <w:rPr>
          <w:rStyle w:val="Appelnotedebasdep"/>
          <w:kern w:val="28"/>
          <w:sz w:val="22"/>
          <w:szCs w:val="22"/>
        </w:rPr>
        <w:footnoteReference w:id="67"/>
      </w:r>
    </w:p>
    <w:p w14:paraId="7D5E461E" w14:textId="77777777" w:rsidR="00DF4E65" w:rsidRDefault="00DF4E65" w:rsidP="00443765">
      <w:pPr>
        <w:numPr>
          <w:ilvl w:val="0"/>
          <w:numId w:val="1"/>
        </w:numPr>
        <w:tabs>
          <w:tab w:val="clear" w:pos="360"/>
        </w:tabs>
        <w:spacing w:before="120" w:after="120"/>
        <w:jc w:val="both"/>
        <w:rPr>
          <w:kern w:val="28"/>
          <w:szCs w:val="24"/>
        </w:rPr>
      </w:pPr>
      <w:r w:rsidRPr="00642EEA">
        <w:rPr>
          <w:kern w:val="28"/>
          <w:szCs w:val="24"/>
        </w:rPr>
        <w:t xml:space="preserve">De l’ensemble de la preuve </w:t>
      </w:r>
      <w:r>
        <w:rPr>
          <w:kern w:val="28"/>
          <w:szCs w:val="24"/>
        </w:rPr>
        <w:t>administrée, le Tribunal conclut que les dommages non pécuniaires sont importants et doivent être compensés.</w:t>
      </w:r>
    </w:p>
    <w:p w14:paraId="24B4EAB4" w14:textId="77777777" w:rsidR="00DF4E65" w:rsidRPr="00443765" w:rsidRDefault="00DF4E65" w:rsidP="00443765">
      <w:pPr>
        <w:numPr>
          <w:ilvl w:val="0"/>
          <w:numId w:val="1"/>
        </w:numPr>
        <w:tabs>
          <w:tab w:val="clear" w:pos="360"/>
        </w:tabs>
        <w:spacing w:before="120" w:after="120"/>
        <w:jc w:val="both"/>
        <w:rPr>
          <w:kern w:val="28"/>
          <w:szCs w:val="24"/>
        </w:rPr>
      </w:pPr>
      <w:r>
        <w:rPr>
          <w:kern w:val="28"/>
          <w:szCs w:val="24"/>
        </w:rPr>
        <w:t>Étant donné la période au cours de laquelle J.C. a subi les nombreuses agressions perpétrées par son propre père, une personne en qui elle aurait dû pouvoir faire totalement confiance et qui aurait dû la protéger, il est justifié d’accorder la somme de 250 000$.</w:t>
      </w:r>
    </w:p>
    <w:p w14:paraId="4B9CD455" w14:textId="77777777" w:rsidR="00DF4E65" w:rsidRDefault="00DF4E65" w:rsidP="00DF4E65">
      <w:pPr>
        <w:pStyle w:val="Titre3"/>
        <w:numPr>
          <w:ilvl w:val="1"/>
          <w:numId w:val="37"/>
        </w:numPr>
        <w:ind w:left="810"/>
        <w:rPr>
          <w:bCs/>
          <w:kern w:val="28"/>
        </w:rPr>
      </w:pPr>
      <w:r w:rsidRPr="00D735B4">
        <w:t>Dommages</w:t>
      </w:r>
      <w:r w:rsidRPr="00EB5C1F">
        <w:rPr>
          <w:bCs/>
          <w:kern w:val="28"/>
        </w:rPr>
        <w:t xml:space="preserve"> punitifs</w:t>
      </w:r>
    </w:p>
    <w:p w14:paraId="5A8A8BA8" w14:textId="77777777" w:rsidR="00DF4E65" w:rsidRPr="00E451B0" w:rsidRDefault="00DF4E65" w:rsidP="00DF4E65">
      <w:pPr>
        <w:pStyle w:val="Titre4"/>
        <w:numPr>
          <w:ilvl w:val="2"/>
          <w:numId w:val="37"/>
        </w:numPr>
        <w:ind w:left="1260"/>
      </w:pPr>
      <w:r>
        <w:t>Droit applicable</w:t>
      </w:r>
    </w:p>
    <w:p w14:paraId="101C9083" w14:textId="77777777" w:rsidR="00DF4E65" w:rsidRPr="00BB30D1" w:rsidRDefault="00DF4E65" w:rsidP="00164F7E">
      <w:pPr>
        <w:numPr>
          <w:ilvl w:val="0"/>
          <w:numId w:val="1"/>
        </w:numPr>
        <w:tabs>
          <w:tab w:val="clear" w:pos="360"/>
        </w:tabs>
        <w:spacing w:before="120" w:after="120"/>
        <w:jc w:val="both"/>
        <w:rPr>
          <w:kern w:val="28"/>
          <w:lang w:val="fr-FR"/>
        </w:rPr>
      </w:pPr>
      <w:r w:rsidRPr="00176F4E">
        <w:rPr>
          <w:kern w:val="28"/>
          <w:lang w:val="fr-FR"/>
        </w:rPr>
        <w:t xml:space="preserve">Le droit aux dommages-intérêts punitifs repose sur les articles 1621 C.c.Q. et 49 de la </w:t>
      </w:r>
      <w:r w:rsidRPr="00940533">
        <w:rPr>
          <w:i/>
          <w:iCs/>
          <w:kern w:val="28"/>
          <w:lang w:val="fr-FR"/>
        </w:rPr>
        <w:t>Charte des droits et libertés de la personne</w:t>
      </w:r>
      <w:bookmarkStart w:id="21" w:name="_Ref226366530"/>
      <w:r>
        <w:rPr>
          <w:rStyle w:val="Appelnotedebasdep"/>
          <w:kern w:val="28"/>
          <w:lang w:val="fr-FR"/>
        </w:rPr>
        <w:footnoteReference w:id="68"/>
      </w:r>
      <w:bookmarkEnd w:id="21"/>
      <w:r w:rsidRPr="00176F4E">
        <w:rPr>
          <w:kern w:val="28"/>
          <w:lang w:val="fr-FR"/>
        </w:rPr>
        <w:t xml:space="preserve">. </w:t>
      </w:r>
    </w:p>
    <w:p w14:paraId="32E0BB52" w14:textId="77777777" w:rsidR="00DF4E65" w:rsidRPr="002A6E34" w:rsidRDefault="00DF4E65" w:rsidP="00B63100">
      <w:pPr>
        <w:numPr>
          <w:ilvl w:val="0"/>
          <w:numId w:val="1"/>
        </w:numPr>
        <w:tabs>
          <w:tab w:val="clear" w:pos="360"/>
        </w:tabs>
        <w:spacing w:before="120" w:after="120"/>
        <w:jc w:val="both"/>
        <w:rPr>
          <w:kern w:val="28"/>
          <w:lang w:val="fr-FR"/>
        </w:rPr>
      </w:pPr>
      <w:r w:rsidRPr="00176F4E">
        <w:rPr>
          <w:kern w:val="28"/>
          <w:lang w:val="fr-FR"/>
        </w:rPr>
        <w:t>L’article 1621 C.c.Q. prévoit que des dommages-intérêts ne peuvent être accordés que lorsque la loi le permet.</w:t>
      </w:r>
      <w:r>
        <w:rPr>
          <w:kern w:val="28"/>
          <w:lang w:val="fr-FR"/>
        </w:rPr>
        <w:t xml:space="preserve"> Ceux-ci ont une fonction préventive, punitive et dissuasive</w:t>
      </w:r>
      <w:r w:rsidRPr="00176F4E">
        <w:rPr>
          <w:kern w:val="28"/>
          <w:vertAlign w:val="superscript"/>
          <w:lang w:val="fr-FR"/>
        </w:rPr>
        <w:footnoteReference w:id="69"/>
      </w:r>
      <w:r w:rsidRPr="00176F4E">
        <w:rPr>
          <w:kern w:val="28"/>
          <w:lang w:val="fr-FR"/>
        </w:rPr>
        <w:t>. À cet effet, la Cour suprême du Canada indique qu’ils doivent recevoir une interprétation généreuse afin de réaliser leurs visées</w:t>
      </w:r>
      <w:r w:rsidRPr="00176F4E">
        <w:rPr>
          <w:kern w:val="28"/>
          <w:vertAlign w:val="superscript"/>
          <w:lang w:val="fr-FR"/>
        </w:rPr>
        <w:footnoteReference w:id="70"/>
      </w:r>
      <w:r w:rsidRPr="00176F4E">
        <w:rPr>
          <w:kern w:val="28"/>
          <w:lang w:val="fr-FR"/>
        </w:rPr>
        <w:t>.</w:t>
      </w:r>
    </w:p>
    <w:p w14:paraId="727F086F" w14:textId="77777777" w:rsidR="00DF4E65" w:rsidRPr="00B63100" w:rsidRDefault="00DF4E65" w:rsidP="00B63100">
      <w:pPr>
        <w:numPr>
          <w:ilvl w:val="0"/>
          <w:numId w:val="1"/>
        </w:numPr>
        <w:tabs>
          <w:tab w:val="clear" w:pos="360"/>
        </w:tabs>
        <w:spacing w:before="120" w:after="120"/>
        <w:jc w:val="both"/>
        <w:rPr>
          <w:kern w:val="28"/>
          <w:lang w:val="fr-FR"/>
        </w:rPr>
      </w:pPr>
      <w:r w:rsidRPr="00B63100">
        <w:rPr>
          <w:kern w:val="28"/>
          <w:lang w:val="fr-FR"/>
        </w:rPr>
        <w:t>L’article 49 de la Charte donne ouverture à l’octroi de dommages-intérêts punitifs lorsqu’il y a la preuve d’une « atteinte illicite et intentionnelle » « à un droit ou à une liberté reconnue ».</w:t>
      </w:r>
    </w:p>
    <w:p w14:paraId="0E738DC0" w14:textId="77777777" w:rsidR="00DF4E65" w:rsidRPr="00BB30D1" w:rsidRDefault="00DF4E65" w:rsidP="003332C8">
      <w:pPr>
        <w:numPr>
          <w:ilvl w:val="0"/>
          <w:numId w:val="1"/>
        </w:numPr>
        <w:tabs>
          <w:tab w:val="clear" w:pos="360"/>
        </w:tabs>
        <w:spacing w:before="120" w:after="120"/>
        <w:jc w:val="both"/>
        <w:rPr>
          <w:kern w:val="28"/>
          <w:lang w:val="fr-FR"/>
        </w:rPr>
      </w:pPr>
      <w:r w:rsidRPr="00176F4E">
        <w:rPr>
          <w:kern w:val="28"/>
          <w:lang w:val="fr-FR"/>
        </w:rPr>
        <w:t xml:space="preserve">La Cour suprême du Canada clarifie la portée d’une atteinte illicite et intentionnelle dans l’arrêt </w:t>
      </w:r>
      <w:r w:rsidRPr="00176F4E">
        <w:rPr>
          <w:i/>
          <w:iCs/>
          <w:kern w:val="28"/>
          <w:lang w:val="fr-FR"/>
        </w:rPr>
        <w:t>Hôpital St-Ferdinand</w:t>
      </w:r>
      <w:r w:rsidRPr="00176F4E">
        <w:rPr>
          <w:vertAlign w:val="superscript"/>
          <w:lang w:val="fr-FR"/>
        </w:rPr>
        <w:footnoteReference w:id="71"/>
      </w:r>
      <w:r w:rsidRPr="00176F4E">
        <w:rPr>
          <w:kern w:val="28"/>
          <w:lang w:val="fr-FR"/>
        </w:rPr>
        <w:t> :</w:t>
      </w:r>
    </w:p>
    <w:p w14:paraId="0211C94F" w14:textId="77777777" w:rsidR="00DF4E65" w:rsidRPr="002A6E34" w:rsidRDefault="00DF4E65" w:rsidP="002A6E34">
      <w:pPr>
        <w:spacing w:before="120" w:after="120"/>
        <w:ind w:left="731"/>
        <w:jc w:val="both"/>
        <w:rPr>
          <w:kern w:val="28"/>
          <w:sz w:val="22"/>
          <w:szCs w:val="22"/>
          <w:lang w:val="fr-FR"/>
        </w:rPr>
      </w:pPr>
      <w:r w:rsidRPr="002A6E34">
        <w:rPr>
          <w:kern w:val="28"/>
          <w:sz w:val="22"/>
          <w:szCs w:val="22"/>
          <w:lang w:val="fr-FR"/>
        </w:rPr>
        <w:t>[117] Contrairement aux dommages compensatoires, l’octroi de dommages exemplaires prévu au deuxième alinéa de l’art. 49 de la </w:t>
      </w:r>
      <w:r w:rsidRPr="002A6E34">
        <w:rPr>
          <w:i/>
          <w:iCs/>
          <w:kern w:val="28"/>
          <w:sz w:val="22"/>
          <w:szCs w:val="22"/>
          <w:lang w:val="fr-FR"/>
        </w:rPr>
        <w:t>Charte</w:t>
      </w:r>
      <w:r w:rsidRPr="002A6E34">
        <w:rPr>
          <w:kern w:val="28"/>
          <w:sz w:val="22"/>
          <w:szCs w:val="22"/>
          <w:lang w:val="fr-FR"/>
        </w:rPr>
        <w:t xml:space="preserve"> ne dépend pas de la mesure du préjudice résultant de l’atteinte illicite, mais du caractère intentionnel de cette atteinte. </w:t>
      </w:r>
      <w:r w:rsidRPr="002A6E34">
        <w:rPr>
          <w:kern w:val="28"/>
          <w:sz w:val="22"/>
          <w:szCs w:val="22"/>
          <w:u w:val="single"/>
          <w:lang w:val="fr-FR"/>
        </w:rPr>
        <w:t xml:space="preserve">Or, </w:t>
      </w:r>
      <w:r w:rsidRPr="002A6E34">
        <w:rPr>
          <w:kern w:val="28"/>
          <w:sz w:val="22"/>
          <w:szCs w:val="22"/>
          <w:u w:val="single"/>
          <w:lang w:val="fr-FR"/>
        </w:rPr>
        <w:lastRenderedPageBreak/>
        <w:t>une atteinte illicite étant, comme je l’ai déjà mentionné, le résultat d’un comportement fautif qui viole un droit protégé par la </w:t>
      </w:r>
      <w:r w:rsidRPr="002A6E34">
        <w:rPr>
          <w:i/>
          <w:iCs/>
          <w:kern w:val="28"/>
          <w:sz w:val="22"/>
          <w:szCs w:val="22"/>
          <w:u w:val="single"/>
          <w:lang w:val="fr-FR"/>
        </w:rPr>
        <w:t>Charte</w:t>
      </w:r>
      <w:r w:rsidRPr="002A6E34">
        <w:rPr>
          <w:kern w:val="28"/>
          <w:sz w:val="22"/>
          <w:szCs w:val="22"/>
          <w:u w:val="single"/>
          <w:lang w:val="fr-FR"/>
        </w:rPr>
        <w:t>, c’est donc le résultat de ce comportement qui doit être intentionnel</w:t>
      </w:r>
      <w:r w:rsidRPr="002A6E34">
        <w:rPr>
          <w:kern w:val="28"/>
          <w:sz w:val="22"/>
          <w:szCs w:val="22"/>
          <w:lang w:val="fr-FR"/>
        </w:rPr>
        <w:t>. En d’autres termes, pour qu’une atteinte illicite soit qualifiée d</w:t>
      </w:r>
      <w:proofErr w:type="gramStart"/>
      <w:r w:rsidRPr="002A6E34">
        <w:rPr>
          <w:kern w:val="28"/>
          <w:sz w:val="22"/>
          <w:szCs w:val="22"/>
          <w:lang w:val="fr-FR"/>
        </w:rPr>
        <w:t>’«</w:t>
      </w:r>
      <w:proofErr w:type="gramEnd"/>
      <w:r w:rsidRPr="002A6E34">
        <w:rPr>
          <w:kern w:val="28"/>
          <w:sz w:val="22"/>
          <w:szCs w:val="22"/>
          <w:lang w:val="fr-FR"/>
        </w:rPr>
        <w:t> intentionnelle », l’auteur de cette atteinte doit avoir voulu les conséquences que son comportement fautif produira.</w:t>
      </w:r>
    </w:p>
    <w:p w14:paraId="7F6484E8" w14:textId="77777777" w:rsidR="00DF4E65" w:rsidRPr="002A6E34" w:rsidRDefault="00DF4E65" w:rsidP="002A6E34">
      <w:pPr>
        <w:spacing w:before="120" w:after="120"/>
        <w:ind w:left="731"/>
        <w:jc w:val="both"/>
        <w:rPr>
          <w:kern w:val="28"/>
          <w:sz w:val="22"/>
          <w:szCs w:val="22"/>
          <w:lang w:val="fr-FR"/>
        </w:rPr>
      </w:pPr>
      <w:r w:rsidRPr="002A6E34">
        <w:rPr>
          <w:kern w:val="28"/>
          <w:sz w:val="22"/>
          <w:szCs w:val="22"/>
          <w:lang w:val="fr-FR"/>
        </w:rPr>
        <w:t>[…]</w:t>
      </w:r>
    </w:p>
    <w:p w14:paraId="4E4BB4BD" w14:textId="77777777" w:rsidR="00DF4E65" w:rsidRDefault="00DF4E65" w:rsidP="00971701">
      <w:pPr>
        <w:pStyle w:val="Citationenretrait"/>
        <w:ind w:left="731"/>
        <w:rPr>
          <w:lang w:val="fr-FR"/>
        </w:rPr>
      </w:pPr>
      <w:r w:rsidRPr="00176F4E">
        <w:rPr>
          <w:lang w:val="fr-FR"/>
        </w:rPr>
        <w:t>[121] En conséquence, il y aura atteinte illicite et intentionnelle au sens du second alinéa de l’art. 49 de la Charte lorsque l’auteur de l’atteinte illicite a un état d’esprit qui dénote un désir, une volonté de causer les conséquences de sa conduite fautive ou encore s’il agit en toute connaissance des conséquences, immédiates et naturelles ou au moins extrêmement probables, que cette conduite engendrera. Ce critère est moins strict que l’intention particulière, mais dépasse, toutefois, la simple négligence. Ainsi, l’insouciance dont fait preuve un individu quant aux conséquences de ses actes fautifs, si déréglée et téméraire soit-elle, ne satisfera pas, à elle seule, à ce critère.</w:t>
      </w:r>
    </w:p>
    <w:p w14:paraId="49619C30" w14:textId="77777777" w:rsidR="00DF4E65" w:rsidRPr="00971701" w:rsidRDefault="00DF4E65" w:rsidP="00971701">
      <w:pPr>
        <w:pStyle w:val="Citationenretrait"/>
        <w:ind w:left="731"/>
        <w:rPr>
          <w:lang w:val="fr-FR"/>
        </w:rPr>
      </w:pPr>
      <w:r>
        <w:rPr>
          <w:lang w:val="fr-FR"/>
        </w:rPr>
        <w:t xml:space="preserve">                                                                                (Soulignements ajoutés)</w:t>
      </w:r>
    </w:p>
    <w:p w14:paraId="40B1BBFF" w14:textId="77777777" w:rsidR="00DF4E65" w:rsidRPr="00304459" w:rsidRDefault="00DF4E65" w:rsidP="003752CD">
      <w:pPr>
        <w:numPr>
          <w:ilvl w:val="0"/>
          <w:numId w:val="1"/>
        </w:numPr>
        <w:tabs>
          <w:tab w:val="clear" w:pos="360"/>
        </w:tabs>
        <w:spacing w:before="120" w:after="120"/>
        <w:jc w:val="both"/>
        <w:rPr>
          <w:kern w:val="28"/>
          <w:lang w:val="fr-FR"/>
        </w:rPr>
      </w:pPr>
      <w:r w:rsidRPr="00176F4E">
        <w:rPr>
          <w:kern w:val="28"/>
        </w:rPr>
        <w:t>Toutes les formes de violence sexuelle impliquent l’exploitation illicite d’une victime et son objectification par une personne qui fait fi de sa dignité humaine et de son intégrité</w:t>
      </w:r>
      <w:r w:rsidRPr="00176F4E">
        <w:rPr>
          <w:kern w:val="28"/>
          <w:vertAlign w:val="superscript"/>
        </w:rPr>
        <w:footnoteReference w:id="72"/>
      </w:r>
      <w:r w:rsidRPr="00176F4E">
        <w:rPr>
          <w:kern w:val="28"/>
        </w:rPr>
        <w:t>. La Cour suprême du Canada met l’emphase sur la nécessité d’imposer des peines plus lourdes pour les infractions d’ordre sexuel perpétrées contre des enfants</w:t>
      </w:r>
      <w:r w:rsidRPr="00176F4E">
        <w:rPr>
          <w:kern w:val="28"/>
          <w:vertAlign w:val="superscript"/>
        </w:rPr>
        <w:footnoteReference w:id="73"/>
      </w:r>
      <w:r w:rsidRPr="00176F4E">
        <w:rPr>
          <w:kern w:val="28"/>
        </w:rPr>
        <w:t>.</w:t>
      </w:r>
    </w:p>
    <w:p w14:paraId="7D860850" w14:textId="77777777" w:rsidR="00DF4E65" w:rsidRPr="00304459" w:rsidRDefault="00DF4E65" w:rsidP="003752CD">
      <w:pPr>
        <w:numPr>
          <w:ilvl w:val="0"/>
          <w:numId w:val="1"/>
        </w:numPr>
        <w:tabs>
          <w:tab w:val="clear" w:pos="360"/>
        </w:tabs>
        <w:spacing w:before="120" w:after="120"/>
        <w:jc w:val="both"/>
        <w:rPr>
          <w:kern w:val="28"/>
          <w:lang w:val="fr-FR"/>
        </w:rPr>
      </w:pPr>
      <w:r>
        <w:rPr>
          <w:kern w:val="28"/>
        </w:rPr>
        <w:t>Ajoutons que l’absence de poursuite et de condamnation criminelle constitue un facteur qui doit être pris en considération dans la décision d’octroyer ou non des dommages punitifs</w:t>
      </w:r>
      <w:r>
        <w:rPr>
          <w:rStyle w:val="Appelnotedebasdep"/>
          <w:kern w:val="28"/>
        </w:rPr>
        <w:footnoteReference w:id="74"/>
      </w:r>
      <w:r>
        <w:rPr>
          <w:kern w:val="28"/>
        </w:rPr>
        <w:t>.</w:t>
      </w:r>
    </w:p>
    <w:p w14:paraId="19F9EDBC" w14:textId="77777777" w:rsidR="00DF4E65" w:rsidRPr="002A6E34" w:rsidRDefault="00DF4E65" w:rsidP="003752CD">
      <w:pPr>
        <w:numPr>
          <w:ilvl w:val="0"/>
          <w:numId w:val="1"/>
        </w:numPr>
        <w:tabs>
          <w:tab w:val="clear" w:pos="360"/>
        </w:tabs>
        <w:spacing w:before="120" w:after="120"/>
        <w:jc w:val="both"/>
        <w:rPr>
          <w:kern w:val="28"/>
          <w:lang w:val="fr-FR"/>
        </w:rPr>
      </w:pPr>
      <w:r>
        <w:rPr>
          <w:kern w:val="28"/>
        </w:rPr>
        <w:t>Enfin, la situation patrimoniale du défendeur, au moment du jugement, doit être prise en compte ainsi que l’étendue de la réparation à laquelle celui-ci est déjà tenu de payer envers la demanderesse</w:t>
      </w:r>
      <w:r>
        <w:rPr>
          <w:rStyle w:val="Appelnotedebasdep"/>
          <w:kern w:val="28"/>
        </w:rPr>
        <w:footnoteReference w:id="75"/>
      </w:r>
      <w:r>
        <w:rPr>
          <w:kern w:val="28"/>
        </w:rPr>
        <w:t>.</w:t>
      </w:r>
    </w:p>
    <w:p w14:paraId="242204C3" w14:textId="77777777" w:rsidR="00DF4E65" w:rsidRPr="003752CD" w:rsidRDefault="00DF4E65" w:rsidP="00DF4E65">
      <w:pPr>
        <w:pStyle w:val="Titre4"/>
        <w:numPr>
          <w:ilvl w:val="2"/>
          <w:numId w:val="37"/>
        </w:numPr>
        <w:ind w:left="1260"/>
        <w:rPr>
          <w:b w:val="0"/>
          <w:bCs/>
          <w:kern w:val="28"/>
        </w:rPr>
      </w:pPr>
      <w:r w:rsidRPr="00304847">
        <w:t>D</w:t>
      </w:r>
      <w:r>
        <w:t>iscussion</w:t>
      </w:r>
    </w:p>
    <w:p w14:paraId="481D80E9" w14:textId="77777777" w:rsidR="00DF4E65" w:rsidRPr="002A6E34" w:rsidRDefault="00DF4E65" w:rsidP="002A6E34">
      <w:pPr>
        <w:numPr>
          <w:ilvl w:val="0"/>
          <w:numId w:val="1"/>
        </w:numPr>
        <w:tabs>
          <w:tab w:val="clear" w:pos="360"/>
        </w:tabs>
        <w:spacing w:before="120" w:after="120"/>
        <w:jc w:val="both"/>
        <w:rPr>
          <w:kern w:val="28"/>
          <w:lang w:val="fr-FR"/>
        </w:rPr>
      </w:pPr>
      <w:r w:rsidRPr="00176F4E">
        <w:rPr>
          <w:kern w:val="28"/>
          <w:lang w:val="fr-FR"/>
        </w:rPr>
        <w:t>La preuve démontre qu’il y a eu atteinte illicite et intentionnelle au droit de J.C. à la sauvegarde de sa dignité et à l’intégrité garanties par la Charte</w:t>
      </w:r>
      <w:r w:rsidRPr="00176F4E">
        <w:rPr>
          <w:kern w:val="28"/>
          <w:vertAlign w:val="superscript"/>
          <w:lang w:val="fr-FR"/>
        </w:rPr>
        <w:footnoteReference w:id="76"/>
      </w:r>
      <w:r w:rsidRPr="00176F4E">
        <w:rPr>
          <w:kern w:val="28"/>
          <w:lang w:val="fr-FR"/>
        </w:rPr>
        <w:t>.</w:t>
      </w:r>
    </w:p>
    <w:p w14:paraId="2EE73CD8" w14:textId="77777777" w:rsidR="00DF4E65" w:rsidRPr="002A6E34" w:rsidRDefault="00DF4E65" w:rsidP="002A6E34">
      <w:pPr>
        <w:numPr>
          <w:ilvl w:val="0"/>
          <w:numId w:val="1"/>
        </w:numPr>
        <w:tabs>
          <w:tab w:val="clear" w:pos="360"/>
        </w:tabs>
        <w:spacing w:before="120" w:after="120"/>
        <w:jc w:val="both"/>
        <w:rPr>
          <w:kern w:val="28"/>
          <w:lang w:val="fr-FR"/>
        </w:rPr>
      </w:pPr>
      <w:r w:rsidRPr="00176F4E">
        <w:rPr>
          <w:kern w:val="28"/>
        </w:rPr>
        <w:t xml:space="preserve">En l’espèce, l’octroi de dommages-intérêts punitifs est nécessaire afin de marquer publiquement la réprobation morale des comportements incestueux et d’assurer pleinement leurs fonctions de prévention, punition, dissuasion et de dénonciation. </w:t>
      </w:r>
    </w:p>
    <w:p w14:paraId="7815E7E8" w14:textId="77777777" w:rsidR="00DF4E65" w:rsidRDefault="00DF4E65" w:rsidP="002A6E34">
      <w:pPr>
        <w:numPr>
          <w:ilvl w:val="0"/>
          <w:numId w:val="1"/>
        </w:numPr>
        <w:tabs>
          <w:tab w:val="clear" w:pos="360"/>
        </w:tabs>
        <w:spacing w:before="120" w:after="120"/>
        <w:jc w:val="both"/>
        <w:rPr>
          <w:kern w:val="28"/>
          <w:lang w:val="fr-FR"/>
        </w:rPr>
      </w:pPr>
      <w:r>
        <w:rPr>
          <w:kern w:val="28"/>
          <w:lang w:val="fr-FR"/>
        </w:rPr>
        <w:lastRenderedPageBreak/>
        <w:t xml:space="preserve">Il est vrai que M. C. a purgé une peine de prison pour des agressions perpétrées contre J. C., mais le Tribunal a déjà conclu qu’on ne peut affirmer avec certitude quels gestes étaient visés par cette condamnation. </w:t>
      </w:r>
    </w:p>
    <w:p w14:paraId="7B6EAD62" w14:textId="77777777" w:rsidR="00DF4E65" w:rsidRDefault="00DF4E65" w:rsidP="002A6E34">
      <w:pPr>
        <w:numPr>
          <w:ilvl w:val="0"/>
          <w:numId w:val="1"/>
        </w:numPr>
        <w:tabs>
          <w:tab w:val="clear" w:pos="360"/>
        </w:tabs>
        <w:spacing w:before="120" w:after="120"/>
        <w:jc w:val="both"/>
        <w:rPr>
          <w:kern w:val="28"/>
          <w:lang w:val="fr-FR"/>
        </w:rPr>
      </w:pPr>
      <w:r>
        <w:rPr>
          <w:kern w:val="28"/>
          <w:lang w:val="fr-FR"/>
        </w:rPr>
        <w:t>Même s’il a passé du temps derrière les barreaux, force est de constater que M. C. ne saisit pas le message.</w:t>
      </w:r>
    </w:p>
    <w:p w14:paraId="5FFE7D6A" w14:textId="77777777" w:rsidR="00DF4E65" w:rsidRDefault="00DF4E65" w:rsidP="002A6E34">
      <w:pPr>
        <w:numPr>
          <w:ilvl w:val="0"/>
          <w:numId w:val="1"/>
        </w:numPr>
        <w:tabs>
          <w:tab w:val="clear" w:pos="360"/>
        </w:tabs>
        <w:spacing w:before="120" w:after="120"/>
        <w:jc w:val="both"/>
        <w:rPr>
          <w:kern w:val="28"/>
          <w:lang w:val="fr-FR"/>
        </w:rPr>
      </w:pPr>
      <w:r>
        <w:rPr>
          <w:kern w:val="28"/>
          <w:lang w:val="fr-FR"/>
        </w:rPr>
        <w:t>En effet, J. C. a fait la preuve que M. C. tente toujours d’entrer en contact avec elle, ce qui exacerbe ses nombreux problèmes</w:t>
      </w:r>
      <w:r w:rsidRPr="00176F4E">
        <w:rPr>
          <w:kern w:val="28"/>
          <w:vertAlign w:val="superscript"/>
          <w:lang w:val="fr-FR"/>
        </w:rPr>
        <w:footnoteReference w:id="77"/>
      </w:r>
      <w:r>
        <w:rPr>
          <w:kern w:val="28"/>
          <w:lang w:val="fr-FR"/>
        </w:rPr>
        <w:t xml:space="preserve">. </w:t>
      </w:r>
    </w:p>
    <w:p w14:paraId="411E2C3E" w14:textId="77777777" w:rsidR="00DF4E65" w:rsidRPr="002A6E34" w:rsidRDefault="00DF4E65" w:rsidP="002A6E34">
      <w:pPr>
        <w:numPr>
          <w:ilvl w:val="0"/>
          <w:numId w:val="1"/>
        </w:numPr>
        <w:tabs>
          <w:tab w:val="clear" w:pos="360"/>
        </w:tabs>
        <w:spacing w:before="120" w:after="120"/>
        <w:jc w:val="both"/>
        <w:rPr>
          <w:kern w:val="28"/>
          <w:lang w:val="fr-FR"/>
        </w:rPr>
      </w:pPr>
      <w:r>
        <w:rPr>
          <w:kern w:val="28"/>
          <w:lang w:val="fr-FR"/>
        </w:rPr>
        <w:t xml:space="preserve">De façon évidente, </w:t>
      </w:r>
      <w:r w:rsidRPr="00176F4E">
        <w:rPr>
          <w:kern w:val="28"/>
          <w:lang w:val="fr-FR"/>
        </w:rPr>
        <w:t>M.C. ne prend</w:t>
      </w:r>
      <w:r>
        <w:rPr>
          <w:kern w:val="28"/>
          <w:lang w:val="fr-FR"/>
        </w:rPr>
        <w:t xml:space="preserve"> </w:t>
      </w:r>
      <w:r w:rsidRPr="00176F4E">
        <w:rPr>
          <w:kern w:val="28"/>
          <w:lang w:val="fr-FR"/>
        </w:rPr>
        <w:t xml:space="preserve">pas conscience de la gravité des gestes posés sur J.C. Que ce soit par son comportement harcelant auprès de J.C. afin de renouer </w:t>
      </w:r>
      <w:r>
        <w:rPr>
          <w:kern w:val="28"/>
          <w:lang w:val="fr-FR"/>
        </w:rPr>
        <w:t>avec elle ou l</w:t>
      </w:r>
      <w:r w:rsidRPr="00176F4E">
        <w:rPr>
          <w:kern w:val="28"/>
          <w:lang w:val="fr-FR"/>
        </w:rPr>
        <w:t>es messages envoyés</w:t>
      </w:r>
      <w:r>
        <w:rPr>
          <w:kern w:val="28"/>
          <w:lang w:val="fr-FR"/>
        </w:rPr>
        <w:t>, clairement M. C. demeure insensible aux torts qu’il a causés à sa fille</w:t>
      </w:r>
      <w:r w:rsidRPr="00176F4E">
        <w:rPr>
          <w:kern w:val="28"/>
          <w:vertAlign w:val="superscript"/>
          <w:lang w:val="fr-FR"/>
        </w:rPr>
        <w:footnoteReference w:id="78"/>
      </w:r>
      <w:r w:rsidRPr="00176F4E">
        <w:rPr>
          <w:kern w:val="28"/>
          <w:lang w:val="fr-FR"/>
        </w:rPr>
        <w:t>.</w:t>
      </w:r>
    </w:p>
    <w:p w14:paraId="3D940D1B" w14:textId="77777777" w:rsidR="00DF4E65" w:rsidRDefault="00DF4E65" w:rsidP="002A6E34">
      <w:pPr>
        <w:numPr>
          <w:ilvl w:val="0"/>
          <w:numId w:val="1"/>
        </w:numPr>
        <w:tabs>
          <w:tab w:val="clear" w:pos="360"/>
        </w:tabs>
        <w:spacing w:before="120" w:after="120"/>
        <w:jc w:val="both"/>
        <w:rPr>
          <w:kern w:val="28"/>
          <w:lang w:val="fr-FR"/>
        </w:rPr>
      </w:pPr>
      <w:r w:rsidRPr="00176F4E">
        <w:rPr>
          <w:kern w:val="28"/>
          <w:lang w:val="fr-FR"/>
        </w:rPr>
        <w:t xml:space="preserve">M.C. </w:t>
      </w:r>
      <w:r>
        <w:rPr>
          <w:kern w:val="28"/>
          <w:lang w:val="fr-FR"/>
        </w:rPr>
        <w:t>soutient ne pas avoir les moyens de payer quoi que ce soit et évoque la possibilité de devoir faire cession de ses biens.</w:t>
      </w:r>
    </w:p>
    <w:p w14:paraId="73C7A2B1" w14:textId="77777777" w:rsidR="00DF4E65" w:rsidRPr="00940533" w:rsidRDefault="00DF4E65" w:rsidP="00F47014">
      <w:pPr>
        <w:numPr>
          <w:ilvl w:val="0"/>
          <w:numId w:val="1"/>
        </w:numPr>
        <w:tabs>
          <w:tab w:val="clear" w:pos="360"/>
        </w:tabs>
        <w:spacing w:before="120" w:after="120"/>
        <w:jc w:val="both"/>
        <w:rPr>
          <w:kern w:val="28"/>
          <w:lang w:val="fr-FR"/>
        </w:rPr>
      </w:pPr>
      <w:r>
        <w:rPr>
          <w:kern w:val="28"/>
          <w:lang w:val="fr-FR"/>
        </w:rPr>
        <w:t xml:space="preserve">Dans les circonstances, </w:t>
      </w:r>
      <w:r w:rsidRPr="00176F4E">
        <w:rPr>
          <w:kern w:val="28"/>
          <w:lang w:val="fr-FR"/>
        </w:rPr>
        <w:t>le Tribunal accorder</w:t>
      </w:r>
      <w:r>
        <w:rPr>
          <w:kern w:val="28"/>
          <w:lang w:val="fr-FR"/>
        </w:rPr>
        <w:t>a</w:t>
      </w:r>
      <w:r w:rsidRPr="00176F4E">
        <w:rPr>
          <w:kern w:val="28"/>
          <w:lang w:val="fr-FR"/>
        </w:rPr>
        <w:t xml:space="preserve"> une somme </w:t>
      </w:r>
      <w:r>
        <w:rPr>
          <w:kern w:val="28"/>
          <w:lang w:val="fr-FR"/>
        </w:rPr>
        <w:t xml:space="preserve">en prenant en considération d’une part, les moyens financiers limités de M. C. et d’autre part, la gravité des gestes </w:t>
      </w:r>
      <w:r w:rsidRPr="00940533">
        <w:rPr>
          <w:kern w:val="28"/>
          <w:lang w:val="fr-FR"/>
        </w:rPr>
        <w:t>commis et le comportement de M. C. depuis lors. Dans ce contexte, une somme de 10 000$ parait appropriée.</w:t>
      </w:r>
    </w:p>
    <w:p w14:paraId="4CB950FE" w14:textId="77777777" w:rsidR="00DF4E65" w:rsidRPr="00940533" w:rsidRDefault="00DF4E65" w:rsidP="00D73BA7">
      <w:pPr>
        <w:numPr>
          <w:ilvl w:val="0"/>
          <w:numId w:val="1"/>
        </w:numPr>
        <w:tabs>
          <w:tab w:val="clear" w:pos="360"/>
        </w:tabs>
        <w:spacing w:before="120" w:after="120"/>
        <w:jc w:val="both"/>
        <w:rPr>
          <w:kern w:val="28"/>
          <w:lang w:val="fr-FR"/>
        </w:rPr>
      </w:pPr>
      <w:r w:rsidRPr="00940533">
        <w:rPr>
          <w:kern w:val="28"/>
          <w:lang w:val="fr-FR"/>
        </w:rPr>
        <w:t>Le montant réclamé s’avère raisonnable quant aux caractéristiques du dossier et de la jurisprudence</w:t>
      </w:r>
      <w:r w:rsidRPr="00940533">
        <w:rPr>
          <w:kern w:val="28"/>
          <w:vertAlign w:val="superscript"/>
          <w:lang w:val="fr-FR"/>
        </w:rPr>
        <w:footnoteReference w:id="79"/>
      </w:r>
      <w:r w:rsidRPr="00940533">
        <w:rPr>
          <w:kern w:val="28"/>
          <w:lang w:val="fr-FR"/>
        </w:rPr>
        <w:t>, d’autant plus que la Cour suprême du Canada reconnait que les crimes sexuels commis sur des enfants par des personnes en autorités ne doivent en aucun cas être tenus pour bénins</w:t>
      </w:r>
      <w:r w:rsidRPr="00940533">
        <w:rPr>
          <w:kern w:val="28"/>
          <w:vertAlign w:val="superscript"/>
          <w:lang w:val="fr-FR"/>
        </w:rPr>
        <w:footnoteReference w:id="80"/>
      </w:r>
      <w:r w:rsidRPr="00940533">
        <w:rPr>
          <w:kern w:val="28"/>
          <w:lang w:val="fr-FR"/>
        </w:rPr>
        <w:t>.</w:t>
      </w:r>
    </w:p>
    <w:p w14:paraId="7C65014D" w14:textId="77777777" w:rsidR="00DF4E65" w:rsidRPr="002A6E34" w:rsidRDefault="00DF4E65" w:rsidP="00F47014">
      <w:pPr>
        <w:numPr>
          <w:ilvl w:val="0"/>
          <w:numId w:val="1"/>
        </w:numPr>
        <w:tabs>
          <w:tab w:val="clear" w:pos="360"/>
        </w:tabs>
        <w:spacing w:before="120" w:after="120"/>
        <w:jc w:val="both"/>
        <w:rPr>
          <w:kern w:val="28"/>
          <w:lang w:val="fr-FR"/>
        </w:rPr>
      </w:pPr>
      <w:r>
        <w:rPr>
          <w:kern w:val="28"/>
          <w:lang w:val="fr-FR"/>
        </w:rPr>
        <w:lastRenderedPageBreak/>
        <w:t>Cela est également conforme avec les enseignements de la Cour d’appel</w:t>
      </w:r>
      <w:r w:rsidRPr="00F47014">
        <w:rPr>
          <w:vertAlign w:val="superscript"/>
          <w:lang w:val="fr-FR"/>
        </w:rPr>
        <w:footnoteReference w:id="81"/>
      </w:r>
      <w:r>
        <w:rPr>
          <w:kern w:val="28"/>
          <w:lang w:val="fr-FR"/>
        </w:rPr>
        <w:t> :</w:t>
      </w:r>
    </w:p>
    <w:p w14:paraId="49EFEFCB" w14:textId="77777777" w:rsidR="00DF4E65" w:rsidRPr="00F47014" w:rsidRDefault="00DF4E65" w:rsidP="00EA7E06">
      <w:pPr>
        <w:pStyle w:val="Sous-paragraphe"/>
        <w:numPr>
          <w:ilvl w:val="0"/>
          <w:numId w:val="0"/>
        </w:numPr>
        <w:ind w:left="568" w:right="857"/>
        <w:rPr>
          <w:lang w:val="fr-FR"/>
        </w:rPr>
      </w:pPr>
      <w:r w:rsidRPr="00F47014">
        <w:rPr>
          <w:lang w:val="fr-FR"/>
        </w:rPr>
        <w:t>En ce qui concerne les dommages punitifs, l’appelante aurait peut-être pu, au moyen d’une preuve prépondérante de sa situation financière, démontrer qu’une condamnation à une somme moins importante pouvait néanmoins avoir les effets dissuasifs recherchés. Elle n’a pas fait cette preuve. Elle s’est contentée à cet égard de témoigner en termes évasifs, contradictoires et confus, alors que sa crédibilité avait déjà été sérieusement mise à mal sur plusieurs autres points en litige.</w:t>
      </w:r>
    </w:p>
    <w:p w14:paraId="14CF0C4D" w14:textId="77777777" w:rsidR="00DF4E65" w:rsidRPr="002A6E34" w:rsidRDefault="00DF4E65" w:rsidP="002A6E34">
      <w:pPr>
        <w:numPr>
          <w:ilvl w:val="0"/>
          <w:numId w:val="1"/>
        </w:numPr>
        <w:tabs>
          <w:tab w:val="clear" w:pos="360"/>
        </w:tabs>
        <w:spacing w:before="120" w:after="120"/>
        <w:jc w:val="both"/>
        <w:rPr>
          <w:kern w:val="28"/>
          <w:lang w:val="fr-FR"/>
        </w:rPr>
      </w:pPr>
      <w:r>
        <w:rPr>
          <w:kern w:val="28"/>
          <w:lang w:val="fr-FR"/>
        </w:rPr>
        <w:t>Il</w:t>
      </w:r>
      <w:r w:rsidRPr="00176F4E">
        <w:rPr>
          <w:kern w:val="28"/>
          <w:lang w:val="fr-FR"/>
        </w:rPr>
        <w:t xml:space="preserve"> convient de faire un parallèle avec le récent ajout d’un second alinéa à l’article 2924 C.c.Q. rendant imprescriptible [le droit résultant d’un jugement] obtenu contre le responsable du préjudice résultant d’une infraction criminelle telle que définie à la </w:t>
      </w:r>
      <w:r w:rsidRPr="00176F4E">
        <w:rPr>
          <w:i/>
          <w:iCs/>
          <w:kern w:val="28"/>
          <w:lang w:val="fr-FR"/>
        </w:rPr>
        <w:t>Loi visant à aider les personnes victimes d’infractions criminelles et à favoriser leur rétablissement</w:t>
      </w:r>
      <w:r w:rsidRPr="00176F4E">
        <w:rPr>
          <w:kern w:val="28"/>
          <w:lang w:val="fr-FR"/>
        </w:rPr>
        <w:t>.</w:t>
      </w:r>
    </w:p>
    <w:p w14:paraId="6617995F" w14:textId="77777777" w:rsidR="00DF4E65" w:rsidRPr="002A6E34" w:rsidRDefault="00DF4E65" w:rsidP="002A6E34">
      <w:pPr>
        <w:numPr>
          <w:ilvl w:val="0"/>
          <w:numId w:val="1"/>
        </w:numPr>
        <w:tabs>
          <w:tab w:val="clear" w:pos="360"/>
        </w:tabs>
        <w:spacing w:before="120" w:after="120"/>
        <w:jc w:val="both"/>
        <w:rPr>
          <w:kern w:val="28"/>
          <w:lang w:val="fr-FR"/>
        </w:rPr>
      </w:pPr>
      <w:r w:rsidRPr="00176F4E">
        <w:rPr>
          <w:kern w:val="28"/>
          <w:lang w:val="fr-FR"/>
        </w:rPr>
        <w:t>Conformément aux commentaires d</w:t>
      </w:r>
      <w:r>
        <w:rPr>
          <w:kern w:val="28"/>
          <w:lang w:val="fr-FR"/>
        </w:rPr>
        <w:t>u</w:t>
      </w:r>
      <w:r w:rsidRPr="00176F4E">
        <w:rPr>
          <w:kern w:val="28"/>
          <w:lang w:val="fr-FR"/>
        </w:rPr>
        <w:t xml:space="preserve"> ministre de la Justice, l’objectif de cet ajout législatif vise justement les situations où la personne autrice des violences serait insolvable</w:t>
      </w:r>
      <w:r w:rsidRPr="00F47014">
        <w:rPr>
          <w:kern w:val="28"/>
          <w:sz w:val="22"/>
          <w:szCs w:val="22"/>
          <w:vertAlign w:val="superscript"/>
          <w:lang w:val="fr-FR"/>
        </w:rPr>
        <w:footnoteReference w:id="82"/>
      </w:r>
      <w:r w:rsidRPr="00176F4E">
        <w:rPr>
          <w:kern w:val="28"/>
          <w:lang w:val="fr-FR"/>
        </w:rPr>
        <w:t xml:space="preserve">: </w:t>
      </w:r>
    </w:p>
    <w:p w14:paraId="3263C294" w14:textId="77777777" w:rsidR="00DF4E65" w:rsidRPr="00F47014" w:rsidRDefault="00DF4E65" w:rsidP="00EA7E06">
      <w:pPr>
        <w:spacing w:before="120" w:after="120"/>
        <w:ind w:left="731" w:right="857"/>
        <w:jc w:val="both"/>
        <w:rPr>
          <w:kern w:val="28"/>
          <w:sz w:val="22"/>
          <w:szCs w:val="22"/>
          <w:lang w:val="fr-FR"/>
        </w:rPr>
      </w:pPr>
      <w:r w:rsidRPr="00F47014">
        <w:rPr>
          <w:kern w:val="28"/>
          <w:sz w:val="22"/>
          <w:szCs w:val="22"/>
          <w:lang w:val="fr-FR"/>
        </w:rPr>
        <w:t>L’idée est de faire en sorte qu’une personne victime qui fait les démarches devant les tribunaux, sa vie durant, va avoir le jugement dans sa poche puis, au moment où l’agresseur va être solvable, ou qu’il a les moyens pour le collecter, bien, elle va pouvoir le collecter.</w:t>
      </w:r>
    </w:p>
    <w:p w14:paraId="382C8547" w14:textId="77777777" w:rsidR="00DF4E65" w:rsidRDefault="00DF4E65" w:rsidP="002A6E34">
      <w:pPr>
        <w:numPr>
          <w:ilvl w:val="0"/>
          <w:numId w:val="1"/>
        </w:numPr>
        <w:tabs>
          <w:tab w:val="clear" w:pos="360"/>
        </w:tabs>
        <w:spacing w:before="120" w:after="120"/>
        <w:jc w:val="both"/>
        <w:rPr>
          <w:kern w:val="28"/>
          <w:lang w:val="fr-FR"/>
        </w:rPr>
      </w:pPr>
      <w:r>
        <w:rPr>
          <w:kern w:val="28"/>
          <w:lang w:val="fr-FR"/>
        </w:rPr>
        <w:t>Précisons que les parties reconnaissent que même si M. C. faisait cession de ses biens, la créance que J. C. aura ne sera pas libérable.</w:t>
      </w:r>
    </w:p>
    <w:p w14:paraId="1F01C2A5" w14:textId="77777777" w:rsidR="00DF4E65" w:rsidRPr="002A6E34" w:rsidRDefault="00DF4E65" w:rsidP="002A6E34">
      <w:pPr>
        <w:numPr>
          <w:ilvl w:val="0"/>
          <w:numId w:val="1"/>
        </w:numPr>
        <w:tabs>
          <w:tab w:val="clear" w:pos="360"/>
        </w:tabs>
        <w:spacing w:before="120" w:after="120"/>
        <w:jc w:val="both"/>
        <w:rPr>
          <w:kern w:val="28"/>
          <w:lang w:val="fr-FR"/>
        </w:rPr>
      </w:pPr>
      <w:r>
        <w:rPr>
          <w:kern w:val="28"/>
          <w:lang w:val="fr-FR"/>
        </w:rPr>
        <w:t>Ainsi, en</w:t>
      </w:r>
      <w:r w:rsidRPr="00176F4E">
        <w:rPr>
          <w:kern w:val="28"/>
          <w:lang w:val="fr-FR"/>
        </w:rPr>
        <w:t xml:space="preserve"> tenant compte des enseignements de la Cour suprême du Canada, le Tribunal</w:t>
      </w:r>
      <w:r>
        <w:rPr>
          <w:kern w:val="28"/>
          <w:lang w:val="fr-FR"/>
        </w:rPr>
        <w:t>,</w:t>
      </w:r>
      <w:r w:rsidRPr="00176F4E">
        <w:rPr>
          <w:kern w:val="28"/>
          <w:lang w:val="fr-FR"/>
        </w:rPr>
        <w:t xml:space="preserve"> en évaluant les circonstances </w:t>
      </w:r>
      <w:r>
        <w:rPr>
          <w:kern w:val="28"/>
          <w:lang w:val="fr-FR"/>
        </w:rPr>
        <w:t>particulières de la présente affaire dont les autres montants que M. C. sera condamner de payer en vertu du présent jugement, et utilisant sa discrétion détermine que les dommages punitifs auxquels a droit J. C. s’élèvent à 10 000$</w:t>
      </w:r>
      <w:r w:rsidRPr="00176F4E">
        <w:rPr>
          <w:kern w:val="28"/>
          <w:lang w:val="fr-FR"/>
        </w:rPr>
        <w:t>.</w:t>
      </w:r>
    </w:p>
    <w:p w14:paraId="21950338" w14:textId="77777777" w:rsidR="00DF4E65" w:rsidRDefault="00DF4E65" w:rsidP="00DF4E65">
      <w:pPr>
        <w:pStyle w:val="Titre2"/>
        <w:numPr>
          <w:ilvl w:val="0"/>
          <w:numId w:val="37"/>
        </w:numPr>
        <w:rPr>
          <w:bCs/>
          <w:kern w:val="28"/>
          <w:u w:val="none"/>
        </w:rPr>
      </w:pPr>
      <w:bookmarkStart w:id="22" w:name="_Hlk222769092"/>
      <w:r w:rsidRPr="001A015B">
        <w:rPr>
          <w:bCs/>
          <w:kern w:val="28"/>
          <w:u w:val="none"/>
        </w:rPr>
        <w:t xml:space="preserve">La subrogation </w:t>
      </w:r>
    </w:p>
    <w:p w14:paraId="6CA93590" w14:textId="77777777" w:rsidR="00DF4E65" w:rsidRPr="00D661BE" w:rsidRDefault="00DF4E65" w:rsidP="00C73D30">
      <w:pPr>
        <w:numPr>
          <w:ilvl w:val="0"/>
          <w:numId w:val="1"/>
        </w:numPr>
        <w:tabs>
          <w:tab w:val="clear" w:pos="360"/>
        </w:tabs>
        <w:spacing w:before="120" w:after="240"/>
        <w:jc w:val="both"/>
      </w:pPr>
      <w:bookmarkStart w:id="23" w:name="_Hlk223096179"/>
      <w:r>
        <w:t>Il convient maintenant d’</w:t>
      </w:r>
      <w:r w:rsidRPr="00D661BE">
        <w:t>aborder la subrogation légale reconnue au ministre</w:t>
      </w:r>
      <w:r w:rsidRPr="00D661BE">
        <w:rPr>
          <w:rStyle w:val="Appelnotedebasdep"/>
        </w:rPr>
        <w:footnoteReference w:id="83"/>
      </w:r>
      <w:r w:rsidRPr="00D661BE">
        <w:t xml:space="preserve">, représenté par le procureur général du Québec. Ce dernier est intervenu de plein droit au dossier afin de demander au tribunal de condamner le défendeur à lui rembourser les sommes déjà versées à la demanderesse par la direction générale de l’indemnisation </w:t>
      </w:r>
      <w:r w:rsidRPr="00D661BE">
        <w:lastRenderedPageBreak/>
        <w:t xml:space="preserve">des victimes d’actes criminels (DGIVAC), en vertu de la </w:t>
      </w:r>
      <w:r w:rsidRPr="00D661BE">
        <w:rPr>
          <w:i/>
          <w:iCs/>
        </w:rPr>
        <w:t>LAPVIC</w:t>
      </w:r>
      <w:r w:rsidRPr="00D661BE">
        <w:t xml:space="preserve">. En date des présentes, ces sommes totalisent 121 534,07$ et se déclinent ainsi : </w:t>
      </w:r>
    </w:p>
    <w:tbl>
      <w:tblPr>
        <w:tblStyle w:val="Grilledutableau"/>
        <w:tblW w:w="8931" w:type="dxa"/>
        <w:tblInd w:w="-15" w:type="dxa"/>
        <w:tblLook w:val="04A0" w:firstRow="1" w:lastRow="0" w:firstColumn="1" w:lastColumn="0" w:noHBand="0" w:noVBand="1"/>
      </w:tblPr>
      <w:tblGrid>
        <w:gridCol w:w="6804"/>
        <w:gridCol w:w="2127"/>
      </w:tblGrid>
      <w:tr w:rsidR="00DF4E65" w:rsidRPr="00D661BE" w14:paraId="39F967F4" w14:textId="77777777">
        <w:tc>
          <w:tcPr>
            <w:tcW w:w="6804" w:type="dxa"/>
            <w:tcBorders>
              <w:top w:val="single" w:sz="12" w:space="0" w:color="auto"/>
              <w:left w:val="single" w:sz="12" w:space="0" w:color="auto"/>
              <w:bottom w:val="single" w:sz="12" w:space="0" w:color="auto"/>
            </w:tcBorders>
            <w:shd w:val="clear" w:color="auto" w:fill="A6A6A6" w:themeFill="background1" w:themeFillShade="A6"/>
          </w:tcPr>
          <w:bookmarkEnd w:id="23"/>
          <w:p w14:paraId="3278B453" w14:textId="77777777" w:rsidR="00DF4E65" w:rsidRPr="00D661BE" w:rsidRDefault="00DF4E65" w:rsidP="00582B55">
            <w:pPr>
              <w:pStyle w:val="Paragraphedeliste"/>
              <w:ind w:left="0"/>
              <w:rPr>
                <w:rFonts w:cs="Arial"/>
                <w:noProof/>
              </w:rPr>
            </w:pPr>
            <w:r w:rsidRPr="00D661BE">
              <w:rPr>
                <w:rFonts w:cs="Arial"/>
                <w:noProof/>
              </w:rPr>
              <w:t>Qualification du versement</w:t>
            </w:r>
          </w:p>
        </w:tc>
        <w:tc>
          <w:tcPr>
            <w:tcW w:w="2127" w:type="dxa"/>
            <w:tcBorders>
              <w:top w:val="single" w:sz="12" w:space="0" w:color="auto"/>
              <w:bottom w:val="single" w:sz="12" w:space="0" w:color="auto"/>
              <w:right w:val="single" w:sz="12" w:space="0" w:color="auto"/>
            </w:tcBorders>
            <w:shd w:val="clear" w:color="auto" w:fill="A6A6A6" w:themeFill="background1" w:themeFillShade="A6"/>
          </w:tcPr>
          <w:p w14:paraId="5BAA93EA" w14:textId="77777777" w:rsidR="00DF4E65" w:rsidRPr="00D661BE" w:rsidRDefault="00DF4E65" w:rsidP="00582B55">
            <w:pPr>
              <w:pStyle w:val="Paragraphedeliste"/>
              <w:ind w:left="0"/>
              <w:rPr>
                <w:rFonts w:cs="Arial"/>
                <w:noProof/>
              </w:rPr>
            </w:pPr>
            <w:r w:rsidRPr="00D661BE">
              <w:rPr>
                <w:rFonts w:cs="Arial"/>
                <w:noProof/>
              </w:rPr>
              <w:t>Montants reçus</w:t>
            </w:r>
          </w:p>
        </w:tc>
      </w:tr>
      <w:tr w:rsidR="00DF4E65" w:rsidRPr="00D661BE" w14:paraId="2EC8C8A8" w14:textId="77777777">
        <w:tc>
          <w:tcPr>
            <w:tcW w:w="6804" w:type="dxa"/>
            <w:tcBorders>
              <w:top w:val="single" w:sz="12" w:space="0" w:color="auto"/>
              <w:left w:val="single" w:sz="12" w:space="0" w:color="auto"/>
            </w:tcBorders>
          </w:tcPr>
          <w:p w14:paraId="3015BD5B" w14:textId="77777777" w:rsidR="00DF4E65" w:rsidRPr="00D661BE" w:rsidRDefault="00DF4E65" w:rsidP="00582B55">
            <w:pPr>
              <w:pStyle w:val="Paragraphedeliste"/>
              <w:ind w:left="0"/>
              <w:rPr>
                <w:rFonts w:cs="Arial"/>
                <w:noProof/>
              </w:rPr>
            </w:pPr>
            <w:r w:rsidRPr="00D661BE">
              <w:rPr>
                <w:rFonts w:cs="Arial"/>
                <w:noProof/>
              </w:rPr>
              <w:t>Aide financière palliant une perte de revenu (AFPPR)</w:t>
            </w:r>
          </w:p>
        </w:tc>
        <w:tc>
          <w:tcPr>
            <w:tcW w:w="2127" w:type="dxa"/>
            <w:tcBorders>
              <w:top w:val="single" w:sz="12" w:space="0" w:color="auto"/>
              <w:right w:val="single" w:sz="12" w:space="0" w:color="auto"/>
            </w:tcBorders>
          </w:tcPr>
          <w:p w14:paraId="4D0E0AFF" w14:textId="77777777" w:rsidR="00DF4E65" w:rsidRPr="00D661BE" w:rsidRDefault="00DF4E65" w:rsidP="00582B55">
            <w:pPr>
              <w:pStyle w:val="Paragraphedeliste"/>
              <w:ind w:left="0"/>
              <w:jc w:val="right"/>
              <w:rPr>
                <w:rFonts w:cs="Arial"/>
                <w:noProof/>
              </w:rPr>
            </w:pPr>
            <w:r w:rsidRPr="00D661BE">
              <w:rPr>
                <w:rFonts w:cs="Arial"/>
                <w:noProof/>
              </w:rPr>
              <w:t>100 854,51$*</w:t>
            </w:r>
          </w:p>
        </w:tc>
      </w:tr>
      <w:tr w:rsidR="00DF4E65" w:rsidRPr="00D661BE" w14:paraId="2E52C401" w14:textId="77777777">
        <w:tc>
          <w:tcPr>
            <w:tcW w:w="6804" w:type="dxa"/>
            <w:tcBorders>
              <w:left w:val="single" w:sz="12" w:space="0" w:color="auto"/>
            </w:tcBorders>
          </w:tcPr>
          <w:p w14:paraId="67C69DB6" w14:textId="77777777" w:rsidR="00DF4E65" w:rsidRPr="00D661BE" w:rsidRDefault="00DF4E65" w:rsidP="00582B55">
            <w:pPr>
              <w:pStyle w:val="Paragraphedeliste"/>
              <w:ind w:left="0"/>
              <w:rPr>
                <w:rFonts w:cs="Arial"/>
                <w:noProof/>
              </w:rPr>
            </w:pPr>
            <w:r w:rsidRPr="00D661BE">
              <w:rPr>
                <w:rFonts w:cs="Arial"/>
                <w:noProof/>
              </w:rPr>
              <w:t>Réadaptation sociale</w:t>
            </w:r>
          </w:p>
        </w:tc>
        <w:tc>
          <w:tcPr>
            <w:tcW w:w="2127" w:type="dxa"/>
            <w:tcBorders>
              <w:right w:val="single" w:sz="12" w:space="0" w:color="auto"/>
            </w:tcBorders>
          </w:tcPr>
          <w:p w14:paraId="499D304D" w14:textId="77777777" w:rsidR="00DF4E65" w:rsidRPr="00D661BE" w:rsidRDefault="00DF4E65" w:rsidP="00582B55">
            <w:pPr>
              <w:pStyle w:val="Paragraphedeliste"/>
              <w:ind w:left="0"/>
              <w:jc w:val="right"/>
              <w:rPr>
                <w:rFonts w:cs="Arial"/>
                <w:noProof/>
              </w:rPr>
            </w:pPr>
            <w:r w:rsidRPr="00D661BE">
              <w:rPr>
                <w:rFonts w:cs="Arial"/>
                <w:noProof/>
              </w:rPr>
              <w:t>10 509,54$</w:t>
            </w:r>
          </w:p>
        </w:tc>
      </w:tr>
      <w:tr w:rsidR="00DF4E65" w:rsidRPr="00D661BE" w14:paraId="0FCFC3E2" w14:textId="77777777">
        <w:tc>
          <w:tcPr>
            <w:tcW w:w="6804" w:type="dxa"/>
            <w:tcBorders>
              <w:left w:val="single" w:sz="12" w:space="0" w:color="auto"/>
            </w:tcBorders>
          </w:tcPr>
          <w:p w14:paraId="38361F86" w14:textId="77777777" w:rsidR="00DF4E65" w:rsidRPr="00D661BE" w:rsidRDefault="00DF4E65" w:rsidP="00582B55">
            <w:pPr>
              <w:pStyle w:val="Paragraphedeliste"/>
              <w:ind w:left="0"/>
              <w:rPr>
                <w:rFonts w:cs="Arial"/>
                <w:noProof/>
              </w:rPr>
            </w:pPr>
            <w:r w:rsidRPr="00D661BE">
              <w:rPr>
                <w:rFonts w:cs="Arial"/>
                <w:noProof/>
              </w:rPr>
              <w:t>Réinsertion professionnelle</w:t>
            </w:r>
          </w:p>
        </w:tc>
        <w:tc>
          <w:tcPr>
            <w:tcW w:w="2127" w:type="dxa"/>
            <w:tcBorders>
              <w:right w:val="single" w:sz="12" w:space="0" w:color="auto"/>
            </w:tcBorders>
          </w:tcPr>
          <w:p w14:paraId="0F642442" w14:textId="77777777" w:rsidR="00DF4E65" w:rsidRPr="00D661BE" w:rsidRDefault="00DF4E65" w:rsidP="00582B55">
            <w:pPr>
              <w:pStyle w:val="Paragraphedeliste"/>
              <w:ind w:left="0"/>
              <w:jc w:val="right"/>
              <w:rPr>
                <w:rFonts w:cs="Arial"/>
                <w:noProof/>
              </w:rPr>
            </w:pPr>
            <w:r w:rsidRPr="00D661BE">
              <w:rPr>
                <w:rFonts w:cs="Arial"/>
                <w:noProof/>
              </w:rPr>
              <w:t>767,00$</w:t>
            </w:r>
          </w:p>
        </w:tc>
      </w:tr>
      <w:tr w:rsidR="00DF4E65" w:rsidRPr="00D661BE" w14:paraId="56F856F7" w14:textId="77777777">
        <w:tc>
          <w:tcPr>
            <w:tcW w:w="6804" w:type="dxa"/>
            <w:tcBorders>
              <w:left w:val="single" w:sz="12" w:space="0" w:color="auto"/>
            </w:tcBorders>
          </w:tcPr>
          <w:p w14:paraId="309A68A7" w14:textId="77777777" w:rsidR="00DF4E65" w:rsidRPr="00D661BE" w:rsidRDefault="00DF4E65" w:rsidP="00582B55">
            <w:pPr>
              <w:pStyle w:val="Paragraphedeliste"/>
              <w:ind w:left="0"/>
              <w:rPr>
                <w:rFonts w:cs="Arial"/>
                <w:noProof/>
              </w:rPr>
            </w:pPr>
            <w:r w:rsidRPr="00D661BE">
              <w:rPr>
                <w:rFonts w:cs="Arial"/>
                <w:noProof/>
              </w:rPr>
              <w:t>Réadaptation physique</w:t>
            </w:r>
          </w:p>
        </w:tc>
        <w:tc>
          <w:tcPr>
            <w:tcW w:w="2127" w:type="dxa"/>
            <w:tcBorders>
              <w:right w:val="single" w:sz="12" w:space="0" w:color="auto"/>
            </w:tcBorders>
          </w:tcPr>
          <w:p w14:paraId="2EADA74F" w14:textId="77777777" w:rsidR="00DF4E65" w:rsidRPr="00D661BE" w:rsidRDefault="00DF4E65" w:rsidP="00582B55">
            <w:pPr>
              <w:pStyle w:val="Paragraphedeliste"/>
              <w:ind w:left="0"/>
              <w:jc w:val="right"/>
              <w:rPr>
                <w:rFonts w:cs="Arial"/>
                <w:noProof/>
              </w:rPr>
            </w:pPr>
            <w:r w:rsidRPr="00D661BE">
              <w:rPr>
                <w:rFonts w:cs="Arial"/>
                <w:noProof/>
              </w:rPr>
              <w:t>1495,98$</w:t>
            </w:r>
          </w:p>
        </w:tc>
      </w:tr>
      <w:tr w:rsidR="00DF4E65" w:rsidRPr="00D661BE" w14:paraId="3219B8EE" w14:textId="77777777">
        <w:tc>
          <w:tcPr>
            <w:tcW w:w="6804" w:type="dxa"/>
            <w:tcBorders>
              <w:left w:val="single" w:sz="12" w:space="0" w:color="auto"/>
            </w:tcBorders>
          </w:tcPr>
          <w:p w14:paraId="102D36B2" w14:textId="77777777" w:rsidR="00DF4E65" w:rsidRPr="00D661BE" w:rsidRDefault="00DF4E65" w:rsidP="00582B55">
            <w:pPr>
              <w:pStyle w:val="Paragraphedeliste"/>
              <w:ind w:left="0"/>
              <w:rPr>
                <w:rFonts w:cs="Arial"/>
                <w:noProof/>
              </w:rPr>
            </w:pPr>
            <w:r w:rsidRPr="00D661BE">
              <w:rPr>
                <w:rFonts w:cs="Arial"/>
                <w:noProof/>
              </w:rPr>
              <w:t>Réhabilitation psychosociale</w:t>
            </w:r>
          </w:p>
        </w:tc>
        <w:tc>
          <w:tcPr>
            <w:tcW w:w="2127" w:type="dxa"/>
            <w:tcBorders>
              <w:right w:val="single" w:sz="12" w:space="0" w:color="auto"/>
            </w:tcBorders>
          </w:tcPr>
          <w:p w14:paraId="319812E5" w14:textId="77777777" w:rsidR="00DF4E65" w:rsidRPr="00D661BE" w:rsidRDefault="00DF4E65" w:rsidP="00582B55">
            <w:pPr>
              <w:pStyle w:val="Paragraphedeliste"/>
              <w:ind w:left="0"/>
              <w:jc w:val="right"/>
              <w:rPr>
                <w:rFonts w:cs="Arial"/>
                <w:noProof/>
              </w:rPr>
            </w:pPr>
            <w:r w:rsidRPr="00D661BE">
              <w:rPr>
                <w:rFonts w:cs="Arial"/>
                <w:noProof/>
              </w:rPr>
              <w:t>94,00$</w:t>
            </w:r>
          </w:p>
        </w:tc>
      </w:tr>
      <w:tr w:rsidR="00DF4E65" w:rsidRPr="00D661BE" w14:paraId="27344F4D" w14:textId="77777777">
        <w:tc>
          <w:tcPr>
            <w:tcW w:w="6804" w:type="dxa"/>
            <w:tcBorders>
              <w:left w:val="single" w:sz="12" w:space="0" w:color="auto"/>
            </w:tcBorders>
          </w:tcPr>
          <w:p w14:paraId="1FD83EDB" w14:textId="77777777" w:rsidR="00DF4E65" w:rsidRPr="00D661BE" w:rsidRDefault="00DF4E65" w:rsidP="00582B55">
            <w:pPr>
              <w:pStyle w:val="Paragraphedeliste"/>
              <w:ind w:left="0"/>
              <w:rPr>
                <w:rFonts w:cs="Arial"/>
                <w:noProof/>
              </w:rPr>
            </w:pPr>
            <w:r w:rsidRPr="00D661BE">
              <w:rPr>
                <w:rFonts w:cs="Arial"/>
                <w:noProof/>
              </w:rPr>
              <w:t>Réhabilitation psychothérapeutique</w:t>
            </w:r>
          </w:p>
        </w:tc>
        <w:tc>
          <w:tcPr>
            <w:tcW w:w="2127" w:type="dxa"/>
            <w:tcBorders>
              <w:right w:val="single" w:sz="12" w:space="0" w:color="auto"/>
            </w:tcBorders>
          </w:tcPr>
          <w:p w14:paraId="45F01A78" w14:textId="77777777" w:rsidR="00DF4E65" w:rsidRPr="00D661BE" w:rsidRDefault="00DF4E65" w:rsidP="00582B55">
            <w:pPr>
              <w:pStyle w:val="Paragraphedeliste"/>
              <w:ind w:left="0"/>
              <w:jc w:val="right"/>
              <w:rPr>
                <w:rFonts w:cs="Arial"/>
                <w:noProof/>
              </w:rPr>
            </w:pPr>
            <w:r w:rsidRPr="00D661BE">
              <w:rPr>
                <w:rFonts w:cs="Arial"/>
                <w:noProof/>
              </w:rPr>
              <w:t>11 518,08$</w:t>
            </w:r>
          </w:p>
        </w:tc>
      </w:tr>
      <w:tr w:rsidR="00DF4E65" w:rsidRPr="00D661BE" w14:paraId="60CB3E0F" w14:textId="77777777">
        <w:tc>
          <w:tcPr>
            <w:tcW w:w="6804" w:type="dxa"/>
            <w:tcBorders>
              <w:left w:val="single" w:sz="12" w:space="0" w:color="auto"/>
              <w:bottom w:val="single" w:sz="12" w:space="0" w:color="auto"/>
            </w:tcBorders>
          </w:tcPr>
          <w:p w14:paraId="1CD3116B" w14:textId="77777777" w:rsidR="00DF4E65" w:rsidRPr="00D661BE" w:rsidRDefault="00DF4E65" w:rsidP="00582B55">
            <w:pPr>
              <w:pStyle w:val="Paragraphedeliste"/>
              <w:ind w:left="0"/>
              <w:rPr>
                <w:rFonts w:cs="Arial"/>
                <w:noProof/>
              </w:rPr>
            </w:pPr>
            <w:r w:rsidRPr="00D661BE">
              <w:rPr>
                <w:rFonts w:cs="Arial"/>
                <w:noProof/>
              </w:rPr>
              <w:t>Assistance médicale (frais de déplacement)</w:t>
            </w:r>
          </w:p>
        </w:tc>
        <w:tc>
          <w:tcPr>
            <w:tcW w:w="2127" w:type="dxa"/>
            <w:tcBorders>
              <w:bottom w:val="single" w:sz="12" w:space="0" w:color="auto"/>
              <w:right w:val="single" w:sz="12" w:space="0" w:color="auto"/>
            </w:tcBorders>
          </w:tcPr>
          <w:p w14:paraId="6850048B" w14:textId="77777777" w:rsidR="00DF4E65" w:rsidRPr="00D661BE" w:rsidRDefault="00DF4E65" w:rsidP="00582B55">
            <w:pPr>
              <w:pStyle w:val="Paragraphedeliste"/>
              <w:ind w:left="0"/>
              <w:jc w:val="right"/>
              <w:rPr>
                <w:rFonts w:cs="Arial"/>
                <w:noProof/>
              </w:rPr>
            </w:pPr>
            <w:r w:rsidRPr="00D661BE">
              <w:rPr>
                <w:rFonts w:cs="Arial"/>
                <w:noProof/>
              </w:rPr>
              <w:t>125,76$</w:t>
            </w:r>
          </w:p>
        </w:tc>
      </w:tr>
      <w:tr w:rsidR="00DF4E65" w:rsidRPr="00D661BE" w14:paraId="06260262" w14:textId="77777777">
        <w:tc>
          <w:tcPr>
            <w:tcW w:w="6804" w:type="dxa"/>
            <w:tcBorders>
              <w:top w:val="single" w:sz="12" w:space="0" w:color="auto"/>
              <w:left w:val="single" w:sz="12" w:space="0" w:color="auto"/>
              <w:bottom w:val="single" w:sz="12" w:space="0" w:color="auto"/>
              <w:right w:val="single" w:sz="12" w:space="0" w:color="auto"/>
            </w:tcBorders>
          </w:tcPr>
          <w:p w14:paraId="70189F10" w14:textId="77777777" w:rsidR="00DF4E65" w:rsidRPr="00D661BE" w:rsidRDefault="00DF4E65" w:rsidP="00582B55">
            <w:pPr>
              <w:pStyle w:val="Paragraphedeliste"/>
              <w:ind w:left="0"/>
              <w:rPr>
                <w:rFonts w:cs="Arial"/>
                <w:noProof/>
              </w:rPr>
            </w:pPr>
            <w:r w:rsidRPr="00D661BE">
              <w:rPr>
                <w:rFonts w:cs="Arial"/>
                <w:noProof/>
              </w:rPr>
              <w:t>Sous-total :</w:t>
            </w:r>
          </w:p>
        </w:tc>
        <w:tc>
          <w:tcPr>
            <w:tcW w:w="2127" w:type="dxa"/>
            <w:tcBorders>
              <w:top w:val="single" w:sz="12" w:space="0" w:color="auto"/>
              <w:left w:val="single" w:sz="12" w:space="0" w:color="auto"/>
              <w:bottom w:val="single" w:sz="12" w:space="0" w:color="auto"/>
              <w:right w:val="single" w:sz="12" w:space="0" w:color="auto"/>
            </w:tcBorders>
          </w:tcPr>
          <w:p w14:paraId="7B9B0BF0" w14:textId="77777777" w:rsidR="00DF4E65" w:rsidRPr="00D661BE" w:rsidRDefault="00DF4E65" w:rsidP="00582B55">
            <w:pPr>
              <w:pStyle w:val="Paragraphedeliste"/>
              <w:ind w:left="0"/>
              <w:jc w:val="right"/>
              <w:rPr>
                <w:rFonts w:cs="Arial"/>
                <w:noProof/>
              </w:rPr>
            </w:pPr>
            <w:r w:rsidRPr="00D661BE">
              <w:rPr>
                <w:rFonts w:cs="Arial"/>
                <w:noProof/>
              </w:rPr>
              <w:t>125 270,87$</w:t>
            </w:r>
          </w:p>
        </w:tc>
      </w:tr>
      <w:tr w:rsidR="00DF4E65" w:rsidRPr="00D661BE" w14:paraId="5FCDB609" w14:textId="77777777">
        <w:tc>
          <w:tcPr>
            <w:tcW w:w="6804" w:type="dxa"/>
            <w:tcBorders>
              <w:top w:val="single" w:sz="12" w:space="0" w:color="auto"/>
              <w:left w:val="single" w:sz="12" w:space="0" w:color="auto"/>
              <w:bottom w:val="single" w:sz="12" w:space="0" w:color="auto"/>
              <w:right w:val="single" w:sz="12" w:space="0" w:color="auto"/>
            </w:tcBorders>
          </w:tcPr>
          <w:p w14:paraId="7B361761" w14:textId="77777777" w:rsidR="00DF4E65" w:rsidRPr="00D661BE" w:rsidRDefault="00DF4E65" w:rsidP="00582B55">
            <w:pPr>
              <w:pStyle w:val="Paragraphedeliste"/>
              <w:ind w:left="0"/>
              <w:rPr>
                <w:rFonts w:cs="Arial"/>
                <w:noProof/>
              </w:rPr>
            </w:pPr>
            <w:r w:rsidRPr="00D661BE">
              <w:rPr>
                <w:rFonts w:cs="Arial"/>
                <w:noProof/>
              </w:rPr>
              <w:t>*Surpayé des AFPPR remboursés par J.C.</w:t>
            </w:r>
          </w:p>
        </w:tc>
        <w:tc>
          <w:tcPr>
            <w:tcW w:w="2127" w:type="dxa"/>
            <w:tcBorders>
              <w:top w:val="single" w:sz="12" w:space="0" w:color="auto"/>
              <w:left w:val="single" w:sz="12" w:space="0" w:color="auto"/>
              <w:bottom w:val="single" w:sz="12" w:space="0" w:color="auto"/>
              <w:right w:val="single" w:sz="12" w:space="0" w:color="auto"/>
            </w:tcBorders>
          </w:tcPr>
          <w:p w14:paraId="652BE3C4" w14:textId="77777777" w:rsidR="00DF4E65" w:rsidRPr="00D661BE" w:rsidRDefault="00DF4E65" w:rsidP="00582B55">
            <w:pPr>
              <w:pStyle w:val="Paragraphedeliste"/>
              <w:ind w:left="0"/>
              <w:jc w:val="right"/>
              <w:rPr>
                <w:rFonts w:cs="Arial"/>
                <w:noProof/>
              </w:rPr>
            </w:pPr>
            <w:r w:rsidRPr="00D661BE">
              <w:rPr>
                <w:rFonts w:cs="Arial"/>
                <w:noProof/>
              </w:rPr>
              <w:t>(4549,92$)</w:t>
            </w:r>
          </w:p>
        </w:tc>
      </w:tr>
      <w:tr w:rsidR="00DF4E65" w:rsidRPr="00D661BE" w14:paraId="0BA4541D" w14:textId="77777777">
        <w:tc>
          <w:tcPr>
            <w:tcW w:w="6804" w:type="dxa"/>
            <w:tcBorders>
              <w:top w:val="single" w:sz="12" w:space="0" w:color="auto"/>
              <w:left w:val="single" w:sz="12" w:space="0" w:color="auto"/>
              <w:bottom w:val="single" w:sz="12" w:space="0" w:color="auto"/>
              <w:right w:val="single" w:sz="12" w:space="0" w:color="auto"/>
            </w:tcBorders>
          </w:tcPr>
          <w:p w14:paraId="71CD5D52" w14:textId="77777777" w:rsidR="00DF4E65" w:rsidRPr="00D661BE" w:rsidRDefault="00DF4E65" w:rsidP="00582B55">
            <w:pPr>
              <w:pStyle w:val="Paragraphedeliste"/>
              <w:ind w:left="0"/>
              <w:rPr>
                <w:rFonts w:cs="Arial"/>
                <w:noProof/>
              </w:rPr>
            </w:pPr>
            <w:r w:rsidRPr="00D661BE">
              <w:rPr>
                <w:rFonts w:cs="Arial"/>
                <w:noProof/>
              </w:rPr>
              <w:t>Total :</w:t>
            </w:r>
          </w:p>
        </w:tc>
        <w:tc>
          <w:tcPr>
            <w:tcW w:w="2127" w:type="dxa"/>
            <w:tcBorders>
              <w:top w:val="single" w:sz="12" w:space="0" w:color="auto"/>
              <w:left w:val="single" w:sz="12" w:space="0" w:color="auto"/>
              <w:bottom w:val="single" w:sz="12" w:space="0" w:color="auto"/>
              <w:right w:val="single" w:sz="12" w:space="0" w:color="auto"/>
            </w:tcBorders>
          </w:tcPr>
          <w:p w14:paraId="6E81FBC3" w14:textId="77777777" w:rsidR="00DF4E65" w:rsidRPr="00D661BE" w:rsidRDefault="00DF4E65" w:rsidP="00582B55">
            <w:pPr>
              <w:pStyle w:val="Paragraphedeliste"/>
              <w:ind w:left="0"/>
              <w:jc w:val="right"/>
              <w:rPr>
                <w:rFonts w:cs="Arial"/>
                <w:noProof/>
              </w:rPr>
            </w:pPr>
            <w:r w:rsidRPr="00D661BE">
              <w:rPr>
                <w:rFonts w:cs="Arial"/>
                <w:noProof/>
              </w:rPr>
              <w:t>121 534,07$</w:t>
            </w:r>
          </w:p>
        </w:tc>
      </w:tr>
    </w:tbl>
    <w:p w14:paraId="3A3BA225" w14:textId="77777777" w:rsidR="00DF4E65" w:rsidRDefault="00DF4E65" w:rsidP="00C73D30">
      <w:pPr>
        <w:numPr>
          <w:ilvl w:val="0"/>
          <w:numId w:val="1"/>
        </w:numPr>
        <w:tabs>
          <w:tab w:val="clear" w:pos="360"/>
        </w:tabs>
        <w:spacing w:before="240" w:after="120"/>
        <w:jc w:val="both"/>
        <w:rPr>
          <w:noProof/>
        </w:rPr>
      </w:pPr>
      <w:bookmarkStart w:id="24" w:name="_Hlk223096245"/>
      <w:r>
        <w:rPr>
          <w:noProof/>
        </w:rPr>
        <w:t>Le PGQ a démontré avoir versé l’intégralité de ces sommes à J.C. ou à un un fournisseur pour un soin ou un service dont J.C. a bénéficié</w:t>
      </w:r>
      <w:r>
        <w:rPr>
          <w:rStyle w:val="Appelnotedebasdep"/>
          <w:noProof/>
        </w:rPr>
        <w:footnoteReference w:id="84"/>
      </w:r>
      <w:r>
        <w:rPr>
          <w:noProof/>
        </w:rPr>
        <w:t>. Cette preuve n’est pas contredite et il y a donc lieu de donner droit à la réclamation du PGQ en ce sens.</w:t>
      </w:r>
    </w:p>
    <w:p w14:paraId="1CC83578" w14:textId="77777777" w:rsidR="00DF4E65" w:rsidRDefault="00DF4E65" w:rsidP="00C73D30">
      <w:pPr>
        <w:numPr>
          <w:ilvl w:val="0"/>
          <w:numId w:val="1"/>
        </w:numPr>
        <w:tabs>
          <w:tab w:val="clear" w:pos="360"/>
        </w:tabs>
        <w:spacing w:before="120" w:after="120"/>
        <w:jc w:val="both"/>
        <w:rPr>
          <w:noProof/>
        </w:rPr>
      </w:pPr>
      <w:r>
        <w:rPr>
          <w:noProof/>
        </w:rPr>
        <w:t>Le Tribunal constate par ailleurs qu’iI</w:t>
      </w:r>
      <w:r w:rsidRPr="00D661BE">
        <w:rPr>
          <w:noProof/>
        </w:rPr>
        <w:t xml:space="preserve"> n’y a pas de dédoublement entre les sommes réclamées par le PGQ et celles réclamées par </w:t>
      </w:r>
      <w:r>
        <w:rPr>
          <w:noProof/>
        </w:rPr>
        <w:t>J. C.</w:t>
      </w:r>
    </w:p>
    <w:p w14:paraId="47B7EFC5" w14:textId="77777777" w:rsidR="00DF4E65" w:rsidRPr="00D661BE" w:rsidRDefault="00DF4E65" w:rsidP="00C73D30">
      <w:pPr>
        <w:numPr>
          <w:ilvl w:val="0"/>
          <w:numId w:val="1"/>
        </w:numPr>
        <w:tabs>
          <w:tab w:val="clear" w:pos="360"/>
        </w:tabs>
        <w:spacing w:before="120" w:after="120"/>
        <w:jc w:val="both"/>
        <w:rPr>
          <w:noProof/>
        </w:rPr>
      </w:pPr>
      <w:r>
        <w:rPr>
          <w:noProof/>
        </w:rPr>
        <w:t>En effet, l</w:t>
      </w:r>
      <w:r w:rsidRPr="00FE2BE7">
        <w:rPr>
          <w:noProof/>
        </w:rPr>
        <w:t>es amendements apportés par la demanderesse à ses réclamations en cours d’instance ont permis aux parties de s’en assurer. Tous conviennent que J.C.</w:t>
      </w:r>
      <w:r>
        <w:rPr>
          <w:noProof/>
        </w:rPr>
        <w:t xml:space="preserve"> n</w:t>
      </w:r>
      <w:r w:rsidRPr="00FE2BE7">
        <w:rPr>
          <w:noProof/>
        </w:rPr>
        <w:t xml:space="preserve">e </w:t>
      </w:r>
      <w:r>
        <w:rPr>
          <w:noProof/>
        </w:rPr>
        <w:t xml:space="preserve">peut </w:t>
      </w:r>
      <w:r w:rsidRPr="00FE2BE7">
        <w:rPr>
          <w:noProof/>
        </w:rPr>
        <w:t>réclamer du défendeur le remboursement de sommes qui lui ont été déjà versées par la DGIVAC</w:t>
      </w:r>
      <w:r>
        <w:rPr>
          <w:rStyle w:val="Appelnotedebasdep"/>
          <w:noProof/>
        </w:rPr>
        <w:footnoteReference w:id="85"/>
      </w:r>
      <w:r>
        <w:rPr>
          <w:noProof/>
        </w:rPr>
        <w:t>. Ainsi, s</w:t>
      </w:r>
      <w:r w:rsidRPr="00D661BE">
        <w:rPr>
          <w:noProof/>
        </w:rPr>
        <w:t>eul le</w:t>
      </w:r>
      <w:r>
        <w:rPr>
          <w:noProof/>
        </w:rPr>
        <w:t xml:space="preserve"> PGQ</w:t>
      </w:r>
      <w:r w:rsidRPr="00D661BE">
        <w:rPr>
          <w:noProof/>
        </w:rPr>
        <w:t>, d</w:t>
      </w:r>
      <w:r>
        <w:rPr>
          <w:noProof/>
        </w:rPr>
        <w:t>û</w:t>
      </w:r>
      <w:r w:rsidRPr="00D661BE">
        <w:rPr>
          <w:noProof/>
        </w:rPr>
        <w:t>ment subrogé dans ses droits par l’effet de la loi, peut réclamer ces sommes du défendeur</w:t>
      </w:r>
      <w:r>
        <w:rPr>
          <w:rStyle w:val="Appelnotedebasdep"/>
          <w:noProof/>
        </w:rPr>
        <w:footnoteReference w:id="86"/>
      </w:r>
      <w:r w:rsidRPr="00D661BE">
        <w:rPr>
          <w:noProof/>
        </w:rPr>
        <w:t>.</w:t>
      </w:r>
    </w:p>
    <w:p w14:paraId="767634BA" w14:textId="77777777" w:rsidR="00DF4E65" w:rsidRPr="00D661BE" w:rsidRDefault="00DF4E65" w:rsidP="008C0884">
      <w:pPr>
        <w:pStyle w:val="Paragrsimple"/>
      </w:pPr>
      <w:r w:rsidRPr="00D661BE">
        <w:rPr>
          <w:noProof/>
        </w:rPr>
        <w:t>Les montants réclamés par le PGQ</w:t>
      </w:r>
      <w:r>
        <w:rPr>
          <w:noProof/>
        </w:rPr>
        <w:t xml:space="preserve"> dans la présente instance</w:t>
      </w:r>
      <w:r w:rsidRPr="00D661BE">
        <w:rPr>
          <w:noProof/>
        </w:rPr>
        <w:t xml:space="preserve"> s’inscrivent tous dans la catégorie des </w:t>
      </w:r>
      <w:r w:rsidRPr="005636B6">
        <w:rPr>
          <w:noProof/>
        </w:rPr>
        <w:t>dommages pécuniaires</w:t>
      </w:r>
      <w:r w:rsidRPr="00D661BE">
        <w:rPr>
          <w:noProof/>
        </w:rPr>
        <w:t xml:space="preserve">. À ce jour, aucune somme pour compenser les pertes </w:t>
      </w:r>
      <w:r w:rsidRPr="00EA7E06">
        <w:rPr>
          <w:noProof/>
        </w:rPr>
        <w:t>non pécuniaires</w:t>
      </w:r>
      <w:r w:rsidRPr="00D661BE">
        <w:rPr>
          <w:noProof/>
        </w:rPr>
        <w:t xml:space="preserve"> subies par la demanderesse en raison des agressions qu’elle a subies aux mains du défendeur n’a été versée par la DGIVAC. </w:t>
      </w:r>
      <w:r>
        <w:rPr>
          <w:noProof/>
        </w:rPr>
        <w:t>Autrement dit, a</w:t>
      </w:r>
      <w:r w:rsidRPr="00D661BE">
        <w:rPr>
          <w:noProof/>
        </w:rPr>
        <w:t xml:space="preserve">ucune des sommes remises </w:t>
      </w:r>
      <w:r>
        <w:rPr>
          <w:noProof/>
        </w:rPr>
        <w:t xml:space="preserve">par la DGIVAC </w:t>
      </w:r>
      <w:r w:rsidRPr="00D661BE">
        <w:rPr>
          <w:noProof/>
        </w:rPr>
        <w:t>n’était destinée à compenser la souffrance et les douleurs qu</w:t>
      </w:r>
      <w:r>
        <w:rPr>
          <w:noProof/>
        </w:rPr>
        <w:t>e J. C.</w:t>
      </w:r>
      <w:r w:rsidRPr="00D661BE">
        <w:rPr>
          <w:noProof/>
        </w:rPr>
        <w:t xml:space="preserve"> porte en elle en raison des abus dont elle a été </w:t>
      </w:r>
      <w:r>
        <w:rPr>
          <w:noProof/>
        </w:rPr>
        <w:t>victime dans son enfance</w:t>
      </w:r>
      <w:r w:rsidRPr="00D661BE">
        <w:rPr>
          <w:noProof/>
        </w:rPr>
        <w:t xml:space="preserve">. </w:t>
      </w:r>
    </w:p>
    <w:p w14:paraId="2FD1AD72" w14:textId="77777777" w:rsidR="00DF4E65" w:rsidRPr="00D264EB" w:rsidRDefault="00DF4E65" w:rsidP="00DF4E65">
      <w:pPr>
        <w:pStyle w:val="Titre3"/>
        <w:numPr>
          <w:ilvl w:val="1"/>
          <w:numId w:val="37"/>
        </w:numPr>
        <w:rPr>
          <w:noProof/>
        </w:rPr>
      </w:pPr>
      <w:r w:rsidRPr="00D264EB">
        <w:rPr>
          <w:noProof/>
        </w:rPr>
        <w:t>Le cas particulier de la somme forfaitaire en vertu de la LAPVIC</w:t>
      </w:r>
    </w:p>
    <w:p w14:paraId="19F7BB38" w14:textId="77777777" w:rsidR="00DF4E65" w:rsidRPr="00D661BE" w:rsidRDefault="00DF4E65" w:rsidP="008C0884">
      <w:pPr>
        <w:pStyle w:val="Paragrsimple"/>
        <w:rPr>
          <w:noProof/>
        </w:rPr>
      </w:pPr>
      <w:r w:rsidRPr="00D661BE">
        <w:rPr>
          <w:noProof/>
        </w:rPr>
        <w:t>Avant l’entrée en vigueur de la LAPVIC</w:t>
      </w:r>
      <w:r>
        <w:rPr>
          <w:noProof/>
        </w:rPr>
        <w:t>,</w:t>
      </w:r>
      <w:r w:rsidRPr="00D661BE">
        <w:rPr>
          <w:noProof/>
        </w:rPr>
        <w:t xml:space="preserve"> le 13 octobre 2021, la question de la double indemnisation en matière de dommages non</w:t>
      </w:r>
      <w:r>
        <w:rPr>
          <w:noProof/>
        </w:rPr>
        <w:t xml:space="preserve"> </w:t>
      </w:r>
      <w:r w:rsidRPr="00D661BE">
        <w:rPr>
          <w:noProof/>
        </w:rPr>
        <w:t xml:space="preserve">pécuniaires ne se posait pas. En effet, l’ancien régime ne prévoyait aucune indemnité pour les conséquences non </w:t>
      </w:r>
      <w:r w:rsidRPr="00D661BE">
        <w:rPr>
          <w:noProof/>
        </w:rPr>
        <w:lastRenderedPageBreak/>
        <w:t>pécuniaires résultant d’un acte criminel</w:t>
      </w:r>
      <w:r w:rsidRPr="00D661BE">
        <w:rPr>
          <w:rStyle w:val="Appelnotedebasdep"/>
          <w:noProof/>
        </w:rPr>
        <w:footnoteReference w:id="87"/>
      </w:r>
      <w:r w:rsidRPr="00D661BE">
        <w:rPr>
          <w:noProof/>
        </w:rPr>
        <w:t xml:space="preserve">. Il n’y avait donc pas à craindre que la victime de l’acte criminel reçoive une double indemnisation sous ce chef. </w:t>
      </w:r>
    </w:p>
    <w:p w14:paraId="4FD60DCA" w14:textId="77777777" w:rsidR="00DF4E65" w:rsidRPr="00D661BE" w:rsidRDefault="00DF4E65" w:rsidP="008C0884">
      <w:pPr>
        <w:pStyle w:val="Paragrsimple"/>
        <w:rPr>
          <w:noProof/>
        </w:rPr>
      </w:pPr>
      <w:r w:rsidRPr="00D661BE">
        <w:rPr>
          <w:noProof/>
        </w:rPr>
        <w:t xml:space="preserve">Or, le </w:t>
      </w:r>
      <w:r>
        <w:rPr>
          <w:noProof/>
        </w:rPr>
        <w:t xml:space="preserve">nouveau </w:t>
      </w:r>
      <w:r w:rsidRPr="00D661BE">
        <w:rPr>
          <w:noProof/>
        </w:rPr>
        <w:t>régime mis en place en vertu de la LAPVIC est venu changer la donne et la question du cumul des indemnités en matière de dommages non-pécuniaires se pose désormais avec acuité. En effet, la LAPVIC prévoit dorénavant la possibilité que soient versés à la victime des dommages non pécuniaires sous forme de somme forfaitaire pour séquelles permanentes</w:t>
      </w:r>
      <w:r w:rsidRPr="00D661BE">
        <w:rPr>
          <w:rStyle w:val="Appelnotedebasdep"/>
          <w:noProof/>
        </w:rPr>
        <w:footnoteReference w:id="88"/>
      </w:r>
      <w:r w:rsidRPr="00D661BE">
        <w:rPr>
          <w:noProof/>
        </w:rPr>
        <w:t xml:space="preserve">. </w:t>
      </w:r>
    </w:p>
    <w:p w14:paraId="61DBCBEF" w14:textId="77777777" w:rsidR="00DF4E65" w:rsidRPr="00D661BE" w:rsidRDefault="00DF4E65" w:rsidP="008C0884">
      <w:pPr>
        <w:pStyle w:val="Paragrsimple"/>
      </w:pPr>
      <w:r w:rsidRPr="00D661BE">
        <w:rPr>
          <w:noProof/>
        </w:rPr>
        <w:t xml:space="preserve">Comme l’explique le professeur Gardner dans la plus récente édition de son ouvrage </w:t>
      </w:r>
      <w:r w:rsidRPr="00D661BE">
        <w:rPr>
          <w:i/>
          <w:iCs/>
          <w:noProof/>
        </w:rPr>
        <w:t>Le préjudice corporel</w:t>
      </w:r>
      <w:r w:rsidRPr="00D661BE">
        <w:rPr>
          <w:rStyle w:val="Appelnotedebasdep"/>
        </w:rPr>
        <w:footnoteReference w:id="89"/>
      </w:r>
      <w:r w:rsidRPr="00D661BE">
        <w:t> </w:t>
      </w:r>
      <w:r w:rsidRPr="00D661BE">
        <w:rPr>
          <w:noProof/>
        </w:rPr>
        <w:t>:</w:t>
      </w:r>
      <w:r w:rsidRPr="00D661BE">
        <w:t xml:space="preserve"> </w:t>
      </w:r>
    </w:p>
    <w:p w14:paraId="482B6997" w14:textId="77777777" w:rsidR="00DF4E65" w:rsidRPr="00D661BE" w:rsidRDefault="00DF4E65" w:rsidP="00D661BE">
      <w:pPr>
        <w:pStyle w:val="Citationenretrait"/>
      </w:pPr>
      <w:r w:rsidRPr="00D661BE">
        <w:t xml:space="preserve">161 (…) Sous la LAPVIC, les postes d’indemnisation sont clairement établis : perte de revenu (art. 42 et suivants), </w:t>
      </w:r>
      <w:r w:rsidRPr="00D661BE">
        <w:rPr>
          <w:u w:val="single"/>
        </w:rPr>
        <w:t>pertes non pécuniaires (placées sous un chapitre curieusement intitulé « Somme forfaitaire » aux articles 36 et suivants)</w:t>
      </w:r>
      <w:r w:rsidRPr="00D661BE">
        <w:t xml:space="preserve">. Cela va permettre de régler à la source les problèmes vécus sous l’ancien régime où les juges ne savaient pas trop comment quantifier les indemnités reçues de l’état (pertes pécuniaires, non pécuniaires), ce qui ne manquait pas de poser des problèmes de détermination de l’excédent de la perte subie par rapport à l’indemnité versée par la CNESST. </w:t>
      </w:r>
      <w:r w:rsidRPr="00D661BE">
        <w:rPr>
          <w:u w:val="single"/>
        </w:rPr>
        <w:t>Ainsi, une réclamation en droit commun pour les souffrances et douleurs endurées par la victime de l’acte criminel devra dorénavant tenir compte du montant versé en vertu des articles 38 et 39 LAPVIC alors que ce n’était pas le cas sous l’ancien régime.</w:t>
      </w:r>
    </w:p>
    <w:p w14:paraId="447E908F" w14:textId="77777777" w:rsidR="00DF4E65" w:rsidRPr="009E02D8" w:rsidRDefault="00DF4E65" w:rsidP="009E02D8">
      <w:pPr>
        <w:ind w:left="2924" w:firstLine="731"/>
        <w:rPr>
          <w:sz w:val="22"/>
          <w:szCs w:val="22"/>
        </w:rPr>
      </w:pPr>
      <w:r w:rsidRPr="009E02D8">
        <w:rPr>
          <w:sz w:val="22"/>
          <w:szCs w:val="22"/>
        </w:rPr>
        <w:t>(Soulignements ajoutés, références omises)</w:t>
      </w:r>
    </w:p>
    <w:p w14:paraId="467C9B76" w14:textId="77777777" w:rsidR="00DF4E65" w:rsidRPr="00D264EB" w:rsidRDefault="00DF4E65" w:rsidP="002C3E4D">
      <w:pPr>
        <w:pStyle w:val="Paragrsimple"/>
        <w:rPr>
          <w:lang w:eastAsia="fr-CA"/>
        </w:rPr>
      </w:pPr>
      <w:r>
        <w:rPr>
          <w:noProof/>
        </w:rPr>
        <w:t xml:space="preserve">En l’espèce, le montant de la somme forfaitaire auquel la demanderesse peut </w:t>
      </w:r>
      <w:r w:rsidRPr="00D264EB">
        <w:rPr>
          <w:noProof/>
        </w:rPr>
        <w:t xml:space="preserve">prétendre en vertu de la LAPVIC n’est pas encore établi et le moment auquel elle pourra y avoir droit n’est toujours pas connu. </w:t>
      </w:r>
    </w:p>
    <w:p w14:paraId="3564CBB8" w14:textId="77777777" w:rsidR="00DF4E65" w:rsidRPr="00D264EB" w:rsidRDefault="00DF4E65" w:rsidP="00DF4E65">
      <w:pPr>
        <w:pStyle w:val="Titre3"/>
        <w:numPr>
          <w:ilvl w:val="1"/>
          <w:numId w:val="37"/>
        </w:numPr>
        <w:ind w:left="731" w:hanging="731"/>
      </w:pPr>
      <w:r w:rsidRPr="00D264EB">
        <w:t>Demande du PGQ de qualifier la somme de 210 000$ versée par M. C. à sa fille</w:t>
      </w:r>
    </w:p>
    <w:p w14:paraId="76E8211D" w14:textId="77777777" w:rsidR="00DF4E65" w:rsidRDefault="00DF4E65" w:rsidP="008C0884">
      <w:pPr>
        <w:pStyle w:val="Paragrsimple"/>
      </w:pPr>
      <w:r w:rsidRPr="00D264EB">
        <w:t>Le PGQ</w:t>
      </w:r>
      <w:r w:rsidRPr="007C2DBC">
        <w:t xml:space="preserve"> demande </w:t>
      </w:r>
      <w:r>
        <w:t xml:space="preserve">au Tribunal </w:t>
      </w:r>
      <w:r w:rsidRPr="007C2DBC">
        <w:t xml:space="preserve">de considérer la somme de 210 000$ versée par le défendeur </w:t>
      </w:r>
      <w:r>
        <w:t xml:space="preserve">à sa fille </w:t>
      </w:r>
      <w:r w:rsidRPr="007C2DBC">
        <w:t xml:space="preserve">comme étant un montant déjà payé dans la catégorie des dommages non pécuniaires. </w:t>
      </w:r>
    </w:p>
    <w:p w14:paraId="424B5C7B" w14:textId="77777777" w:rsidR="00DF4E65" w:rsidRDefault="00DF4E65" w:rsidP="008C0884">
      <w:pPr>
        <w:pStyle w:val="Paragrsimple"/>
      </w:pPr>
      <w:r>
        <w:t>Il faut comprendre que c</w:t>
      </w:r>
      <w:r w:rsidRPr="007C2DBC">
        <w:t>ette qualification ne serait pas sans conséquence</w:t>
      </w:r>
      <w:r>
        <w:t xml:space="preserve"> pour la demanderesse</w:t>
      </w:r>
      <w:r w:rsidRPr="007C2DBC">
        <w:t>.</w:t>
      </w:r>
    </w:p>
    <w:p w14:paraId="6027B9C4" w14:textId="77777777" w:rsidR="00DF4E65" w:rsidRDefault="00DF4E65" w:rsidP="007B2F58">
      <w:pPr>
        <w:pStyle w:val="Paragrsimple"/>
      </w:pPr>
      <w:r>
        <w:t xml:space="preserve">L’article 33 de la LAPVIC l’empêche de cumuler une aide en vertu de la LAPVIC et une somme adjugée et perçue pour les mêmes objets, les mêmes séquelles ou les mêmes préjudices. </w:t>
      </w:r>
    </w:p>
    <w:p w14:paraId="6F0E814C" w14:textId="77777777" w:rsidR="00DF4E65" w:rsidRDefault="00DF4E65" w:rsidP="002C3E4D">
      <w:pPr>
        <w:pStyle w:val="Paragrsimple"/>
      </w:pPr>
      <w:r>
        <w:lastRenderedPageBreak/>
        <w:t xml:space="preserve">Il appert de la preuve au dossier que l’intention de J.C. et son père en convenant du versement d’une somme de </w:t>
      </w:r>
      <w:r w:rsidRPr="00F772AB">
        <w:rPr>
          <w:b/>
          <w:bCs/>
          <w:u w:val="single"/>
        </w:rPr>
        <w:t>210 000$</w:t>
      </w:r>
      <w:r>
        <w:t xml:space="preserve"> était de convenir d’un </w:t>
      </w:r>
      <w:r w:rsidRPr="002C3E4D">
        <w:rPr>
          <w:u w:val="single"/>
        </w:rPr>
        <w:t>paiement partiel</w:t>
      </w:r>
      <w:r>
        <w:t xml:space="preserve"> des sommes réclamées par la demanderesse, sommes qui se déclinent sous différents chefs de dommages. Il était d’ailleurs spécifiquement prévu à l’entente que J.C. conserverait tous ses droits et recours contre M.C. mais qu’elle modifierait ses procédures pour refléter ce paiement</w:t>
      </w:r>
      <w:r>
        <w:rPr>
          <w:rStyle w:val="Appelnotedebasdep"/>
        </w:rPr>
        <w:footnoteReference w:id="90"/>
      </w:r>
      <w:r>
        <w:t xml:space="preserve">, ce qu’elle a fait. C’est le PGQ qui tente de changer la donne, </w:t>
      </w:r>
      <w:r w:rsidRPr="002C3E4D">
        <w:rPr>
          <w:i/>
          <w:iCs/>
        </w:rPr>
        <w:t>a posteriori</w:t>
      </w:r>
      <w:r>
        <w:t>, en imposant unilatéralement comme condition à la ratification de l’entente que la somme de 210 000$ soit réputée correspondre à des montants à être versés pour pallier des séquelles permanentes en vertu des art. 36 à 41 de la LAPVIC</w:t>
      </w:r>
      <w:r>
        <w:rPr>
          <w:rStyle w:val="Appelnotedebasdep"/>
        </w:rPr>
        <w:footnoteReference w:id="91"/>
      </w:r>
      <w:r>
        <w:t>.</w:t>
      </w:r>
    </w:p>
    <w:p w14:paraId="1A832C6F" w14:textId="77777777" w:rsidR="00DF4E65" w:rsidRPr="009E02D8" w:rsidRDefault="00DF4E65" w:rsidP="00AE0D42">
      <w:pPr>
        <w:pStyle w:val="Paragrsimple"/>
      </w:pPr>
      <w:r>
        <w:t xml:space="preserve"> L</w:t>
      </w:r>
      <w:r w:rsidRPr="007C2DBC">
        <w:t xml:space="preserve">e </w:t>
      </w:r>
      <w:r>
        <w:t>T</w:t>
      </w:r>
      <w:r w:rsidRPr="007C2DBC">
        <w:t>ribunal s’interroge sur l</w:t>
      </w:r>
      <w:r>
        <w:t xml:space="preserve">es raisons </w:t>
      </w:r>
      <w:r w:rsidRPr="007C2DBC">
        <w:t xml:space="preserve">d’un tel procédé </w:t>
      </w:r>
      <w:r>
        <w:t>si on garde à</w:t>
      </w:r>
      <w:r w:rsidRPr="007C2DBC">
        <w:t xml:space="preserve"> l’esprit </w:t>
      </w:r>
      <w:r>
        <w:t xml:space="preserve">l’objectif </w:t>
      </w:r>
      <w:r w:rsidRPr="007C2DBC">
        <w:t>de la loi et l’idéal qui animait la société en mettant en place le régime d’indemnisation l’IVAC.</w:t>
      </w:r>
      <w:r>
        <w:t xml:space="preserve"> </w:t>
      </w:r>
      <w:r w:rsidRPr="009E02D8">
        <w:t xml:space="preserve">Comme l’expliquent les auteurs Baudouin, Deslauriers et Moore, </w:t>
      </w:r>
      <w:r>
        <w:t>c</w:t>
      </w:r>
      <w:r w:rsidRPr="009E02D8">
        <w:t xml:space="preserve">e régime d’indemnisation a été mis en place afin de remédier aux injustices sociales que subissaient les victimes innocentes d’un crime et pour lesquelles elles ne parvenaient pas à obtenir de compensation. Ils rappellent que ce régime est le résultat d’un choix collectif et social visant à soutenir les victimes d’actes criminels : </w:t>
      </w:r>
    </w:p>
    <w:p w14:paraId="354C607D" w14:textId="77777777" w:rsidR="00DF4E65" w:rsidRPr="008C0884" w:rsidRDefault="00DF4E65" w:rsidP="00AE0D42">
      <w:pPr>
        <w:pStyle w:val="Citationenretrait"/>
      </w:pPr>
      <w:r w:rsidRPr="008C0884">
        <w:rPr>
          <w:b/>
          <w:bCs/>
        </w:rPr>
        <w:t>1-1128</w:t>
      </w:r>
      <w:r w:rsidRPr="008C0884">
        <w:t xml:space="preserve"> – Position du problème – </w:t>
      </w:r>
      <w:r w:rsidRPr="008C0884">
        <w:rPr>
          <w:u w:val="single"/>
        </w:rPr>
        <w:t>La victime d'un acte criminel a statistiquement peu de chances d'obtenir compensation.</w:t>
      </w:r>
      <w:r w:rsidRPr="008C0884">
        <w:t xml:space="preserve"> Un recours en responsabilité efficace suppose, en effet, deux conditions dont la réunion, dans les circonstances, reste problématique. La première est l'identification de celui qui a causé le dommage, </w:t>
      </w:r>
      <w:r w:rsidRPr="008C0884">
        <w:rPr>
          <w:u w:val="single"/>
        </w:rPr>
        <w:t>la seconde, sa solvabilité</w:t>
      </w:r>
      <w:r w:rsidRPr="008C0884">
        <w:t xml:space="preserve">. Quant à la victime d'un acte de civisme, la situation est différente. Celui qui, n'écoutant que son courage, pose un geste altruiste de secours à autrui, n'a, en droit classique, que des recours fort limités qui supposent la présence de conditions nécessaires à l'existence d'une gestion d'affaires ou d'un enrichissement </w:t>
      </w:r>
      <w:r w:rsidRPr="009E02D8">
        <w:t xml:space="preserve">injustifié. </w:t>
      </w:r>
      <w:r w:rsidRPr="00EA6DDA">
        <w:rPr>
          <w:u w:val="single"/>
        </w:rPr>
        <w:t>Même lorsque celles-ci se trouvent réunies, la compensation reçue risque de ne pas représenter une indemnisation complète</w:t>
      </w:r>
      <w:r w:rsidRPr="008C0884">
        <w:t>.</w:t>
      </w:r>
    </w:p>
    <w:p w14:paraId="4E1E5DCC" w14:textId="77777777" w:rsidR="00DF4E65" w:rsidRPr="009719F4" w:rsidRDefault="00DF4E65" w:rsidP="00AE0D42">
      <w:pPr>
        <w:pStyle w:val="Citationenretrait"/>
      </w:pPr>
      <w:r w:rsidRPr="009719F4">
        <w:rPr>
          <w:b/>
          <w:bCs/>
        </w:rPr>
        <w:t>1-1130</w:t>
      </w:r>
      <w:r w:rsidRPr="009719F4">
        <w:t xml:space="preserve">- : Objectifs de la Loi sur l’indemnisation des victimes d’actes criminels – Les discussions qui ont entouré l’adoption de la Loi sur l’indemnisation des victimes d’actes criminels montrent que </w:t>
      </w:r>
      <w:r w:rsidRPr="009719F4">
        <w:rPr>
          <w:u w:val="single"/>
        </w:rPr>
        <w:t>le gouvernement était conscient de la nécessité de mettre sur pied un système visant à réparer les injustices sociales crées par les conséquences d’un crime sur les victimes innocentes. L’objectif d’une telle loi était donc de reconnaître que le crime contre la personne est un risque social dont la collectivité devait assumer les conséquences.</w:t>
      </w:r>
      <w:r w:rsidRPr="009719F4">
        <w:rPr>
          <w:rStyle w:val="Appelnotedebasdep"/>
        </w:rPr>
        <w:footnoteReference w:id="92"/>
      </w:r>
    </w:p>
    <w:p w14:paraId="7E013266" w14:textId="77777777" w:rsidR="00DF4E65" w:rsidRDefault="00DF4E65" w:rsidP="007218C6">
      <w:pPr>
        <w:pStyle w:val="Paragrsimple"/>
        <w:numPr>
          <w:ilvl w:val="0"/>
          <w:numId w:val="0"/>
        </w:numPr>
        <w:ind w:firstLine="720"/>
      </w:pPr>
      <w:r>
        <w:t xml:space="preserve">                                                                            (</w:t>
      </w:r>
      <w:r w:rsidRPr="009719F4">
        <w:t>Soulignements ajoutés</w:t>
      </w:r>
      <w:r>
        <w:t>)</w:t>
      </w:r>
    </w:p>
    <w:p w14:paraId="0EF76459" w14:textId="77777777" w:rsidR="00DF4E65" w:rsidRDefault="00DF4E65" w:rsidP="00A5316B">
      <w:pPr>
        <w:pStyle w:val="Paragrsimple"/>
      </w:pPr>
      <w:r>
        <w:t xml:space="preserve">Le Tribunal dégage trois constats de ce qui précède. D’une part, l’objectif à l’origine de l’adoption de la loi est d’indemniser les victimes d’actes criminels par le biais </w:t>
      </w:r>
      <w:r w:rsidRPr="00644B35">
        <w:t>d’un régime public</w:t>
      </w:r>
      <w:r>
        <w:t xml:space="preserve"> qui assume le risque social que représentent les crimes contre la personne. D’autre part, l’une des prémisses qui sous-tend la mise en place de ce régime </w:t>
      </w:r>
      <w:r>
        <w:lastRenderedPageBreak/>
        <w:t>est la difficulté pour les victimes d’être adéquatement indemnisées, ce qui est le cas lorsque l’auteur de l’infraction criminelle est insolvable ou avec très peu d’actifs, comme c’est le cas en l’espèce. Enfin, le Tribunal retient que l’objectif de la LAPVIC, tel qu’énoncé à son premier article, est de mettre en place des mesures pour répondre aux besoins des victimes dans le but de favoriser leur rétablissement</w:t>
      </w:r>
      <w:r>
        <w:rPr>
          <w:rStyle w:val="Appelnotedebasdep"/>
        </w:rPr>
        <w:footnoteReference w:id="93"/>
      </w:r>
      <w:r>
        <w:t xml:space="preserve">. </w:t>
      </w:r>
    </w:p>
    <w:p w14:paraId="43D17662" w14:textId="77777777" w:rsidR="00DF4E65" w:rsidRDefault="00DF4E65" w:rsidP="00A5316B">
      <w:pPr>
        <w:pStyle w:val="Paragrsimple"/>
      </w:pPr>
      <w:r>
        <w:t>Cela étant</w:t>
      </w:r>
      <w:r w:rsidRPr="00D264EB">
        <w:t>, le Tribunal demeure perplexe face à l’initiative du PGQ qui semble vouloir limiter l’indemnisation que la demanderesse pourrait réellement obtenir dans ce dossier. En insistant pour qualifier les sommes versées de dommages non pécuniaires, le PGQ paraît vouloir pénaliser J.C. d’avoir cherché à obtenir réparation de son agresseur en la privant d’une aide financière sous forme de somme forfaitaire à laquelle elle aurait eu entièrement droit si elle n’avait pas entrepris son recours civil. Ce faisant, il laisse J.C. avec une créance symbolique résultant du présent jugement, créance que celle-ci aura peu de chance d’exécuter.</w:t>
      </w:r>
      <w:r>
        <w:t xml:space="preserve">  </w:t>
      </w:r>
    </w:p>
    <w:p w14:paraId="55B77574" w14:textId="77777777" w:rsidR="00DF4E65" w:rsidRPr="007C2DBC" w:rsidRDefault="00DF4E65" w:rsidP="008C0884">
      <w:pPr>
        <w:pStyle w:val="Paragrsimple"/>
      </w:pPr>
      <w:r>
        <w:t xml:space="preserve">En effet, </w:t>
      </w:r>
      <w:r w:rsidRPr="007C2DBC">
        <w:t>la précarité financière dans laquelle se trouve son père</w:t>
      </w:r>
      <w:r>
        <w:t xml:space="preserve"> est bien démontrée,</w:t>
      </w:r>
      <w:r w:rsidRPr="007C2DBC">
        <w:t xml:space="preserve"> ce qui rend </w:t>
      </w:r>
      <w:r>
        <w:t xml:space="preserve">très </w:t>
      </w:r>
      <w:r w:rsidRPr="007C2DBC">
        <w:t>hypothétique la possibilité qu</w:t>
      </w:r>
      <w:r>
        <w:t>e J. C.</w:t>
      </w:r>
      <w:r w:rsidRPr="007C2DBC">
        <w:t xml:space="preserve"> obtienne plus d’argent de sa part dans un proche avenir.</w:t>
      </w:r>
      <w:r>
        <w:t xml:space="preserve"> </w:t>
      </w:r>
    </w:p>
    <w:p w14:paraId="7A21B389" w14:textId="77777777" w:rsidR="00DF4E65" w:rsidRPr="00EA7E06" w:rsidRDefault="00DF4E65" w:rsidP="008C0884">
      <w:pPr>
        <w:pStyle w:val="Paragrsimple"/>
      </w:pPr>
      <w:r>
        <w:t xml:space="preserve">Rappelons </w:t>
      </w:r>
      <w:r w:rsidRPr="007C2DBC">
        <w:t xml:space="preserve">que la demanderesse a été proactive dans ce dossier, en prenant l’initiative de procéder à une saisie avant jugement dès qu’elle a été informée de la mise en vente de la maison de son père. Ses démarches et ses efforts ne se traduiront malheureusement pas par </w:t>
      </w:r>
      <w:r>
        <w:t>une indemnisation plus complète pour elle</w:t>
      </w:r>
      <w:r w:rsidRPr="007C2DBC">
        <w:t>. E</w:t>
      </w:r>
      <w:r>
        <w:t>n revanche, si on suivait le raisonnement avancé par le PGQ, e</w:t>
      </w:r>
      <w:r w:rsidRPr="007C2DBC">
        <w:t xml:space="preserve">lles </w:t>
      </w:r>
      <w:r>
        <w:t xml:space="preserve">permettraient </w:t>
      </w:r>
      <w:r w:rsidRPr="007C2DBC">
        <w:t>à l</w:t>
      </w:r>
      <w:r>
        <w:t>a DG</w:t>
      </w:r>
      <w:r w:rsidRPr="007C2DBC">
        <w:t xml:space="preserve">IVAC de soustraire </w:t>
      </w:r>
      <w:r>
        <w:t xml:space="preserve">jusqu’à </w:t>
      </w:r>
      <w:r w:rsidRPr="007C2DBC">
        <w:t>210 000$ de la somme forfaitaire qu’</w:t>
      </w:r>
      <w:r>
        <w:t>elle</w:t>
      </w:r>
      <w:r w:rsidRPr="007C2DBC">
        <w:t xml:space="preserve"> devra éventuellement lui </w:t>
      </w:r>
      <w:r w:rsidRPr="00EA7E06">
        <w:t xml:space="preserve">verser. </w:t>
      </w:r>
    </w:p>
    <w:p w14:paraId="79F18B26" w14:textId="77777777" w:rsidR="00DF4E65" w:rsidRDefault="00DF4E65" w:rsidP="00AE0D42">
      <w:pPr>
        <w:pStyle w:val="Paragrsimple"/>
      </w:pPr>
      <w:r w:rsidRPr="007C2DBC">
        <w:t xml:space="preserve">Le message qu’envoie le PGQ en agissant ainsi semble en contradiction avec le fondement même du régime d’indemnisation des victimes d’actes criminels qui est de supporter le risque social que représentent les crimes contre la personne et d’en assumer les conséquences plutôt que d’abandonner les victimes à leur sort. </w:t>
      </w:r>
    </w:p>
    <w:p w14:paraId="42741EBA" w14:textId="77777777" w:rsidR="00DF4E65" w:rsidRPr="007C2DBC" w:rsidRDefault="00DF4E65" w:rsidP="008C0884">
      <w:pPr>
        <w:pStyle w:val="Paragrsimple"/>
      </w:pPr>
      <w:r w:rsidRPr="007C2DBC">
        <w:t>Le PGQ a le droit d’intervenir au litige et de demander que le défendeur lui rembourse l’aide déjà versée à la demanderesse</w:t>
      </w:r>
      <w:r>
        <w:t xml:space="preserve"> m</w:t>
      </w:r>
      <w:r w:rsidRPr="007C2DBC">
        <w:t>ais cette intervention</w:t>
      </w:r>
      <w:r>
        <w:t xml:space="preserve"> ne doit pas </w:t>
      </w:r>
      <w:r w:rsidRPr="007C2DBC">
        <w:t>se fai</w:t>
      </w:r>
      <w:r>
        <w:t>re</w:t>
      </w:r>
      <w:r w:rsidRPr="007C2DBC">
        <w:t xml:space="preserve"> au détriment des intérêts de la victime s’il souhaite vraiment l’aider et favoriser son rétablissement, comme l’indique le titre même de la LAPVIC</w:t>
      </w:r>
      <w:r>
        <w:t xml:space="preserve">. </w:t>
      </w:r>
    </w:p>
    <w:p w14:paraId="7BCB8B07" w14:textId="77777777" w:rsidR="00DF4E65" w:rsidRPr="00F741A9" w:rsidRDefault="00DF4E65" w:rsidP="00F741A9">
      <w:pPr>
        <w:pStyle w:val="Paragrsimple"/>
      </w:pPr>
      <w:r w:rsidRPr="007C2DBC">
        <w:t xml:space="preserve">Quoi qu’il en soit, le </w:t>
      </w:r>
      <w:r>
        <w:t>T</w:t>
      </w:r>
      <w:r w:rsidRPr="007C2DBC">
        <w:t xml:space="preserve">ribunal est d’avis qu’il ne lui revient pas de qualifier la somme déjà versée par le défendeur dans le cadre du présent litige. </w:t>
      </w:r>
      <w:r>
        <w:t>S</w:t>
      </w:r>
      <w:r w:rsidRPr="007C2DBC">
        <w:t xml:space="preserve">oulignons que même s’ils </w:t>
      </w:r>
      <w:r w:rsidRPr="007C2DBC">
        <w:lastRenderedPageBreak/>
        <w:t xml:space="preserve">en ont fait verbalement la demande au </w:t>
      </w:r>
      <w:r>
        <w:t>T</w:t>
      </w:r>
      <w:r w:rsidRPr="007C2DBC">
        <w:t xml:space="preserve">ribunal, ni le PGQ, ni le défendeur n’ont prévu d’ordonnances en ce sens dans leurs procédures. </w:t>
      </w:r>
      <w:bookmarkEnd w:id="24"/>
    </w:p>
    <w:p w14:paraId="4AA173FE" w14:textId="77777777" w:rsidR="00DF4E65" w:rsidRDefault="00DF4E65" w:rsidP="00EB41BE">
      <w:pPr>
        <w:pStyle w:val="Paragrsimple"/>
        <w:numPr>
          <w:ilvl w:val="0"/>
          <w:numId w:val="0"/>
        </w:numPr>
      </w:pPr>
      <w:bookmarkStart w:id="25" w:name="_Toc172728845"/>
      <w:bookmarkEnd w:id="22"/>
      <w:r w:rsidRPr="0024307D">
        <w:t>POUR CES MOTIFS, LE TRIBUNAL :</w:t>
      </w:r>
      <w:bookmarkEnd w:id="3"/>
      <w:bookmarkEnd w:id="25"/>
    </w:p>
    <w:p w14:paraId="2EEBB935" w14:textId="77777777" w:rsidR="00DF4E65" w:rsidRPr="0087258F" w:rsidRDefault="00DF4E65" w:rsidP="0087258F">
      <w:pPr>
        <w:pStyle w:val="Paragrdouble"/>
        <w:numPr>
          <w:ilvl w:val="0"/>
          <w:numId w:val="0"/>
        </w:numPr>
      </w:pPr>
      <w:r>
        <w:t xml:space="preserve">En ce qui concerne la demande introductive d’instance de J.C. </w:t>
      </w:r>
    </w:p>
    <w:p w14:paraId="242CE93E" w14:textId="77777777" w:rsidR="00DF4E65" w:rsidRDefault="00DF4E65" w:rsidP="00EB41BE">
      <w:pPr>
        <w:pStyle w:val="Paragrsimple"/>
      </w:pPr>
      <w:r w:rsidRPr="00EB41BE">
        <w:rPr>
          <w:b/>
          <w:bCs/>
          <w:lang w:eastAsia="fr-CA"/>
        </w:rPr>
        <w:t>ACCUEILLE</w:t>
      </w:r>
      <w:r>
        <w:t xml:space="preserve"> en partie la demande de la demanderesse;</w:t>
      </w:r>
    </w:p>
    <w:p w14:paraId="69FCB1D5" w14:textId="77777777" w:rsidR="00DF4E65" w:rsidRDefault="00DF4E65" w:rsidP="00EB41BE">
      <w:pPr>
        <w:pStyle w:val="Paragrsimple"/>
        <w:rPr>
          <w:rFonts w:cs="Arial"/>
          <w:color w:val="000016"/>
          <w:spacing w:val="2"/>
          <w:szCs w:val="24"/>
          <w:lang w:eastAsia="fr-CA"/>
        </w:rPr>
      </w:pPr>
      <w:bookmarkStart w:id="26" w:name="_Hlk183009798"/>
      <w:r w:rsidRPr="00EB41BE">
        <w:rPr>
          <w:b/>
          <w:bCs/>
          <w:lang w:eastAsia="fr-CA"/>
        </w:rPr>
        <w:t>CONDAMNE</w:t>
      </w:r>
      <w:bookmarkEnd w:id="26"/>
      <w:r>
        <w:rPr>
          <w:rFonts w:cs="Arial"/>
          <w:color w:val="000016"/>
          <w:spacing w:val="2"/>
          <w:szCs w:val="24"/>
          <w:lang w:eastAsia="fr-CA"/>
        </w:rPr>
        <w:t xml:space="preserve"> M. C. à payer à J. C., à titre de dommages pécuniaires, la somme de 2 160 009</w:t>
      </w:r>
      <w:r>
        <w:t>$</w:t>
      </w:r>
      <w:r>
        <w:rPr>
          <w:rFonts w:cs="Arial"/>
          <w:color w:val="000016"/>
          <w:spacing w:val="2"/>
          <w:szCs w:val="24"/>
          <w:lang w:eastAsia="fr-CA"/>
        </w:rPr>
        <w:t xml:space="preserve">, avec l’intérêt légal et l'indemnité additionnelle à compter de la date d’assignation; </w:t>
      </w:r>
    </w:p>
    <w:p w14:paraId="1E3F2F11" w14:textId="77777777" w:rsidR="00DF4E65" w:rsidRPr="00EB41BE" w:rsidRDefault="00DF4E65" w:rsidP="00EB41BE">
      <w:pPr>
        <w:pStyle w:val="Paragrsimple"/>
        <w:rPr>
          <w:rFonts w:cs="Arial"/>
          <w:color w:val="000016"/>
          <w:spacing w:val="2"/>
          <w:szCs w:val="24"/>
          <w:lang w:eastAsia="fr-CA"/>
        </w:rPr>
      </w:pPr>
      <w:r w:rsidRPr="00EB41BE">
        <w:rPr>
          <w:b/>
          <w:bCs/>
          <w:lang w:eastAsia="fr-CA"/>
        </w:rPr>
        <w:t xml:space="preserve">CONDAMNE </w:t>
      </w:r>
      <w:r>
        <w:rPr>
          <w:lang w:eastAsia="fr-CA"/>
        </w:rPr>
        <w:t>M. C. à payer à J. C., à titre de dommages non pécuniaires, la somme de 250 000$ avec l’intérêt légal et l’indemnité additionnelle à compter de la date d’assignation;</w:t>
      </w:r>
    </w:p>
    <w:p w14:paraId="78FD6E39" w14:textId="77777777" w:rsidR="00DF4E65" w:rsidRDefault="00DF4E65">
      <w:pPr>
        <w:pStyle w:val="Paragrsimple"/>
        <w:rPr>
          <w:lang w:eastAsia="fr-CA"/>
        </w:rPr>
      </w:pPr>
      <w:r w:rsidRPr="00273395">
        <w:rPr>
          <w:b/>
          <w:bCs/>
          <w:lang w:eastAsia="fr-CA"/>
        </w:rPr>
        <w:t>CONDAMNE</w:t>
      </w:r>
      <w:r>
        <w:rPr>
          <w:b/>
          <w:bCs/>
          <w:lang w:eastAsia="fr-CA"/>
        </w:rPr>
        <w:t xml:space="preserve"> </w:t>
      </w:r>
      <w:r>
        <w:rPr>
          <w:lang w:eastAsia="fr-CA"/>
        </w:rPr>
        <w:t>M. C. à payer à J. C., à titre de dommages punitifs, la somme de 10</w:t>
      </w:r>
      <w:r>
        <w:rPr>
          <w:rFonts w:cs="Arial"/>
          <w:color w:val="000016"/>
          <w:spacing w:val="2"/>
          <w:szCs w:val="24"/>
          <w:lang w:eastAsia="fr-CA"/>
        </w:rPr>
        <w:t> </w:t>
      </w:r>
      <w:r>
        <w:rPr>
          <w:lang w:eastAsia="fr-CA"/>
        </w:rPr>
        <w:t>000$ avec l’intérêt légal et l’indemnité additionnelle à compter du présent jugement;</w:t>
      </w:r>
    </w:p>
    <w:p w14:paraId="2D7A72C0" w14:textId="77777777" w:rsidR="00DF4E65" w:rsidRDefault="00DF4E65" w:rsidP="00F66D6B">
      <w:pPr>
        <w:pStyle w:val="Paragrdouble"/>
      </w:pPr>
      <w:r>
        <w:rPr>
          <w:b/>
          <w:bCs/>
          <w:lang w:eastAsia="fr-CA"/>
        </w:rPr>
        <w:t xml:space="preserve">LE TOUT, </w:t>
      </w:r>
      <w:r>
        <w:rPr>
          <w:lang w:eastAsia="fr-CA"/>
        </w:rPr>
        <w:t>avec frais de justice.</w:t>
      </w:r>
    </w:p>
    <w:p w14:paraId="4D90F4E9" w14:textId="77777777" w:rsidR="00DF4E65" w:rsidRPr="00A213A3" w:rsidRDefault="00DF4E65" w:rsidP="00EB41BE">
      <w:pPr>
        <w:pStyle w:val="Paragrdouble"/>
        <w:numPr>
          <w:ilvl w:val="0"/>
          <w:numId w:val="0"/>
        </w:numPr>
        <w:rPr>
          <w:lang w:eastAsia="fr-CA"/>
        </w:rPr>
      </w:pPr>
      <w:r>
        <w:rPr>
          <w:lang w:eastAsia="fr-CA"/>
        </w:rPr>
        <w:t>En ce qui concerne la demande subrogatoire amendée du procureur général du Québec</w:t>
      </w:r>
    </w:p>
    <w:p w14:paraId="4D105B39" w14:textId="77777777" w:rsidR="00DF4E65" w:rsidRPr="00EB41BE" w:rsidRDefault="00DF4E65" w:rsidP="00EB41BE">
      <w:pPr>
        <w:pStyle w:val="Paragrdouble"/>
        <w:rPr>
          <w:lang w:eastAsia="fr-CA"/>
        </w:rPr>
      </w:pPr>
      <w:r>
        <w:rPr>
          <w:b/>
          <w:bCs/>
          <w:lang w:eastAsia="fr-CA"/>
        </w:rPr>
        <w:t xml:space="preserve">ACCUEILLE </w:t>
      </w:r>
      <w:r>
        <w:rPr>
          <w:lang w:eastAsia="fr-CA"/>
        </w:rPr>
        <w:t>la demande subrogatoire amendée;</w:t>
      </w:r>
    </w:p>
    <w:p w14:paraId="0788659D" w14:textId="77777777" w:rsidR="00DF4E65" w:rsidRPr="00A404A2" w:rsidRDefault="00DF4E65" w:rsidP="00A213A3">
      <w:pPr>
        <w:pStyle w:val="Paragrsimple"/>
        <w:rPr>
          <w:lang w:eastAsia="fr-CA"/>
        </w:rPr>
      </w:pPr>
      <w:r>
        <w:rPr>
          <w:b/>
          <w:bCs/>
          <w:lang w:eastAsia="fr-CA"/>
        </w:rPr>
        <w:t xml:space="preserve">CONDAMNE </w:t>
      </w:r>
      <w:r>
        <w:rPr>
          <w:lang w:eastAsia="fr-CA"/>
        </w:rPr>
        <w:t xml:space="preserve">M.C. à payer au procureur général du Québec les sommes versées à la demanderesse par la direction générale de l’indemnisation des victimes d’actes criminels (DGIVAC) en vertu de la </w:t>
      </w:r>
      <w:r>
        <w:rPr>
          <w:i/>
          <w:iCs/>
          <w:lang w:eastAsia="fr-CA"/>
        </w:rPr>
        <w:t xml:space="preserve">Loi visant à aider les personnes victimes d’infractions criminelles et à favoriser leur rétablissement, </w:t>
      </w:r>
      <w:r>
        <w:rPr>
          <w:lang w:eastAsia="fr-CA"/>
        </w:rPr>
        <w:t>RLRQ, c P-9.2.1 (LAPVIC)</w:t>
      </w:r>
      <w:r>
        <w:rPr>
          <w:i/>
          <w:iCs/>
          <w:lang w:eastAsia="fr-CA"/>
        </w:rPr>
        <w:t xml:space="preserve"> </w:t>
      </w:r>
      <w:r>
        <w:rPr>
          <w:lang w:eastAsia="fr-CA"/>
        </w:rPr>
        <w:t xml:space="preserve">dans le dossier portant </w:t>
      </w:r>
      <w:r w:rsidRPr="00A404A2">
        <w:rPr>
          <w:lang w:eastAsia="fr-CA"/>
        </w:rPr>
        <w:t>le numéro 143876423 et totalisant à ce jour la somme de 121 534,07$;</w:t>
      </w:r>
    </w:p>
    <w:p w14:paraId="16AEEB97" w14:textId="77777777" w:rsidR="00DF4E65" w:rsidRPr="00A404A2" w:rsidRDefault="00DF4E65" w:rsidP="00F66D6B">
      <w:pPr>
        <w:pStyle w:val="Paragrdouble"/>
        <w:rPr>
          <w:lang w:eastAsia="fr-CA"/>
        </w:rPr>
      </w:pPr>
      <w:r w:rsidRPr="00A404A2">
        <w:rPr>
          <w:b/>
          <w:bCs/>
          <w:lang w:eastAsia="fr-CA"/>
        </w:rPr>
        <w:t xml:space="preserve">LE TOUT </w:t>
      </w:r>
      <w:r w:rsidRPr="00A404A2">
        <w:rPr>
          <w:lang w:eastAsia="fr-CA"/>
        </w:rPr>
        <w:t>sans frais de justice</w:t>
      </w:r>
      <w:r>
        <w:rPr>
          <w:lang w:eastAsia="fr-CA"/>
        </w:rPr>
        <w:t>.</w:t>
      </w:r>
    </w:p>
    <w:p w14:paraId="4F90B222" w14:textId="77777777" w:rsidR="00DF4E65" w:rsidRPr="00A404A2" w:rsidRDefault="00DF4E65" w:rsidP="00D713AF">
      <w:pPr>
        <w:pStyle w:val="Paragrdouble"/>
        <w:numPr>
          <w:ilvl w:val="0"/>
          <w:numId w:val="0"/>
        </w:numPr>
        <w:spacing w:line="240" w:lineRule="auto"/>
      </w:pPr>
    </w:p>
    <w:p w14:paraId="7D0E979E" w14:textId="77777777" w:rsidR="00DF4E65" w:rsidRPr="00772542" w:rsidRDefault="00DF4E65" w:rsidP="00D713AF">
      <w:pPr>
        <w:pStyle w:val="Paragrdouble"/>
        <w:numPr>
          <w:ilvl w:val="0"/>
          <w:numId w:val="0"/>
        </w:numPr>
        <w:spacing w:line="240" w:lineRule="auto"/>
      </w:pPr>
    </w:p>
    <w:tbl>
      <w:tblPr>
        <w:tblW w:w="9505" w:type="dxa"/>
        <w:tblLayout w:type="fixed"/>
        <w:tblCellMar>
          <w:left w:w="70" w:type="dxa"/>
          <w:right w:w="70" w:type="dxa"/>
        </w:tblCellMar>
        <w:tblLook w:val="0000" w:firstRow="0" w:lastRow="0" w:firstColumn="0" w:lastColumn="0" w:noHBand="0" w:noVBand="0"/>
      </w:tblPr>
      <w:tblGrid>
        <w:gridCol w:w="2197"/>
        <w:gridCol w:w="2670"/>
        <w:gridCol w:w="4638"/>
      </w:tblGrid>
      <w:tr w:rsidR="00DF4E65" w14:paraId="06652118" w14:textId="77777777" w:rsidTr="00BA153A">
        <w:trPr>
          <w:trHeight w:val="576"/>
        </w:trPr>
        <w:tc>
          <w:tcPr>
            <w:tcW w:w="9505" w:type="dxa"/>
            <w:gridSpan w:val="3"/>
          </w:tcPr>
          <w:p w14:paraId="33DB7D5D" w14:textId="77777777" w:rsidR="00DF4E65" w:rsidRDefault="00DF4E65" w:rsidP="00D26929">
            <w:pPr>
              <w:keepNext/>
              <w:keepLines/>
            </w:pPr>
          </w:p>
        </w:tc>
      </w:tr>
      <w:tr w:rsidR="00DF4E65" w:rsidRPr="00F4770B" w14:paraId="3BD2E95A" w14:textId="77777777" w:rsidTr="00BA153A">
        <w:tblPrEx>
          <w:tblCellMar>
            <w:left w:w="0" w:type="dxa"/>
            <w:right w:w="0" w:type="dxa"/>
          </w:tblCellMar>
        </w:tblPrEx>
        <w:trPr>
          <w:cantSplit/>
        </w:trPr>
        <w:tc>
          <w:tcPr>
            <w:tcW w:w="4867" w:type="dxa"/>
            <w:gridSpan w:val="2"/>
          </w:tcPr>
          <w:p w14:paraId="70B3540E" w14:textId="77777777" w:rsidR="00DF4E65" w:rsidRDefault="00DF4E65" w:rsidP="00D26929"/>
        </w:tc>
        <w:tc>
          <w:tcPr>
            <w:tcW w:w="4638" w:type="dxa"/>
          </w:tcPr>
          <w:p w14:paraId="2AACA216" w14:textId="77777777" w:rsidR="00DF4E65" w:rsidRPr="00F4770B" w:rsidRDefault="00DF4E65" w:rsidP="00D26929">
            <w:pPr>
              <w:pStyle w:val="zSoquijdatSignature3Juge"/>
            </w:pPr>
            <w:r>
              <w:t>__________________________________</w:t>
            </w:r>
            <w:r w:rsidRPr="009E7E11">
              <w:rPr>
                <w:caps/>
              </w:rPr>
              <w:fldChar w:fldCharType="begin"/>
            </w:r>
            <w:r w:rsidRPr="009E7E11">
              <w:rPr>
                <w:caps/>
              </w:rPr>
              <w:instrText xml:space="preserve"> NomJuge1 </w:instrText>
            </w:r>
            <w:r w:rsidRPr="009E7E11">
              <w:rPr>
                <w:caps/>
              </w:rPr>
              <w:fldChar w:fldCharType="separate"/>
            </w:r>
            <w:r>
              <w:rPr>
                <w:caps/>
              </w:rPr>
              <w:t>MARIE-CLAUDE LALANDE</w:t>
            </w:r>
            <w:r w:rsidRPr="00F4770B">
              <w:rPr>
                <w:caps/>
              </w:rPr>
              <w:t>,</w:t>
            </w:r>
            <w:r w:rsidRPr="009E7E11">
              <w:rPr>
                <w:caps/>
              </w:rPr>
              <w:fldChar w:fldCharType="end"/>
            </w:r>
            <w:r>
              <w:rPr>
                <w:caps/>
              </w:rPr>
              <w:t xml:space="preserve"> </w:t>
            </w:r>
            <w:r w:rsidRPr="00F4770B">
              <w:rPr>
                <w:caps/>
              </w:rPr>
              <w:t>j.c.s.</w:t>
            </w:r>
          </w:p>
        </w:tc>
      </w:tr>
      <w:tr w:rsidR="00DF4E65" w:rsidRPr="00F4770B" w14:paraId="75297BE4" w14:textId="77777777" w:rsidTr="00BA153A">
        <w:tc>
          <w:tcPr>
            <w:tcW w:w="9505" w:type="dxa"/>
            <w:gridSpan w:val="3"/>
          </w:tcPr>
          <w:p w14:paraId="254F06DA" w14:textId="77777777" w:rsidR="00DF4E65" w:rsidRDefault="00DF4E65" w:rsidP="00D26929"/>
          <w:p w14:paraId="63C694E9" w14:textId="77777777" w:rsidR="00DF4E65" w:rsidRDefault="00DF4E65" w:rsidP="00D26929"/>
          <w:p w14:paraId="544BA5EE" w14:textId="77777777" w:rsidR="00DF4E65" w:rsidRPr="00F4770B" w:rsidRDefault="00DF4E65" w:rsidP="00D26929"/>
        </w:tc>
      </w:tr>
      <w:tr w:rsidR="00DF4E65" w14:paraId="7058FFB0" w14:textId="77777777" w:rsidTr="00BA153A">
        <w:trPr>
          <w:cantSplit/>
        </w:trPr>
        <w:tc>
          <w:tcPr>
            <w:tcW w:w="9505" w:type="dxa"/>
            <w:gridSpan w:val="3"/>
          </w:tcPr>
          <w:p w14:paraId="5382D143" w14:textId="77777777" w:rsidR="00DF4E65" w:rsidRDefault="00DF4E65" w:rsidP="00D26929">
            <w:pPr>
              <w:pStyle w:val="zSoquijdatNomProcureurDem"/>
            </w:pPr>
            <w:r>
              <w:lastRenderedPageBreak/>
              <w:t>Me Megan Lapointe / Me Florence Rodrigue</w:t>
            </w:r>
          </w:p>
          <w:p w14:paraId="5CA2E5DC" w14:textId="77777777" w:rsidR="00DF4E65" w:rsidRDefault="00DF4E65" w:rsidP="00D26929">
            <w:pPr>
              <w:pStyle w:val="zSoquijdatNomProcureurDem"/>
            </w:pPr>
            <w:r>
              <w:t>JURIPOP</w:t>
            </w:r>
          </w:p>
        </w:tc>
      </w:tr>
      <w:tr w:rsidR="00DF4E65" w14:paraId="77F7B989" w14:textId="77777777" w:rsidTr="00BA153A">
        <w:trPr>
          <w:cantSplit/>
        </w:trPr>
        <w:tc>
          <w:tcPr>
            <w:tcW w:w="9505" w:type="dxa"/>
            <w:gridSpan w:val="3"/>
          </w:tcPr>
          <w:p w14:paraId="2155E9D1" w14:textId="77777777" w:rsidR="00DF4E65" w:rsidRDefault="00DF4E65" w:rsidP="00D26929">
            <w:pPr>
              <w:pStyle w:val="zSoquijdatCabinetProcureurDem"/>
            </w:pPr>
            <w:r>
              <w:t>Avocats de la partie demanderesse</w:t>
            </w:r>
          </w:p>
        </w:tc>
      </w:tr>
      <w:tr w:rsidR="00DF4E65" w14:paraId="097FF0AA" w14:textId="77777777" w:rsidTr="00BA153A">
        <w:trPr>
          <w:cantSplit/>
        </w:trPr>
        <w:tc>
          <w:tcPr>
            <w:tcW w:w="9505" w:type="dxa"/>
            <w:gridSpan w:val="3"/>
          </w:tcPr>
          <w:p w14:paraId="7595A8F7" w14:textId="77777777" w:rsidR="00DF4E65" w:rsidRDefault="00DF4E65" w:rsidP="00D26929">
            <w:pPr>
              <w:pStyle w:val="zSoquijlblProcureurDem"/>
            </w:pPr>
          </w:p>
        </w:tc>
      </w:tr>
      <w:tr w:rsidR="00DF4E65" w:rsidRPr="00D23A49" w14:paraId="5AA54BB5" w14:textId="77777777" w:rsidTr="00BA153A">
        <w:trPr>
          <w:cantSplit/>
        </w:trPr>
        <w:tc>
          <w:tcPr>
            <w:tcW w:w="9505" w:type="dxa"/>
            <w:gridSpan w:val="3"/>
          </w:tcPr>
          <w:p w14:paraId="0C4050A6" w14:textId="77777777" w:rsidR="00DF4E65" w:rsidRPr="00BB6743" w:rsidRDefault="00DF4E65" w:rsidP="00D26929"/>
          <w:p w14:paraId="1A62AE33" w14:textId="77777777" w:rsidR="00DF4E65" w:rsidRPr="00BB6743" w:rsidRDefault="00DF4E65" w:rsidP="00D26929">
            <w:r w:rsidRPr="00BB6743">
              <w:t>Me Raphaël Paquin</w:t>
            </w:r>
          </w:p>
          <w:p w14:paraId="56C18F5A" w14:textId="77777777" w:rsidR="00DF4E65" w:rsidRPr="00BB6743" w:rsidRDefault="00DF4E65" w:rsidP="00D26929">
            <w:r w:rsidRPr="00BB6743">
              <w:t>LAVIGNE ANCTIL MERCIER, AVOCATS</w:t>
            </w:r>
          </w:p>
        </w:tc>
      </w:tr>
      <w:tr w:rsidR="00DF4E65" w:rsidRPr="00D23A49" w14:paraId="11166D46" w14:textId="77777777" w:rsidTr="00BA153A">
        <w:trPr>
          <w:cantSplit/>
        </w:trPr>
        <w:tc>
          <w:tcPr>
            <w:tcW w:w="9505" w:type="dxa"/>
            <w:gridSpan w:val="3"/>
          </w:tcPr>
          <w:p w14:paraId="12563AB2" w14:textId="77777777" w:rsidR="00DF4E65" w:rsidRPr="00D23A49" w:rsidRDefault="00DF4E65" w:rsidP="00D26929">
            <w:pPr>
              <w:pStyle w:val="zSoquijdatNomProcureurDef"/>
            </w:pPr>
            <w:r>
              <w:t>Avocats de la partie défenderesse</w:t>
            </w:r>
          </w:p>
        </w:tc>
      </w:tr>
      <w:tr w:rsidR="00DF4E65" w:rsidRPr="00D23A49" w14:paraId="22153920" w14:textId="77777777" w:rsidTr="00BA153A">
        <w:trPr>
          <w:cantSplit/>
        </w:trPr>
        <w:tc>
          <w:tcPr>
            <w:tcW w:w="9505" w:type="dxa"/>
            <w:gridSpan w:val="3"/>
          </w:tcPr>
          <w:p w14:paraId="246AC928" w14:textId="77777777" w:rsidR="00DF4E65" w:rsidRDefault="00DF4E65" w:rsidP="00D26929">
            <w:pPr>
              <w:pStyle w:val="zSoquijdatCabinetProcureurDef"/>
            </w:pPr>
          </w:p>
          <w:p w14:paraId="2FB3DC3F" w14:textId="77777777" w:rsidR="00DF4E65" w:rsidRPr="00D23A49" w:rsidRDefault="00DF4E65" w:rsidP="00D26929">
            <w:pPr>
              <w:pStyle w:val="zSoquijdatCabinetProcureurDef"/>
            </w:pPr>
            <w:r>
              <w:t>Mes Marie-Philippe Tanguay / Andrea Alary Hoffman</w:t>
            </w:r>
          </w:p>
        </w:tc>
      </w:tr>
      <w:tr w:rsidR="00DF4E65" w:rsidRPr="00D23A49" w14:paraId="78649FAB" w14:textId="77777777" w:rsidTr="00BA153A">
        <w:trPr>
          <w:cantSplit/>
        </w:trPr>
        <w:tc>
          <w:tcPr>
            <w:tcW w:w="9505" w:type="dxa"/>
            <w:gridSpan w:val="3"/>
          </w:tcPr>
          <w:p w14:paraId="233D4B1B" w14:textId="77777777" w:rsidR="00DF4E65" w:rsidRDefault="00DF4E65" w:rsidP="00D26929">
            <w:pPr>
              <w:pStyle w:val="zSoquijlblProcureurDef"/>
            </w:pPr>
            <w:r>
              <w:t>BERNARD, ROY (JUSTICE-QUÉBEC)</w:t>
            </w:r>
          </w:p>
          <w:p w14:paraId="0177136B" w14:textId="77777777" w:rsidR="00DF4E65" w:rsidRDefault="00DF4E65" w:rsidP="00D26929">
            <w:pPr>
              <w:pStyle w:val="zSoquijlblProcureurDef"/>
            </w:pPr>
            <w:r>
              <w:t>Avocats de la partie intervenante</w:t>
            </w:r>
          </w:p>
          <w:p w14:paraId="5030A3B9" w14:textId="77777777" w:rsidR="00DF4E65" w:rsidRDefault="00DF4E65" w:rsidP="00D26929">
            <w:pPr>
              <w:pStyle w:val="zSoquijlblProcureurDef"/>
            </w:pPr>
          </w:p>
          <w:p w14:paraId="7505BE5B" w14:textId="77777777" w:rsidR="00DF4E65" w:rsidRPr="00D23A49" w:rsidRDefault="00DF4E65" w:rsidP="00593D05">
            <w:pPr>
              <w:pStyle w:val="zSoquijlblProcureurDef"/>
            </w:pPr>
          </w:p>
        </w:tc>
      </w:tr>
      <w:tr w:rsidR="00DF4E65" w:rsidRPr="00D23A49" w14:paraId="229ED76C" w14:textId="77777777" w:rsidTr="00BA153A">
        <w:tc>
          <w:tcPr>
            <w:tcW w:w="9505" w:type="dxa"/>
            <w:gridSpan w:val="3"/>
          </w:tcPr>
          <w:p w14:paraId="474E51A4" w14:textId="77777777" w:rsidR="00DF4E65" w:rsidRPr="00D23A49" w:rsidRDefault="00DF4E65" w:rsidP="00D26929"/>
        </w:tc>
      </w:tr>
      <w:tr w:rsidR="00DF4E65" w14:paraId="629249CE" w14:textId="77777777" w:rsidTr="00BA153A">
        <w:tc>
          <w:tcPr>
            <w:tcW w:w="2197" w:type="dxa"/>
          </w:tcPr>
          <w:p w14:paraId="42BB11B7" w14:textId="77777777" w:rsidR="00DF4E65" w:rsidRDefault="00DF4E65" w:rsidP="00D26929">
            <w:pPr>
              <w:pStyle w:val="zSoquijlblDateAudience"/>
            </w:pPr>
            <w:r>
              <w:t>Dates d’audience :</w:t>
            </w:r>
          </w:p>
          <w:p w14:paraId="1DA37E43" w14:textId="77777777" w:rsidR="00DF4E65" w:rsidRDefault="00DF4E65" w:rsidP="005C2B6C">
            <w:pPr>
              <w:pStyle w:val="zSoquijlblDateAudience"/>
              <w:ind w:right="-563"/>
            </w:pPr>
          </w:p>
        </w:tc>
        <w:tc>
          <w:tcPr>
            <w:tcW w:w="7308" w:type="dxa"/>
            <w:gridSpan w:val="2"/>
          </w:tcPr>
          <w:p w14:paraId="242F8F95" w14:textId="77777777" w:rsidR="00DF4E65" w:rsidRDefault="00DF4E65" w:rsidP="00D26929">
            <w:pPr>
              <w:pStyle w:val="zSoquijdatDateAudience"/>
            </w:pPr>
            <w:r>
              <w:t>22, 23, 24, 25 et 26 septembre 2025</w:t>
            </w:r>
          </w:p>
          <w:p w14:paraId="4FA4064B" w14:textId="77777777" w:rsidR="00DF4E65" w:rsidRDefault="00DF4E65" w:rsidP="00D26929">
            <w:pPr>
              <w:pStyle w:val="zSoquijdatDateAudience"/>
            </w:pPr>
          </w:p>
        </w:tc>
      </w:tr>
    </w:tbl>
    <w:p w14:paraId="21264685" w14:textId="77777777" w:rsidR="00DF4E65" w:rsidRDefault="00DF4E65" w:rsidP="00DB2014">
      <w:r>
        <w:t xml:space="preserve"> Plaidoirie écrite complémentaire, réponse et réplique : </w:t>
      </w:r>
      <w:r w:rsidRPr="005C20AA">
        <w:t>30 septembre et 3 octobre 2025</w:t>
      </w:r>
    </w:p>
    <w:p w14:paraId="69F90AEE" w14:textId="77777777" w:rsidR="00BA153A" w:rsidRDefault="00BA153A" w:rsidP="00D26929"/>
    <w:sectPr w:rsidR="00BA153A" w:rsidSect="00DF4E65">
      <w:headerReference w:type="default" r:id="rId13"/>
      <w:footerReference w:type="even" r:id="rId14"/>
      <w:headerReference w:type="first" r:id="rId15"/>
      <w:footerReference w:type="first" r:id="rId16"/>
      <w:footnotePr>
        <w:numRestart w:val="eachSect"/>
      </w:footnotePr>
      <w:pgSz w:w="12242" w:h="15842" w:code="1"/>
      <w:pgMar w:top="1440" w:right="1008" w:bottom="1440" w:left="1872" w:header="1440" w:footer="7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5EEB" w14:textId="77777777" w:rsidR="008F0162" w:rsidRDefault="008F0162">
      <w:r>
        <w:separator/>
      </w:r>
    </w:p>
  </w:endnote>
  <w:endnote w:type="continuationSeparator" w:id="0">
    <w:p w14:paraId="7127D9E9" w14:textId="77777777" w:rsidR="008F0162" w:rsidRDefault="008F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5008" w14:textId="77777777" w:rsidR="00DC7F0F" w:rsidRDefault="00DC7F0F">
    <w:pPr>
      <w:framePr w:wrap="around" w:vAnchor="text" w:hAnchor="margin" w:xAlign="right" w:y="1"/>
    </w:pPr>
    <w:r>
      <w:fldChar w:fldCharType="begin"/>
    </w:r>
    <w:r>
      <w:instrText xml:space="preserve">PAGE  </w:instrText>
    </w:r>
    <w:r>
      <w:fldChar w:fldCharType="end"/>
    </w:r>
  </w:p>
  <w:p w14:paraId="08EE19C0" w14:textId="77777777" w:rsidR="00DC7F0F" w:rsidRDefault="00DC7F0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4526" w14:textId="77777777" w:rsidR="00DF4E65" w:rsidRDefault="00DF4E65">
    <w:pPr>
      <w:framePr w:wrap="around" w:vAnchor="text" w:hAnchor="margin" w:xAlign="right" w:y="1"/>
    </w:pPr>
    <w:r>
      <w:fldChar w:fldCharType="begin"/>
    </w:r>
    <w:r>
      <w:instrText xml:space="preserve">PAGE  </w:instrText>
    </w:r>
    <w:r>
      <w:fldChar w:fldCharType="end"/>
    </w:r>
  </w:p>
  <w:p w14:paraId="20B5917B" w14:textId="77777777" w:rsidR="00DF4E65" w:rsidRDefault="00DF4E65">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BB4" w14:textId="77777777" w:rsidR="00DF4E65" w:rsidRDefault="00DF4E65">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00CB" w14:textId="77777777" w:rsidR="008F0162" w:rsidRDefault="008F0162">
      <w:r>
        <w:separator/>
      </w:r>
    </w:p>
  </w:footnote>
  <w:footnote w:type="continuationSeparator" w:id="0">
    <w:p w14:paraId="00C535CE" w14:textId="77777777" w:rsidR="008F0162" w:rsidRDefault="008F0162">
      <w:r>
        <w:continuationSeparator/>
      </w:r>
    </w:p>
  </w:footnote>
  <w:footnote w:id="1">
    <w:p w14:paraId="52DF8FE8" w14:textId="77777777" w:rsidR="00DF4E65" w:rsidRDefault="00DF4E65">
      <w:pPr>
        <w:pStyle w:val="Notedebasdepage"/>
      </w:pPr>
      <w:r>
        <w:rPr>
          <w:rStyle w:val="Appelnotedebasdep"/>
        </w:rPr>
        <w:footnoteRef/>
      </w:r>
      <w:r>
        <w:t xml:space="preserve"> Pièce PGQ-4.</w:t>
      </w:r>
    </w:p>
  </w:footnote>
  <w:footnote w:id="2">
    <w:p w14:paraId="65A0897A" w14:textId="77777777" w:rsidR="00DF4E65" w:rsidRDefault="00DF4E65">
      <w:pPr>
        <w:pStyle w:val="Notedebasdepage"/>
      </w:pPr>
      <w:r>
        <w:rPr>
          <w:rStyle w:val="Appelnotedebasdep"/>
        </w:rPr>
        <w:footnoteRef/>
      </w:r>
      <w:r>
        <w:t xml:space="preserve"> Pièce PGQ-5.</w:t>
      </w:r>
    </w:p>
  </w:footnote>
  <w:footnote w:id="3">
    <w:p w14:paraId="5AC6F120" w14:textId="77777777" w:rsidR="00DF4E65" w:rsidRDefault="00DF4E65" w:rsidP="00B126D7">
      <w:pPr>
        <w:pStyle w:val="Notedebasdepage"/>
      </w:pPr>
      <w:r>
        <w:rPr>
          <w:rStyle w:val="Appelnotedebasdep"/>
        </w:rPr>
        <w:footnoteRef/>
      </w:r>
      <w:r>
        <w:t xml:space="preserve"> RLRA c. P-9.2.1 </w:t>
      </w:r>
    </w:p>
  </w:footnote>
  <w:footnote w:id="4">
    <w:p w14:paraId="1D1D305E" w14:textId="77777777" w:rsidR="00DF4E65" w:rsidRPr="00086AC0" w:rsidRDefault="00DF4E65" w:rsidP="00086AC0">
      <w:pPr>
        <w:pStyle w:val="Citation"/>
        <w:spacing w:before="0" w:after="0"/>
        <w:ind w:left="0"/>
        <w:jc w:val="both"/>
        <w:rPr>
          <w:i w:val="0"/>
          <w:iCs w:val="0"/>
          <w:color w:val="auto"/>
        </w:rPr>
      </w:pPr>
      <w:r w:rsidRPr="00086AC0">
        <w:rPr>
          <w:rStyle w:val="Appelnotedebasdep"/>
          <w:i w:val="0"/>
          <w:iCs w:val="0"/>
          <w:color w:val="auto"/>
        </w:rPr>
        <w:footnoteRef/>
      </w:r>
      <w:r w:rsidRPr="00086AC0">
        <w:rPr>
          <w:i w:val="0"/>
          <w:iCs w:val="0"/>
          <w:color w:val="auto"/>
        </w:rPr>
        <w:t xml:space="preserve"> </w:t>
      </w:r>
      <w:r w:rsidRPr="00086AC0">
        <w:rPr>
          <w:i w:val="0"/>
          <w:iCs w:val="0"/>
          <w:color w:val="auto"/>
          <w:sz w:val="20"/>
        </w:rPr>
        <w:t xml:space="preserve">Cette présomption se veut probablement une réponse à au jugement rendu par la Cour supérieure dans l’affaire </w:t>
      </w:r>
      <w:r w:rsidRPr="00086AC0">
        <w:rPr>
          <w:color w:val="auto"/>
          <w:sz w:val="20"/>
        </w:rPr>
        <w:t>La Commission de la Santé et de la Sécurité du Travail Au Québec</w:t>
      </w:r>
      <w:r w:rsidRPr="00B126D7">
        <w:rPr>
          <w:i w:val="0"/>
          <w:iCs w:val="0"/>
          <w:color w:val="auto"/>
          <w:sz w:val="20"/>
        </w:rPr>
        <w:t xml:space="preserve"> c. </w:t>
      </w:r>
      <w:r w:rsidRPr="00086AC0">
        <w:rPr>
          <w:color w:val="auto"/>
          <w:sz w:val="20"/>
        </w:rPr>
        <w:t>L.</w:t>
      </w:r>
      <w:r w:rsidRPr="00B126D7">
        <w:rPr>
          <w:i w:val="0"/>
          <w:iCs w:val="0"/>
          <w:color w:val="auto"/>
          <w:sz w:val="20"/>
        </w:rPr>
        <w:t xml:space="preserve">, 1982 CanLII 2804 (QC CS). Dans ce jugement, l’IVAC avait intenté une action contre l’auteur de l’infraction criminelle afin de se faire rembourser les indemnités déjà versées. Bien qu’elle ait démontré </w:t>
      </w:r>
      <w:r w:rsidRPr="00086AC0">
        <w:rPr>
          <w:i w:val="0"/>
          <w:iCs w:val="0"/>
          <w:color w:val="auto"/>
          <w:sz w:val="20"/>
        </w:rPr>
        <w:t>avoir versé diverses indemnités totalisant 6 813,70$ à la victime, le tribunal a conclu que les dommages auxquels la victime a droit ne pouvaient excéder 4 000$ (voir par. 28 à 30).</w:t>
      </w:r>
    </w:p>
  </w:footnote>
  <w:footnote w:id="5">
    <w:p w14:paraId="03D55487" w14:textId="77777777" w:rsidR="00DF4E65" w:rsidRDefault="00DF4E65" w:rsidP="00B126D7">
      <w:pPr>
        <w:pStyle w:val="Notedebasdepage"/>
      </w:pPr>
      <w:r>
        <w:rPr>
          <w:rStyle w:val="Appelnotedebasdep"/>
        </w:rPr>
        <w:footnoteRef/>
      </w:r>
      <w:r>
        <w:t xml:space="preserve"> C.c.Q., art 2847.</w:t>
      </w:r>
    </w:p>
  </w:footnote>
  <w:footnote w:id="6">
    <w:p w14:paraId="2A18725F" w14:textId="77777777" w:rsidR="00DF4E65" w:rsidRPr="00BB30D1" w:rsidRDefault="00DF4E65" w:rsidP="00B126D7">
      <w:pPr>
        <w:pStyle w:val="Notedebasdepage"/>
        <w:ind w:left="0" w:firstLine="0"/>
      </w:pPr>
      <w:r>
        <w:rPr>
          <w:rStyle w:val="Appelnotedebasdep"/>
        </w:rPr>
        <w:footnoteRef/>
      </w:r>
      <w:r>
        <w:t xml:space="preserve"> Bien que cela n’ait pas été soulevé par le défendeur, le Tribunal souligne que l’effet du pardon ne peut être de priver la victime d’un acte criminel de la réparation à laquelle elle a droit, ni de libérer l’auteur du crime de ses obligations et de sa responsabilité en créant une sorte d’immunité de recours à son égard. Comme l’a précisé la Cour suprême du Canada, la réhabilitation – maintenant désignée sous le vocable suspension du casier judiciaire – n’efface pas le passé et ne permet pas de nier l’existence d’une déclaration de culpabilité. Elle contribue cependant à combattre les stigmates associés à la déclaration   de culpabilité puisqu’elle permet de présumer que la personne réhabilitée a retrouvé son intégrité morale. Voir </w:t>
      </w:r>
      <w:r w:rsidRPr="00C52413">
        <w:rPr>
          <w:i/>
          <w:iCs/>
        </w:rPr>
        <w:t xml:space="preserve">Montréal (Ville) </w:t>
      </w:r>
      <w:r w:rsidRPr="00C52413">
        <w:t>c.</w:t>
      </w:r>
      <w:r w:rsidRPr="00C52413">
        <w:rPr>
          <w:i/>
          <w:iCs/>
        </w:rPr>
        <w:t xml:space="preserve"> Québec (Commission des droits de la personne et des droits de la jeunesse)</w:t>
      </w:r>
      <w:r w:rsidRPr="00C52413">
        <w:t xml:space="preserve">, </w:t>
      </w:r>
      <w:hyperlink r:id="rId1" w:history="1">
        <w:r w:rsidRPr="00B126D7">
          <w:rPr>
            <w:rStyle w:val="Hyperlien"/>
            <w:color w:val="auto"/>
            <w:u w:val="none"/>
          </w:rPr>
          <w:t>2008 CSC 48</w:t>
        </w:r>
      </w:hyperlink>
      <w:r w:rsidRPr="00BB30D1">
        <w:t xml:space="preserve">, au par. 20 : </w:t>
      </w:r>
    </w:p>
    <w:p w14:paraId="06E86A40" w14:textId="77777777" w:rsidR="00DF4E65" w:rsidRDefault="00DF4E65" w:rsidP="006F11A8">
      <w:pPr>
        <w:pStyle w:val="Notedebasdepage"/>
        <w:ind w:left="731" w:right="573" w:firstLine="0"/>
      </w:pPr>
      <w:r w:rsidRPr="00614EF8">
        <w:t>[20] Comme l’a déjà signalé le juge Gonthier dans </w:t>
      </w:r>
      <w:r w:rsidRPr="00614EF8">
        <w:rPr>
          <w:i/>
          <w:iCs/>
        </w:rPr>
        <w:t>Therrien</w:t>
      </w:r>
      <w:r w:rsidRPr="00614EF8">
        <w:t>, l’utilisation du conditionnel au sous-al. 5</w:t>
      </w:r>
      <w:r w:rsidRPr="00614EF8">
        <w:rPr>
          <w:i/>
          <w:iCs/>
        </w:rPr>
        <w:t>a</w:t>
      </w:r>
      <w:r w:rsidRPr="00614EF8">
        <w:t xml:space="preserve">)(ii) est significatif.  </w:t>
      </w:r>
      <w:r w:rsidRPr="00C52413">
        <w:rPr>
          <w:u w:val="single"/>
        </w:rPr>
        <w:t>La réhabilitation n’a pas un effet absolu et elle n’efface pas le passé. Ni l’absolution ni la réhabilitation ne permettent de nier l’existence d’une déclaration de culpabilité.</w:t>
      </w:r>
      <w:r w:rsidRPr="00614EF8">
        <w:t xml:space="preserve">  </w:t>
      </w:r>
      <w:r w:rsidRPr="00C52413">
        <w:rPr>
          <w:u w:val="single"/>
        </w:rPr>
        <w:t>Les faits de l’infraction demeurent, mais la réhabilitation aide à combattre les stigmates associés à la déclaration de culpabilité</w:t>
      </w:r>
      <w:r w:rsidRPr="00614EF8">
        <w:t xml:space="preserve">. Par conséquent, après l’expiration du délai prévu par </w:t>
      </w:r>
      <w:r w:rsidRPr="00C52413">
        <w:t>la </w:t>
      </w:r>
      <w:hyperlink r:id="rId2" w:history="1">
        <w:r w:rsidRPr="00C52413">
          <w:rPr>
            <w:rStyle w:val="Hyperlien"/>
            <w:i/>
            <w:iCs/>
            <w:color w:val="auto"/>
            <w:u w:val="none"/>
          </w:rPr>
          <w:t>LCJ</w:t>
        </w:r>
      </w:hyperlink>
      <w:r w:rsidRPr="00C52413">
        <w:rPr>
          <w:u w:val="single"/>
        </w:rPr>
        <w:t> </w:t>
      </w:r>
      <w:r w:rsidRPr="00614EF8">
        <w:t xml:space="preserve">ou lors de la délivrance d’une réhabilitation, l’opprobre fondé sur les préjugés et se rattachant uniquement à la déclaration doit être combattu et celle-ci ne devrait plus ternir la réputation de la personne réhabilitée.  </w:t>
      </w:r>
      <w:r w:rsidRPr="00C52413">
        <w:rPr>
          <w:u w:val="single"/>
        </w:rPr>
        <w:t>Il faut présumer que cette personne a recouvré complètement son intégrité morale</w:t>
      </w:r>
      <w:r w:rsidRPr="00614EF8">
        <w:t>.</w:t>
      </w:r>
      <w:r>
        <w:t xml:space="preserve"> (Soulignements ajoutés et références omises). </w:t>
      </w:r>
      <w:r>
        <w:tab/>
      </w:r>
    </w:p>
  </w:footnote>
  <w:footnote w:id="7">
    <w:p w14:paraId="1D40D485" w14:textId="77777777" w:rsidR="00DF4E65" w:rsidRPr="00350593" w:rsidRDefault="00DF4E65" w:rsidP="00BE0AB5">
      <w:pPr>
        <w:pStyle w:val="Notedebasdepage"/>
        <w:rPr>
          <w:rFonts w:cs="Arial"/>
          <w:bCs/>
        </w:rPr>
      </w:pPr>
      <w:r>
        <w:rPr>
          <w:rStyle w:val="Appelnotedebasdep"/>
          <w:rFonts w:cs="Arial"/>
        </w:rPr>
        <w:footnoteRef/>
      </w:r>
      <w:r>
        <w:rPr>
          <w:rFonts w:cs="Arial"/>
        </w:rPr>
        <w:t xml:space="preserve"> Pièce </w:t>
      </w:r>
      <w:r w:rsidRPr="00350593">
        <w:rPr>
          <w:rFonts w:cs="Arial"/>
          <w:bCs/>
        </w:rPr>
        <w:t>P-2, Extrait du dossier médical de J. C. à l’hôpital Ste-Justine, p. 1.</w:t>
      </w:r>
    </w:p>
  </w:footnote>
  <w:footnote w:id="8">
    <w:p w14:paraId="5B25BFCA" w14:textId="77777777" w:rsidR="00DF4E65" w:rsidRPr="00350593" w:rsidRDefault="00DF4E65" w:rsidP="00BE0AB5">
      <w:pPr>
        <w:pStyle w:val="Notedebasdepage"/>
        <w:rPr>
          <w:rFonts w:cs="Arial"/>
          <w:bCs/>
          <w:lang w:val="fr-FR"/>
        </w:rPr>
      </w:pPr>
      <w:r w:rsidRPr="00350593">
        <w:rPr>
          <w:rStyle w:val="Appelnotedebasdep"/>
          <w:rFonts w:cs="Arial"/>
          <w:bCs/>
        </w:rPr>
        <w:footnoteRef/>
      </w:r>
      <w:r w:rsidRPr="00350593">
        <w:rPr>
          <w:rFonts w:cs="Arial"/>
          <w:bCs/>
        </w:rPr>
        <w:t xml:space="preserve"> Pièce P-2, Extrait du dossier médical de J. C. à l’hôpital Ste-Justine, p. 6.</w:t>
      </w:r>
    </w:p>
  </w:footnote>
  <w:footnote w:id="9">
    <w:p w14:paraId="523BA18B" w14:textId="77777777" w:rsidR="00DF4E65" w:rsidRPr="00350593" w:rsidRDefault="00DF4E65" w:rsidP="00BE0AB5">
      <w:pPr>
        <w:pStyle w:val="Notedebasdepage"/>
        <w:rPr>
          <w:rFonts w:cs="Arial"/>
          <w:bCs/>
        </w:rPr>
      </w:pPr>
      <w:r w:rsidRPr="00350593">
        <w:rPr>
          <w:rStyle w:val="Appelnotedebasdep"/>
          <w:rFonts w:cs="Arial"/>
          <w:bCs/>
        </w:rPr>
        <w:footnoteRef/>
      </w:r>
      <w:r w:rsidRPr="00350593">
        <w:rPr>
          <w:rFonts w:cs="Arial"/>
          <w:bCs/>
        </w:rPr>
        <w:t xml:space="preserve"> Pièce P-2, Extrait du dossier médical de J. C. à l’hôpital Ste-Justine, p. 21.</w:t>
      </w:r>
    </w:p>
  </w:footnote>
  <w:footnote w:id="10">
    <w:p w14:paraId="54B12052" w14:textId="77777777" w:rsidR="00DF4E65" w:rsidRDefault="00DF4E65" w:rsidP="00BE0AB5">
      <w:pPr>
        <w:pStyle w:val="Notedebasdepage"/>
        <w:rPr>
          <w:rFonts w:cs="Arial"/>
        </w:rPr>
      </w:pPr>
      <w:r w:rsidRPr="00350593">
        <w:rPr>
          <w:rStyle w:val="Appelnotedebasdep"/>
          <w:rFonts w:cs="Arial"/>
          <w:bCs/>
        </w:rPr>
        <w:footnoteRef/>
      </w:r>
      <w:r w:rsidRPr="00350593">
        <w:rPr>
          <w:rFonts w:cs="Arial"/>
          <w:bCs/>
        </w:rPr>
        <w:t xml:space="preserve"> Pièce P-3</w:t>
      </w:r>
      <w:r>
        <w:rPr>
          <w:rFonts w:cs="Arial"/>
        </w:rPr>
        <w:t>, p. 179.</w:t>
      </w:r>
    </w:p>
  </w:footnote>
  <w:footnote w:id="11">
    <w:p w14:paraId="2A31C6ED" w14:textId="77777777" w:rsidR="00DF4E65" w:rsidRDefault="00DF4E65">
      <w:pPr>
        <w:pStyle w:val="Notedebasdepage"/>
      </w:pPr>
      <w:r>
        <w:rPr>
          <w:rStyle w:val="Appelnotedebasdep"/>
        </w:rPr>
        <w:footnoteRef/>
      </w:r>
      <w:r>
        <w:t xml:space="preserve"> Pièce P-3, p. 429 et 431.</w:t>
      </w:r>
    </w:p>
  </w:footnote>
  <w:footnote w:id="12">
    <w:p w14:paraId="52A94378" w14:textId="77777777" w:rsidR="00DF4E65" w:rsidRDefault="00DF4E65">
      <w:pPr>
        <w:pStyle w:val="Notedebasdepage"/>
      </w:pPr>
      <w:r>
        <w:rPr>
          <w:rStyle w:val="Appelnotedebasdep"/>
        </w:rPr>
        <w:footnoteRef/>
      </w:r>
      <w:r>
        <w:t xml:space="preserve"> Pièce P-14.</w:t>
      </w:r>
    </w:p>
  </w:footnote>
  <w:footnote w:id="13">
    <w:p w14:paraId="428E3679" w14:textId="77777777" w:rsidR="00DF4E65" w:rsidRDefault="00DF4E65" w:rsidP="00B913C1">
      <w:pPr>
        <w:pStyle w:val="Notedebasdepage"/>
      </w:pPr>
      <w:r>
        <w:rPr>
          <w:rStyle w:val="Appelnotedebasdep"/>
        </w:rPr>
        <w:footnoteRef/>
      </w:r>
      <w:r>
        <w:t xml:space="preserve"> Pièce P-3, p. 419 et 421.</w:t>
      </w:r>
    </w:p>
  </w:footnote>
  <w:footnote w:id="14">
    <w:p w14:paraId="64CC9EAA" w14:textId="77777777" w:rsidR="00DF4E65" w:rsidRDefault="00DF4E65">
      <w:pPr>
        <w:pStyle w:val="Notedebasdepage"/>
      </w:pPr>
      <w:r>
        <w:rPr>
          <w:rStyle w:val="Appelnotedebasdep"/>
        </w:rPr>
        <w:footnoteRef/>
      </w:r>
      <w:r>
        <w:t xml:space="preserve"> Pièce P-3, p. 491-493. </w:t>
      </w:r>
    </w:p>
  </w:footnote>
  <w:footnote w:id="15">
    <w:p w14:paraId="18EFD061" w14:textId="77777777" w:rsidR="00DF4E65" w:rsidRDefault="00DF4E65">
      <w:pPr>
        <w:pStyle w:val="Notedebasdepage"/>
      </w:pPr>
      <w:r>
        <w:rPr>
          <w:rStyle w:val="Appelnotedebasdep"/>
        </w:rPr>
        <w:footnoteRef/>
      </w:r>
      <w:r>
        <w:t xml:space="preserve"> Pièce P-3, p. 201.</w:t>
      </w:r>
    </w:p>
  </w:footnote>
  <w:footnote w:id="16">
    <w:p w14:paraId="4319CCF0" w14:textId="77777777" w:rsidR="00DF4E65" w:rsidRDefault="00DF4E65">
      <w:pPr>
        <w:pStyle w:val="Notedebasdepage"/>
      </w:pPr>
      <w:r>
        <w:rPr>
          <w:rStyle w:val="Appelnotedebasdep"/>
        </w:rPr>
        <w:footnoteRef/>
      </w:r>
      <w:r>
        <w:t xml:space="preserve"> Pièce P-3, p. 237.</w:t>
      </w:r>
    </w:p>
  </w:footnote>
  <w:footnote w:id="17">
    <w:p w14:paraId="4FD7F9C4" w14:textId="77777777" w:rsidR="00DF4E65" w:rsidRDefault="00DF4E65">
      <w:pPr>
        <w:pStyle w:val="Notedebasdepage"/>
      </w:pPr>
      <w:r>
        <w:rPr>
          <w:rStyle w:val="Appelnotedebasdep"/>
        </w:rPr>
        <w:footnoteRef/>
      </w:r>
      <w:r>
        <w:t xml:space="preserve"> Pièce P-3, p. 390.</w:t>
      </w:r>
    </w:p>
  </w:footnote>
  <w:footnote w:id="18">
    <w:p w14:paraId="2B95A13B" w14:textId="77777777" w:rsidR="00DF4E65" w:rsidRDefault="00DF4E65">
      <w:pPr>
        <w:pStyle w:val="Notedebasdepage"/>
      </w:pPr>
      <w:r>
        <w:rPr>
          <w:rStyle w:val="Appelnotedebasdep"/>
        </w:rPr>
        <w:footnoteRef/>
      </w:r>
      <w:r>
        <w:t xml:space="preserve"> Pièce P-3, p. 240.</w:t>
      </w:r>
    </w:p>
  </w:footnote>
  <w:footnote w:id="19">
    <w:p w14:paraId="265723C9" w14:textId="77777777" w:rsidR="00DF4E65" w:rsidRPr="00302907" w:rsidRDefault="00DF4E65" w:rsidP="000B0654">
      <w:pPr>
        <w:pStyle w:val="Notedebasdepage"/>
      </w:pPr>
      <w:r>
        <w:rPr>
          <w:rStyle w:val="Appelnotedebasdep"/>
        </w:rPr>
        <w:footnoteRef/>
      </w:r>
      <w:r>
        <w:t xml:space="preserve"> </w:t>
      </w:r>
      <w:r>
        <w:tab/>
      </w:r>
      <w:r w:rsidRPr="00302907">
        <w:rPr>
          <w:i/>
          <w:iCs/>
        </w:rPr>
        <w:t>Cinar Corporation</w:t>
      </w:r>
      <w:r w:rsidRPr="00302907">
        <w:t xml:space="preserve"> c. </w:t>
      </w:r>
      <w:r w:rsidRPr="00302907">
        <w:rPr>
          <w:i/>
          <w:iCs/>
        </w:rPr>
        <w:t>Robinson</w:t>
      </w:r>
      <w:r w:rsidRPr="00302907">
        <w:t>, </w:t>
      </w:r>
      <w:hyperlink r:id="rId3" w:history="1">
        <w:r w:rsidRPr="00302907">
          <w:rPr>
            <w:rStyle w:val="Hyperlien"/>
            <w:color w:val="auto"/>
            <w:u w:val="none"/>
          </w:rPr>
          <w:t>2013 CSC 73</w:t>
        </w:r>
      </w:hyperlink>
      <w:r w:rsidRPr="00302907">
        <w:t>, par. 100.</w:t>
      </w:r>
    </w:p>
  </w:footnote>
  <w:footnote w:id="20">
    <w:p w14:paraId="78049734" w14:textId="77777777" w:rsidR="00DF4E65" w:rsidRPr="00302907" w:rsidRDefault="00DF4E65" w:rsidP="000B0654">
      <w:pPr>
        <w:pStyle w:val="Notedebasdepage"/>
      </w:pPr>
      <w:r w:rsidRPr="00302907">
        <w:rPr>
          <w:rStyle w:val="Appelnotedebasdep"/>
        </w:rPr>
        <w:footnoteRef/>
      </w:r>
      <w:r w:rsidRPr="00302907">
        <w:t xml:space="preserve"> </w:t>
      </w:r>
      <w:r w:rsidRPr="00302907">
        <w:tab/>
      </w:r>
      <w:r w:rsidRPr="00302907">
        <w:rPr>
          <w:i/>
          <w:iCs/>
        </w:rPr>
        <w:t>L’Oratoire Saint</w:t>
      </w:r>
      <w:r w:rsidRPr="00302907">
        <w:rPr>
          <w:i/>
          <w:iCs/>
        </w:rPr>
        <w:noBreakHyphen/>
        <w:t>Joseph du Mont</w:t>
      </w:r>
      <w:r w:rsidRPr="00302907">
        <w:rPr>
          <w:i/>
          <w:iCs/>
        </w:rPr>
        <w:noBreakHyphen/>
        <w:t>Royal</w:t>
      </w:r>
      <w:r w:rsidRPr="00302907">
        <w:t> c. </w:t>
      </w:r>
      <w:r w:rsidRPr="00302907">
        <w:rPr>
          <w:i/>
          <w:iCs/>
        </w:rPr>
        <w:t>J.J.,</w:t>
      </w:r>
      <w:r w:rsidRPr="00302907">
        <w:t> </w:t>
      </w:r>
      <w:hyperlink r:id="rId4" w:history="1">
        <w:r w:rsidRPr="00302907">
          <w:rPr>
            <w:rStyle w:val="Hyperlien"/>
            <w:color w:val="auto"/>
            <w:u w:val="none"/>
          </w:rPr>
          <w:t>2019 CSC 35</w:t>
        </w:r>
      </w:hyperlink>
      <w:r w:rsidRPr="00302907">
        <w:t>, par. </w:t>
      </w:r>
      <w:hyperlink r:id="rId5" w:anchor="par64" w:history="1">
        <w:r w:rsidRPr="00302907">
          <w:rPr>
            <w:rStyle w:val="Hyperlien"/>
            <w:color w:val="auto"/>
            <w:u w:val="none"/>
          </w:rPr>
          <w:t>64</w:t>
        </w:r>
      </w:hyperlink>
      <w:r w:rsidRPr="00302907">
        <w:t>.</w:t>
      </w:r>
    </w:p>
  </w:footnote>
  <w:footnote w:id="21">
    <w:p w14:paraId="6329A724" w14:textId="77777777" w:rsidR="00DF4E65" w:rsidRPr="00302907" w:rsidRDefault="00DF4E65" w:rsidP="000B0654">
      <w:pPr>
        <w:pStyle w:val="Notedebasdepage"/>
      </w:pPr>
      <w:r w:rsidRPr="00302907">
        <w:rPr>
          <w:rStyle w:val="Appelnotedebasdep"/>
        </w:rPr>
        <w:footnoteRef/>
      </w:r>
      <w:r w:rsidRPr="00302907">
        <w:t xml:space="preserve"> </w:t>
      </w:r>
      <w:r w:rsidRPr="00302907">
        <w:tab/>
      </w:r>
      <w:r w:rsidRPr="00302907">
        <w:rPr>
          <w:i/>
          <w:iCs/>
        </w:rPr>
        <w:t xml:space="preserve">R. </w:t>
      </w:r>
      <w:r w:rsidRPr="00302907">
        <w:t>c.</w:t>
      </w:r>
      <w:r w:rsidRPr="00302907">
        <w:rPr>
          <w:i/>
          <w:iCs/>
        </w:rPr>
        <w:t xml:space="preserve"> Friesen</w:t>
      </w:r>
      <w:r w:rsidRPr="00302907">
        <w:t>, </w:t>
      </w:r>
      <w:hyperlink r:id="rId6" w:history="1">
        <w:r w:rsidRPr="00302907">
          <w:rPr>
            <w:rStyle w:val="Hyperlien"/>
            <w:color w:val="auto"/>
            <w:u w:val="none"/>
          </w:rPr>
          <w:t>2020 CSC 9</w:t>
        </w:r>
      </w:hyperlink>
      <w:r w:rsidRPr="00302907">
        <w:t>, par. 79 à 82.</w:t>
      </w:r>
    </w:p>
  </w:footnote>
  <w:footnote w:id="22">
    <w:p w14:paraId="4FFDF6A8" w14:textId="77777777" w:rsidR="00DF4E65" w:rsidRDefault="00DF4E65" w:rsidP="00550B93">
      <w:pPr>
        <w:pStyle w:val="Notedebasdepage"/>
        <w:ind w:left="0" w:firstLine="0"/>
      </w:pPr>
      <w:r>
        <w:rPr>
          <w:rStyle w:val="Appelnotedebasdep"/>
        </w:rPr>
        <w:footnoteRef/>
      </w:r>
      <w:r>
        <w:t xml:space="preserve"> </w:t>
      </w:r>
      <w:r w:rsidRPr="004A54FD">
        <w:rPr>
          <w:i/>
          <w:iCs/>
        </w:rPr>
        <w:t>Salomon</w:t>
      </w:r>
      <w:r w:rsidRPr="004A54FD">
        <w:t xml:space="preserve"> c. </w:t>
      </w:r>
      <w:r w:rsidRPr="004A54FD">
        <w:rPr>
          <w:i/>
          <w:iCs/>
        </w:rPr>
        <w:t>Matte Thompson</w:t>
      </w:r>
      <w:r w:rsidRPr="004A54FD">
        <w:t xml:space="preserve">, 2019 CSC 14, par. 84. Voir aussi </w:t>
      </w:r>
      <w:r w:rsidRPr="004A54FD">
        <w:rPr>
          <w:i/>
          <w:iCs/>
        </w:rPr>
        <w:t>Hogue</w:t>
      </w:r>
      <w:r w:rsidRPr="004A54FD">
        <w:t xml:space="preserve"> c. </w:t>
      </w:r>
      <w:r w:rsidRPr="004A54FD">
        <w:rPr>
          <w:i/>
          <w:iCs/>
        </w:rPr>
        <w:t>Procureur général du Québec</w:t>
      </w:r>
      <w:r w:rsidRPr="004A54FD">
        <w:t xml:space="preserve">, 2020 QCCA 1081, par. 43, citant </w:t>
      </w:r>
      <w:r w:rsidRPr="004A54FD">
        <w:rPr>
          <w:i/>
          <w:iCs/>
        </w:rPr>
        <w:t>Imperial Tobacco Canada ltée</w:t>
      </w:r>
      <w:r w:rsidRPr="004A54FD">
        <w:t xml:space="preserve"> c. </w:t>
      </w:r>
      <w:r w:rsidRPr="004A54FD">
        <w:rPr>
          <w:i/>
          <w:iCs/>
        </w:rPr>
        <w:t>Conseil québécois sur le tabac et la santé</w:t>
      </w:r>
      <w:r w:rsidRPr="004A54FD">
        <w:t>, 2019 QCCA 358, par. 666.</w:t>
      </w:r>
    </w:p>
  </w:footnote>
  <w:footnote w:id="23">
    <w:p w14:paraId="5CEC580E" w14:textId="77777777" w:rsidR="00DF4E65" w:rsidRDefault="00DF4E65">
      <w:pPr>
        <w:pStyle w:val="Notedebasdepage"/>
      </w:pPr>
      <w:r>
        <w:rPr>
          <w:rStyle w:val="Appelnotedebasdep"/>
        </w:rPr>
        <w:footnoteRef/>
      </w:r>
      <w:r>
        <w:t xml:space="preserve"> </w:t>
      </w:r>
      <w:r w:rsidRPr="00086AC0">
        <w:rPr>
          <w:i/>
          <w:iCs/>
        </w:rPr>
        <w:t>R</w:t>
      </w:r>
      <w:r>
        <w:t xml:space="preserve">. c. </w:t>
      </w:r>
      <w:r w:rsidRPr="00086AC0">
        <w:rPr>
          <w:i/>
          <w:iCs/>
        </w:rPr>
        <w:t>Friesen</w:t>
      </w:r>
      <w:r>
        <w:t xml:space="preserve">, précité, note </w:t>
      </w:r>
      <w:r>
        <w:fldChar w:fldCharType="begin"/>
      </w:r>
      <w:r>
        <w:instrText xml:space="preserve"> NOTEREF _Ref226363996 \h </w:instrText>
      </w:r>
      <w:r>
        <w:fldChar w:fldCharType="separate"/>
      </w:r>
      <w:r>
        <w:t>21</w:t>
      </w:r>
      <w:r>
        <w:fldChar w:fldCharType="end"/>
      </w:r>
      <w:r>
        <w:t>, par. 5</w:t>
      </w:r>
    </w:p>
  </w:footnote>
  <w:footnote w:id="24">
    <w:p w14:paraId="71FB06CC" w14:textId="77777777" w:rsidR="00DF4E65" w:rsidRDefault="00DF4E65">
      <w:pPr>
        <w:pStyle w:val="Notedebasdepage"/>
      </w:pPr>
      <w:r>
        <w:rPr>
          <w:rStyle w:val="Appelnotedebasdep"/>
        </w:rPr>
        <w:footnoteRef/>
      </w:r>
      <w:r>
        <w:t xml:space="preserve"> Pièce P-10</w:t>
      </w:r>
    </w:p>
  </w:footnote>
  <w:footnote w:id="25">
    <w:p w14:paraId="4640A7A9" w14:textId="77777777" w:rsidR="00DF4E65" w:rsidRPr="004C1756" w:rsidRDefault="00DF4E65" w:rsidP="003B21B0">
      <w:pPr>
        <w:pStyle w:val="Notedebasdepage"/>
        <w:ind w:left="0" w:firstLine="0"/>
      </w:pPr>
      <w:r>
        <w:rPr>
          <w:rStyle w:val="Appelnotedebasdep"/>
        </w:rPr>
        <w:footnoteRef/>
      </w:r>
      <w:r w:rsidRPr="004C1756">
        <w:t xml:space="preserve"> </w:t>
      </w:r>
      <w:r w:rsidRPr="007218C6">
        <w:t xml:space="preserve">Sur la portée à donner à l’expression </w:t>
      </w:r>
      <w:r>
        <w:rPr>
          <w:i/>
          <w:iCs/>
        </w:rPr>
        <w:t>réparation intégrale,</w:t>
      </w:r>
      <w:r>
        <w:t xml:space="preserve"> voir Daniel GARDNER, </w:t>
      </w:r>
      <w:r>
        <w:rPr>
          <w:i/>
          <w:iCs/>
        </w:rPr>
        <w:t>Le préjudice corporel</w:t>
      </w:r>
      <w:r>
        <w:t>, 5</w:t>
      </w:r>
      <w:r w:rsidRPr="005E5262">
        <w:rPr>
          <w:vertAlign w:val="superscript"/>
        </w:rPr>
        <w:t>e</w:t>
      </w:r>
      <w:r>
        <w:t xml:space="preserve"> éd. Montréal, Éditions Yvon Blais, 2024, par. 133, p. 176.</w:t>
      </w:r>
    </w:p>
  </w:footnote>
  <w:footnote w:id="26">
    <w:p w14:paraId="396CD96F" w14:textId="77777777" w:rsidR="00DF4E65" w:rsidRPr="007218C6" w:rsidRDefault="00DF4E65">
      <w:pPr>
        <w:pStyle w:val="Notedebasdepage"/>
      </w:pPr>
      <w:r>
        <w:rPr>
          <w:rStyle w:val="Appelnotedebasdep"/>
        </w:rPr>
        <w:footnoteRef/>
      </w:r>
      <w:r w:rsidRPr="007218C6">
        <w:t xml:space="preserve"> </w:t>
      </w:r>
      <w:r w:rsidRPr="007218C6">
        <w:rPr>
          <w:i/>
          <w:iCs/>
        </w:rPr>
        <w:t>Andrews</w:t>
      </w:r>
      <w:r w:rsidRPr="007218C6">
        <w:t xml:space="preserve"> c. </w:t>
      </w:r>
      <w:r w:rsidRPr="007218C6">
        <w:rPr>
          <w:i/>
          <w:iCs/>
        </w:rPr>
        <w:t>Grand &amp; Toy Alberta Ltd</w:t>
      </w:r>
      <w:r w:rsidRPr="007218C6">
        <w:t>, 1978 CanLII 1, [1978] 2 R.</w:t>
      </w:r>
      <w:r w:rsidRPr="00C7793C">
        <w:t>C.S. 229, 242.</w:t>
      </w:r>
    </w:p>
  </w:footnote>
  <w:footnote w:id="27">
    <w:p w14:paraId="1FDE4567" w14:textId="77777777" w:rsidR="00DF4E65" w:rsidRDefault="00DF4E65" w:rsidP="00880EDC">
      <w:pPr>
        <w:pStyle w:val="Notedebasdepage"/>
      </w:pPr>
      <w:r>
        <w:rPr>
          <w:rStyle w:val="Appelnotedebasdep"/>
        </w:rPr>
        <w:footnoteRef/>
      </w:r>
      <w:r>
        <w:t xml:space="preserve"> </w:t>
      </w:r>
      <w:r w:rsidRPr="004B7A50">
        <w:rPr>
          <w:i/>
          <w:iCs/>
        </w:rPr>
        <w:t>SNC-Lavalin inc</w:t>
      </w:r>
      <w:r>
        <w:t xml:space="preserve">. c. </w:t>
      </w:r>
      <w:r w:rsidRPr="004B7A50">
        <w:rPr>
          <w:i/>
          <w:iCs/>
        </w:rPr>
        <w:t>Deguise</w:t>
      </w:r>
      <w:r>
        <w:t>, 2020 QCCA 495.</w:t>
      </w:r>
    </w:p>
  </w:footnote>
  <w:footnote w:id="28">
    <w:p w14:paraId="2D193E3C" w14:textId="77777777" w:rsidR="00DF4E65" w:rsidRPr="00373B4A" w:rsidRDefault="00DF4E65" w:rsidP="00880EDC">
      <w:pPr>
        <w:pStyle w:val="Notedebasdepage"/>
        <w:ind w:left="0" w:firstLine="0"/>
      </w:pPr>
      <w:r w:rsidRPr="004B7A50">
        <w:rPr>
          <w:i/>
          <w:iCs/>
        </w:rPr>
        <w:t>Bourassa</w:t>
      </w:r>
      <w:r>
        <w:t xml:space="preserve"> c. </w:t>
      </w:r>
      <w:r w:rsidRPr="004B7A50">
        <w:rPr>
          <w:i/>
          <w:iCs/>
        </w:rPr>
        <w:t>Germain</w:t>
      </w:r>
      <w:r>
        <w:t xml:space="preserve">, </w:t>
      </w:r>
      <w:r>
        <w:rPr>
          <w:rFonts w:cs="Arial"/>
        </w:rPr>
        <w:t xml:space="preserve">[1997] R.R.A. 679 (C.A.). Voir également </w:t>
      </w:r>
      <w:r>
        <w:rPr>
          <w:rFonts w:cs="Arial"/>
          <w:i/>
          <w:iCs/>
        </w:rPr>
        <w:t>M.G.</w:t>
      </w:r>
      <w:r>
        <w:rPr>
          <w:rFonts w:cs="Arial"/>
        </w:rPr>
        <w:t xml:space="preserve"> c. </w:t>
      </w:r>
      <w:r>
        <w:rPr>
          <w:rFonts w:cs="Arial"/>
          <w:i/>
          <w:iCs/>
        </w:rPr>
        <w:t>Pinsonneault</w:t>
      </w:r>
      <w:r>
        <w:rPr>
          <w:rFonts w:cs="Arial"/>
        </w:rPr>
        <w:t>, 2017 QCCA 607, par. 248 à 252.</w:t>
      </w:r>
    </w:p>
  </w:footnote>
  <w:footnote w:id="29">
    <w:p w14:paraId="3C755804" w14:textId="77777777" w:rsidR="00DF4E65" w:rsidRPr="00517E5E" w:rsidRDefault="00DF4E65" w:rsidP="00086AC0">
      <w:pPr>
        <w:pStyle w:val="Notedebasdepage"/>
        <w:ind w:left="0" w:firstLine="0"/>
        <w:rPr>
          <w:rFonts w:eastAsia="Calibri" w:cs="Arial"/>
          <w:lang w:eastAsia="en-US"/>
        </w:rPr>
      </w:pPr>
      <w:r>
        <w:rPr>
          <w:rStyle w:val="Appelnotedebasdep"/>
        </w:rPr>
        <w:footnoteRef/>
      </w:r>
      <w:r>
        <w:t xml:space="preserve"> </w:t>
      </w:r>
      <w:r>
        <w:rPr>
          <w:rFonts w:cs="Arial"/>
          <w:sz w:val="22"/>
        </w:rPr>
        <w:t xml:space="preserve">Jean-Louis BAUDOUIN, </w:t>
      </w:r>
      <w:r w:rsidRPr="00AC7A3C">
        <w:rPr>
          <w:rFonts w:cs="Arial"/>
          <w:sz w:val="22"/>
        </w:rPr>
        <w:t>Patrice DESLAURIERS</w:t>
      </w:r>
      <w:r>
        <w:rPr>
          <w:rFonts w:cs="Arial"/>
          <w:sz w:val="22"/>
        </w:rPr>
        <w:t xml:space="preserve"> et Benoît MOORE</w:t>
      </w:r>
      <w:r w:rsidRPr="00AC7A3C">
        <w:rPr>
          <w:rFonts w:cs="Arial"/>
          <w:sz w:val="22"/>
        </w:rPr>
        <w:t xml:space="preserve">, </w:t>
      </w:r>
      <w:r w:rsidRPr="00AC7A3C">
        <w:rPr>
          <w:rFonts w:cs="Arial"/>
          <w:i/>
          <w:iCs/>
          <w:sz w:val="22"/>
        </w:rPr>
        <w:t xml:space="preserve">La responsabilité civile, </w:t>
      </w:r>
      <w:r>
        <w:rPr>
          <w:rFonts w:cs="Arial"/>
          <w:sz w:val="22"/>
        </w:rPr>
        <w:t>9</w:t>
      </w:r>
      <w:r w:rsidRPr="00AC7A3C">
        <w:rPr>
          <w:rFonts w:cs="Arial"/>
          <w:sz w:val="22"/>
          <w:vertAlign w:val="superscript"/>
        </w:rPr>
        <w:t>e</w:t>
      </w:r>
      <w:r w:rsidRPr="00AC7A3C">
        <w:rPr>
          <w:rFonts w:cs="Arial"/>
          <w:sz w:val="22"/>
        </w:rPr>
        <w:t xml:space="preserve"> éd., vol. 1 « Principes généraux », </w:t>
      </w:r>
      <w:r>
        <w:rPr>
          <w:rFonts w:cs="Arial"/>
          <w:sz w:val="22"/>
        </w:rPr>
        <w:t>Montréal, Éditions Yvon Blais, 2020</w:t>
      </w:r>
      <w:r w:rsidRPr="00AC7A3C">
        <w:rPr>
          <w:rFonts w:cs="Arial"/>
          <w:sz w:val="22"/>
        </w:rPr>
        <w:t xml:space="preserve">, </w:t>
      </w:r>
      <w:r>
        <w:rPr>
          <w:rFonts w:cs="Arial"/>
          <w:sz w:val="22"/>
        </w:rPr>
        <w:t>par. 1-357, EYB2020RES36 (La référence)</w:t>
      </w:r>
      <w:r w:rsidRPr="004B5ACA">
        <w:rPr>
          <w:rFonts w:eastAsia="Calibri" w:cs="Arial"/>
          <w:lang w:eastAsia="en-US"/>
        </w:rPr>
        <w:t>.</w:t>
      </w:r>
    </w:p>
  </w:footnote>
  <w:footnote w:id="30">
    <w:p w14:paraId="7CBE7195" w14:textId="77777777" w:rsidR="00DF4E65" w:rsidRDefault="00DF4E65" w:rsidP="00880EDC">
      <w:pPr>
        <w:pStyle w:val="Notedebasdepage"/>
        <w:ind w:left="0" w:firstLine="0"/>
      </w:pPr>
      <w:r>
        <w:rPr>
          <w:rStyle w:val="Appelnotedebasdep"/>
        </w:rPr>
        <w:footnoteRef/>
      </w:r>
      <w:r>
        <w:t xml:space="preserve"> Ce montant, initialement estimé à 56 822 $ a été revu à la baisse par la demanderesse au terme d’un amendement fait dans le cadre de sa plaidoirie, le 26 septembre 2025. La preuve ayant permis de confirmer que la DGIVAC continuera de verser une aide financière à la demanderesse tant que ces biens et services seront justifiés par les traitants, cette dernière a amendé sa réclamation pour tenir compte des indemnités prévisibles qui seront autorisées par l’IVAC sous ce chef.</w:t>
      </w:r>
    </w:p>
  </w:footnote>
  <w:footnote w:id="31">
    <w:p w14:paraId="3118630E" w14:textId="77777777" w:rsidR="00DF4E65" w:rsidRPr="009B7C72" w:rsidRDefault="00DF4E65" w:rsidP="008F35E9">
      <w:pPr>
        <w:pStyle w:val="Notedebasdepage"/>
        <w:ind w:left="142" w:hanging="142"/>
        <w:rPr>
          <w:rFonts w:cs="Arial"/>
        </w:rPr>
      </w:pPr>
      <w:r w:rsidRPr="00332B43">
        <w:rPr>
          <w:rStyle w:val="Appelnotedebasdep"/>
          <w:rFonts w:cs="Arial"/>
        </w:rPr>
        <w:footnoteRef/>
      </w:r>
      <w:r w:rsidRPr="00332B43">
        <w:rPr>
          <w:rFonts w:cs="Arial"/>
        </w:rPr>
        <w:t xml:space="preserve"> </w:t>
      </w:r>
      <w:r w:rsidRPr="009B7C72">
        <w:rPr>
          <w:rFonts w:cs="Arial"/>
        </w:rPr>
        <w:t>Pièce P-15, p. 4 ; Voir également le Témoignage de J.C. du 22 septembre 2025 vers 11 h 25.</w:t>
      </w:r>
    </w:p>
  </w:footnote>
  <w:footnote w:id="32">
    <w:p w14:paraId="0F9CE8BB" w14:textId="77777777" w:rsidR="00DF4E65" w:rsidRPr="009B7C72" w:rsidRDefault="00DF4E65" w:rsidP="008F35E9">
      <w:pPr>
        <w:pStyle w:val="Notedebasdepage"/>
        <w:rPr>
          <w:rFonts w:cs="Arial"/>
        </w:rPr>
      </w:pPr>
      <w:r w:rsidRPr="009B7C72">
        <w:rPr>
          <w:rStyle w:val="Appelnotedebasdep"/>
          <w:rFonts w:cs="Arial"/>
        </w:rPr>
        <w:footnoteRef/>
      </w:r>
      <w:r w:rsidRPr="009B7C72">
        <w:rPr>
          <w:rFonts w:cs="Arial"/>
        </w:rPr>
        <w:t xml:space="preserve"> Pièce P-15, p. 2.</w:t>
      </w:r>
    </w:p>
  </w:footnote>
  <w:footnote w:id="33">
    <w:p w14:paraId="1198FCD8" w14:textId="77777777" w:rsidR="00DF4E65" w:rsidRPr="00332B43" w:rsidRDefault="00DF4E65" w:rsidP="008F35E9">
      <w:pPr>
        <w:pStyle w:val="Notedebasdepage"/>
        <w:rPr>
          <w:rFonts w:cs="Arial"/>
        </w:rPr>
      </w:pPr>
      <w:r w:rsidRPr="009B7C72">
        <w:rPr>
          <w:rStyle w:val="Appelnotedebasdep"/>
          <w:rFonts w:cs="Arial"/>
        </w:rPr>
        <w:footnoteRef/>
      </w:r>
      <w:r w:rsidRPr="009B7C72">
        <w:rPr>
          <w:rFonts w:cs="Arial"/>
        </w:rPr>
        <w:t xml:space="preserve"> Pièce P-15,</w:t>
      </w:r>
      <w:r w:rsidRPr="00332B43">
        <w:rPr>
          <w:rFonts w:cs="Arial"/>
        </w:rPr>
        <w:t xml:space="preserve"> p.</w:t>
      </w:r>
      <w:r>
        <w:rPr>
          <w:rFonts w:cs="Arial"/>
        </w:rPr>
        <w:t> </w:t>
      </w:r>
      <w:r w:rsidRPr="00332B43">
        <w:rPr>
          <w:rFonts w:cs="Arial"/>
        </w:rPr>
        <w:t>2.</w:t>
      </w:r>
    </w:p>
  </w:footnote>
  <w:footnote w:id="34">
    <w:p w14:paraId="352892B5" w14:textId="77777777" w:rsidR="00DF4E65" w:rsidRPr="007B03C1" w:rsidRDefault="00DF4E65" w:rsidP="008F35E9">
      <w:pPr>
        <w:pStyle w:val="Notedebasdepage"/>
        <w:rPr>
          <w:rFonts w:cs="Arial"/>
        </w:rPr>
      </w:pPr>
      <w:r w:rsidRPr="00332B43">
        <w:rPr>
          <w:rStyle w:val="Appelnotedebasdep"/>
          <w:rFonts w:cs="Arial"/>
        </w:rPr>
        <w:footnoteRef/>
      </w:r>
      <w:r w:rsidRPr="00332B43">
        <w:rPr>
          <w:rFonts w:cs="Arial"/>
        </w:rPr>
        <w:t xml:space="preserve"> </w:t>
      </w:r>
      <w:r w:rsidRPr="007B03C1">
        <w:rPr>
          <w:rFonts w:cs="Arial"/>
        </w:rPr>
        <w:t>Pièce P-3, p. 439.</w:t>
      </w:r>
    </w:p>
  </w:footnote>
  <w:footnote w:id="35">
    <w:p w14:paraId="7090F1FB" w14:textId="77777777" w:rsidR="00DF4E65" w:rsidRPr="007B03C1" w:rsidRDefault="00DF4E65" w:rsidP="008F35E9">
      <w:pPr>
        <w:pStyle w:val="Notedebasdepage"/>
      </w:pPr>
      <w:r w:rsidRPr="007B03C1">
        <w:rPr>
          <w:rStyle w:val="Appelnotedebasdep"/>
        </w:rPr>
        <w:footnoteRef/>
      </w:r>
      <w:r w:rsidRPr="007B03C1">
        <w:t xml:space="preserve"> Pièce P-3, p. 295 et 445.</w:t>
      </w:r>
    </w:p>
  </w:footnote>
  <w:footnote w:id="36">
    <w:p w14:paraId="03A02E49" w14:textId="77777777" w:rsidR="00DF4E65" w:rsidRPr="007B03C1" w:rsidRDefault="00DF4E65" w:rsidP="008F35E9">
      <w:pPr>
        <w:pStyle w:val="Notedebasdepage"/>
      </w:pPr>
      <w:r w:rsidRPr="007B03C1">
        <w:rPr>
          <w:rStyle w:val="Appelnotedebasdep"/>
        </w:rPr>
        <w:footnoteRef/>
      </w:r>
      <w:r w:rsidRPr="007B03C1">
        <w:t xml:space="preserve"> Pièce P-2, p. 1, 2, 18,19</w:t>
      </w:r>
      <w:r w:rsidRPr="007B03C1">
        <w:rPr>
          <w:rFonts w:cs="Arial"/>
        </w:rPr>
        <w:t> </w:t>
      </w:r>
      <w:r w:rsidRPr="007B03C1">
        <w:t>; Pièce P-3, p. 127, 133, 135, 139, 145, 147, 165, 249, 250.</w:t>
      </w:r>
    </w:p>
  </w:footnote>
  <w:footnote w:id="37">
    <w:p w14:paraId="331C62FD" w14:textId="77777777" w:rsidR="00DF4E65" w:rsidRPr="007B03C1" w:rsidRDefault="00DF4E65" w:rsidP="008F35E9">
      <w:pPr>
        <w:pStyle w:val="Notedebasdepage"/>
      </w:pPr>
      <w:r w:rsidRPr="007B03C1">
        <w:rPr>
          <w:rStyle w:val="Appelnotedebasdep"/>
        </w:rPr>
        <w:footnoteRef/>
      </w:r>
      <w:r w:rsidRPr="007B03C1">
        <w:t xml:space="preserve"> Pièce P-3, p. 179</w:t>
      </w:r>
    </w:p>
  </w:footnote>
  <w:footnote w:id="38">
    <w:p w14:paraId="630E4DCA" w14:textId="77777777" w:rsidR="00DF4E65" w:rsidRPr="007B03C1" w:rsidRDefault="00DF4E65" w:rsidP="008F35E9">
      <w:pPr>
        <w:pStyle w:val="Notedebasdepage"/>
      </w:pPr>
      <w:r w:rsidRPr="007B03C1">
        <w:rPr>
          <w:rStyle w:val="Appelnotedebasdep"/>
        </w:rPr>
        <w:footnoteRef/>
      </w:r>
      <w:r w:rsidRPr="007B03C1">
        <w:t xml:space="preserve"> Pièce P-3, p. 179.</w:t>
      </w:r>
    </w:p>
  </w:footnote>
  <w:footnote w:id="39">
    <w:p w14:paraId="36CB1BF8" w14:textId="77777777" w:rsidR="00DF4E65" w:rsidRPr="00A32C56" w:rsidRDefault="00DF4E65" w:rsidP="008F35E9">
      <w:pPr>
        <w:pStyle w:val="Notedebasdepage"/>
      </w:pPr>
      <w:r w:rsidRPr="007B03C1">
        <w:rPr>
          <w:rStyle w:val="Appelnotedebasdep"/>
        </w:rPr>
        <w:footnoteRef/>
      </w:r>
      <w:r w:rsidRPr="007B03C1">
        <w:t xml:space="preserve"> Pièce P-3, p. 487 à 489</w:t>
      </w:r>
      <w:r>
        <w:t>.</w:t>
      </w:r>
    </w:p>
  </w:footnote>
  <w:footnote w:id="40">
    <w:p w14:paraId="28FCCDEA" w14:textId="77777777" w:rsidR="00DF4E65" w:rsidRPr="001E1594" w:rsidRDefault="00DF4E65" w:rsidP="009E1BB5">
      <w:pPr>
        <w:pStyle w:val="Notedebasdepage"/>
      </w:pPr>
      <w:r>
        <w:rPr>
          <w:rStyle w:val="Appelnotedebasdep"/>
        </w:rPr>
        <w:footnoteRef/>
      </w:r>
      <w:r>
        <w:t xml:space="preserve"> </w:t>
      </w:r>
      <w:r w:rsidRPr="001E1594">
        <w:t>Pièce P-3, p. 210</w:t>
      </w:r>
      <w:r>
        <w:t>, 393, 395, 397 et 405</w:t>
      </w:r>
    </w:p>
  </w:footnote>
  <w:footnote w:id="41">
    <w:p w14:paraId="0574552A" w14:textId="77777777" w:rsidR="00DF4E65" w:rsidRPr="00332B43" w:rsidRDefault="00DF4E65" w:rsidP="008F35E9">
      <w:pPr>
        <w:pStyle w:val="Notedebasdepage"/>
        <w:rPr>
          <w:rFonts w:cs="Arial"/>
        </w:rPr>
      </w:pPr>
      <w:r w:rsidRPr="00332B43">
        <w:rPr>
          <w:rStyle w:val="Appelnotedebasdep"/>
          <w:rFonts w:cs="Arial"/>
        </w:rPr>
        <w:footnoteRef/>
      </w:r>
      <w:r w:rsidRPr="00332B43">
        <w:rPr>
          <w:rFonts w:cs="Arial"/>
        </w:rPr>
        <w:t xml:space="preserve"> </w:t>
      </w:r>
      <w:r w:rsidRPr="008A3AFA">
        <w:rPr>
          <w:rFonts w:cs="Arial"/>
        </w:rPr>
        <w:t>Pièce P-34</w:t>
      </w:r>
      <w:r w:rsidRPr="00332B43">
        <w:rPr>
          <w:rFonts w:cs="Arial"/>
        </w:rPr>
        <w:t>, p.</w:t>
      </w:r>
      <w:r>
        <w:rPr>
          <w:rFonts w:cs="Arial"/>
        </w:rPr>
        <w:t> </w:t>
      </w:r>
      <w:r w:rsidRPr="00332B43">
        <w:rPr>
          <w:rFonts w:cs="Arial"/>
        </w:rPr>
        <w:t>5, 179, 190.</w:t>
      </w:r>
    </w:p>
  </w:footnote>
  <w:footnote w:id="42">
    <w:p w14:paraId="5AF3E6DA" w14:textId="77777777" w:rsidR="00DF4E65" w:rsidRPr="009D3479" w:rsidRDefault="00DF4E65" w:rsidP="001E1326">
      <w:pPr>
        <w:pStyle w:val="Notedebasdepage"/>
        <w:ind w:left="142" w:hanging="142"/>
        <w:rPr>
          <w:rFonts w:cs="Arial"/>
        </w:rPr>
      </w:pPr>
      <w:r w:rsidRPr="009D3479">
        <w:rPr>
          <w:rStyle w:val="Appelnotedebasdep"/>
          <w:rFonts w:cs="Arial"/>
        </w:rPr>
        <w:footnoteRef/>
      </w:r>
      <w:r w:rsidRPr="009D3479">
        <w:rPr>
          <w:rFonts w:cs="Arial"/>
        </w:rPr>
        <w:t xml:space="preserve"> Pièce</w:t>
      </w:r>
      <w:r>
        <w:rPr>
          <w:rFonts w:cs="Arial"/>
        </w:rPr>
        <w:t> </w:t>
      </w:r>
      <w:r w:rsidRPr="009D3479">
        <w:rPr>
          <w:rFonts w:cs="Arial"/>
        </w:rPr>
        <w:t>P-32, où le Dr Thai fait le lien entre la maladie de Crohn et l’arthrite de J.C.</w:t>
      </w:r>
    </w:p>
  </w:footnote>
  <w:footnote w:id="43">
    <w:p w14:paraId="59EC14AE" w14:textId="77777777" w:rsidR="00DF4E65" w:rsidRPr="00144607" w:rsidRDefault="00DF4E65" w:rsidP="001E1326">
      <w:pPr>
        <w:pStyle w:val="Notedebasdepage"/>
        <w:ind w:left="142" w:hanging="142"/>
        <w:rPr>
          <w:rFonts w:cs="Arial"/>
        </w:rPr>
      </w:pPr>
      <w:r w:rsidRPr="009D3479">
        <w:rPr>
          <w:rStyle w:val="Appelnotedebasdep"/>
          <w:rFonts w:cs="Arial"/>
        </w:rPr>
        <w:footnoteRef/>
      </w:r>
      <w:r w:rsidRPr="009D3479">
        <w:rPr>
          <w:rFonts w:cs="Arial"/>
        </w:rPr>
        <w:t xml:space="preserve"> </w:t>
      </w:r>
      <w:r w:rsidRPr="00144607">
        <w:rPr>
          <w:rFonts w:cs="Arial"/>
        </w:rPr>
        <w:t xml:space="preserve">Pièce P-80. </w:t>
      </w:r>
    </w:p>
  </w:footnote>
  <w:footnote w:id="44">
    <w:p w14:paraId="50E24F18" w14:textId="77777777" w:rsidR="00DF4E65" w:rsidRPr="005643C0" w:rsidRDefault="00DF4E65" w:rsidP="001E1326">
      <w:pPr>
        <w:pStyle w:val="Notedebasdepage"/>
        <w:ind w:left="142" w:hanging="142"/>
      </w:pPr>
      <w:r w:rsidRPr="00144607">
        <w:rPr>
          <w:rStyle w:val="Appelnotedebasdep"/>
          <w:rFonts w:cs="Arial"/>
        </w:rPr>
        <w:footnoteRef/>
      </w:r>
      <w:r w:rsidRPr="00144607">
        <w:rPr>
          <w:rFonts w:cs="Arial"/>
        </w:rPr>
        <w:t xml:space="preserve"> Pièce</w:t>
      </w:r>
      <w:r>
        <w:rPr>
          <w:rFonts w:cs="Arial"/>
        </w:rPr>
        <w:t>s</w:t>
      </w:r>
      <w:r w:rsidRPr="00144607">
        <w:rPr>
          <w:rFonts w:cs="Arial"/>
        </w:rPr>
        <w:t> P-35, P-36 et P-37</w:t>
      </w:r>
      <w:r>
        <w:rPr>
          <w:rFonts w:cs="Arial"/>
        </w:rPr>
        <w:t>.</w:t>
      </w:r>
    </w:p>
  </w:footnote>
  <w:footnote w:id="45">
    <w:p w14:paraId="15013D8A" w14:textId="77777777" w:rsidR="00DF4E65" w:rsidRPr="00353AD7" w:rsidRDefault="00DF4E65" w:rsidP="008F35E9">
      <w:pPr>
        <w:pStyle w:val="Notedebasdepage"/>
      </w:pPr>
      <w:r w:rsidRPr="009D3479">
        <w:rPr>
          <w:rStyle w:val="Appelnotedebasdep"/>
          <w:rFonts w:cs="Arial"/>
        </w:rPr>
        <w:footnoteRef/>
      </w:r>
      <w:r w:rsidRPr="009D3479">
        <w:rPr>
          <w:rFonts w:cs="Arial"/>
        </w:rPr>
        <w:t xml:space="preserve"> </w:t>
      </w:r>
      <w:r w:rsidRPr="00F67EFE">
        <w:rPr>
          <w:rFonts w:cs="Arial"/>
        </w:rPr>
        <w:t>Pièce P-10</w:t>
      </w:r>
      <w:r w:rsidRPr="009D3479">
        <w:rPr>
          <w:rFonts w:cs="Arial"/>
        </w:rPr>
        <w:t>, voir principalement les pages</w:t>
      </w:r>
      <w:r>
        <w:rPr>
          <w:rFonts w:cs="Arial"/>
        </w:rPr>
        <w:t> </w:t>
      </w:r>
      <w:r w:rsidRPr="009D3479">
        <w:rPr>
          <w:rFonts w:cs="Arial"/>
        </w:rPr>
        <w:t>25 à 27.</w:t>
      </w:r>
    </w:p>
  </w:footnote>
  <w:footnote w:id="46">
    <w:p w14:paraId="6BA2873C" w14:textId="77777777" w:rsidR="00DF4E65" w:rsidRDefault="00DF4E65">
      <w:pPr>
        <w:pStyle w:val="Notedebasdepage"/>
      </w:pPr>
      <w:r>
        <w:rPr>
          <w:rStyle w:val="Appelnotedebasdep"/>
        </w:rPr>
        <w:footnoteRef/>
      </w:r>
      <w:r>
        <w:t xml:space="preserve"> Pièce P-10, p. 25.</w:t>
      </w:r>
    </w:p>
  </w:footnote>
  <w:footnote w:id="47">
    <w:p w14:paraId="552AFA2A" w14:textId="77777777" w:rsidR="00DF4E65" w:rsidRDefault="00DF4E65" w:rsidP="001510D2">
      <w:pPr>
        <w:pStyle w:val="Notedebasdepage"/>
        <w:ind w:left="0" w:firstLine="0"/>
      </w:pPr>
      <w:r>
        <w:rPr>
          <w:rStyle w:val="Appelnotedebasdep"/>
        </w:rPr>
        <w:footnoteRef/>
      </w:r>
      <w:r>
        <w:t xml:space="preserve"> Pièce P-12. </w:t>
      </w:r>
      <w:r w:rsidRPr="00F67EFE">
        <w:t>Des amendements ont été apportés par la demanderesse en cours d’instance qui a diminué sa réclamation concernant les pertes de revenus passés afin de tenir compte de l’ensemble des sommes versées par la DGIVAC à titre d’aide financière pour pallier une perte de revenu. Dans sa plaidoirie, le Procureur général du Québec a reconnu qu’il n’y avait pas de double indemnisation sous ce chef puisque l’entièreté des sommes pour pallier une perte de revenus avaient été retranchés des sommes recherchées par la demanderesse</w:t>
      </w:r>
    </w:p>
  </w:footnote>
  <w:footnote w:id="48">
    <w:p w14:paraId="6CCBF05A" w14:textId="77777777" w:rsidR="00DF4E65" w:rsidRDefault="00DF4E65">
      <w:pPr>
        <w:pStyle w:val="Notedebasdepage"/>
      </w:pPr>
      <w:r>
        <w:rPr>
          <w:rStyle w:val="Appelnotedebasdep"/>
        </w:rPr>
        <w:footnoteRef/>
      </w:r>
      <w:r>
        <w:t xml:space="preserve"> Pièce P-12, p. 7.</w:t>
      </w:r>
    </w:p>
  </w:footnote>
  <w:footnote w:id="49">
    <w:p w14:paraId="66D09764" w14:textId="77777777" w:rsidR="00DF4E65" w:rsidRDefault="00DF4E65">
      <w:pPr>
        <w:pStyle w:val="Notedebasdepage"/>
      </w:pPr>
      <w:r>
        <w:rPr>
          <w:rStyle w:val="Appelnotedebasdep"/>
        </w:rPr>
        <w:footnoteRef/>
      </w:r>
      <w:r>
        <w:t xml:space="preserve"> Pièce P-11.</w:t>
      </w:r>
    </w:p>
  </w:footnote>
  <w:footnote w:id="50">
    <w:p w14:paraId="6B4CCA57" w14:textId="77777777" w:rsidR="00DF4E65" w:rsidRDefault="00DF4E65">
      <w:pPr>
        <w:pStyle w:val="Notedebasdepage"/>
      </w:pPr>
      <w:r>
        <w:rPr>
          <w:rStyle w:val="Appelnotedebasdep"/>
        </w:rPr>
        <w:footnoteRef/>
      </w:r>
      <w:r>
        <w:t xml:space="preserve"> Pièce P-12 amendée.</w:t>
      </w:r>
    </w:p>
  </w:footnote>
  <w:footnote w:id="51">
    <w:p w14:paraId="7BFB64D6" w14:textId="77777777" w:rsidR="00DF4E65" w:rsidRDefault="00DF4E65">
      <w:pPr>
        <w:pStyle w:val="Notedebasdepage"/>
      </w:pPr>
      <w:r>
        <w:rPr>
          <w:rStyle w:val="Appelnotedebasdep"/>
        </w:rPr>
        <w:footnoteRef/>
      </w:r>
      <w:r>
        <w:t xml:space="preserve"> Pièce P-12, p. 7.</w:t>
      </w:r>
    </w:p>
  </w:footnote>
  <w:footnote w:id="52">
    <w:p w14:paraId="7658620C" w14:textId="77777777" w:rsidR="00DF4E65" w:rsidRPr="00631808" w:rsidRDefault="00DF4E65" w:rsidP="00F20EDC">
      <w:pPr>
        <w:pStyle w:val="Notedebasdepage"/>
        <w:ind w:left="0" w:firstLine="0"/>
        <w:rPr>
          <w:rFonts w:cs="Arial"/>
        </w:rPr>
      </w:pPr>
      <w:r>
        <w:rPr>
          <w:rFonts w:cs="Arial"/>
        </w:rPr>
        <w:t xml:space="preserve"> </w:t>
      </w:r>
      <w:r w:rsidRPr="00302586">
        <w:rPr>
          <w:i/>
        </w:rPr>
        <w:t>Québec</w:t>
      </w:r>
      <w:r w:rsidRPr="009C6D18">
        <w:rPr>
          <w:rFonts w:cs="Arial"/>
          <w:i/>
        </w:rPr>
        <w:t xml:space="preserve"> (Curateur public) c. Syndicat national des employés de l’hôpital St-Ferdinand</w:t>
      </w:r>
      <w:r w:rsidRPr="009C6D18">
        <w:rPr>
          <w:rFonts w:cs="Arial"/>
        </w:rPr>
        <w:t>, [1996] 3</w:t>
      </w:r>
      <w:r>
        <w:rPr>
          <w:rFonts w:cs="Arial"/>
        </w:rPr>
        <w:t> </w:t>
      </w:r>
      <w:r w:rsidRPr="009C6D18">
        <w:rPr>
          <w:rFonts w:cs="Arial"/>
        </w:rPr>
        <w:t>R.C.S.</w:t>
      </w:r>
      <w:r>
        <w:rPr>
          <w:rFonts w:cs="Arial"/>
        </w:rPr>
        <w:t> </w:t>
      </w:r>
      <w:r w:rsidRPr="009C6D18">
        <w:rPr>
          <w:rFonts w:cs="Arial"/>
        </w:rPr>
        <w:t xml:space="preserve">211, para. </w:t>
      </w:r>
      <w:r w:rsidRPr="00631808">
        <w:rPr>
          <w:rFonts w:cs="Arial"/>
        </w:rPr>
        <w:t>80 et 81.</w:t>
      </w:r>
    </w:p>
  </w:footnote>
  <w:footnote w:id="53">
    <w:p w14:paraId="37B64D63" w14:textId="77777777" w:rsidR="00DF4E65" w:rsidRPr="00933694" w:rsidRDefault="00DF4E65" w:rsidP="001628CF">
      <w:pPr>
        <w:pStyle w:val="Notedebasdepage"/>
        <w:rPr>
          <w:rFonts w:cs="Arial"/>
        </w:rPr>
      </w:pPr>
      <w:r w:rsidRPr="009C6D18">
        <w:rPr>
          <w:rStyle w:val="Appelnotedebasdep"/>
          <w:rFonts w:cs="Arial"/>
        </w:rPr>
        <w:footnoteRef/>
      </w:r>
      <w:r w:rsidRPr="00933694">
        <w:rPr>
          <w:rFonts w:cs="Arial"/>
        </w:rPr>
        <w:t xml:space="preserve"> </w:t>
      </w:r>
      <w:r w:rsidRPr="00933694">
        <w:rPr>
          <w:rFonts w:cs="Arial"/>
          <w:i/>
          <w:iCs/>
        </w:rPr>
        <w:t>A. c. B</w:t>
      </w:r>
      <w:r w:rsidRPr="00933694">
        <w:rPr>
          <w:rFonts w:cs="Arial"/>
        </w:rPr>
        <w:t>., 2022 QCCS 768 para. 244.</w:t>
      </w:r>
    </w:p>
  </w:footnote>
  <w:footnote w:id="54">
    <w:p w14:paraId="67C39F83" w14:textId="77777777" w:rsidR="00DF4E65" w:rsidRPr="00C20F33" w:rsidRDefault="00DF4E65" w:rsidP="00EB41BE">
      <w:pPr>
        <w:pStyle w:val="Notedebasdepage"/>
        <w:ind w:left="0" w:firstLine="0"/>
        <w:rPr>
          <w:kern w:val="28"/>
        </w:rPr>
      </w:pPr>
      <w:r>
        <w:rPr>
          <w:rStyle w:val="Appelnotedebasdep"/>
        </w:rPr>
        <w:footnoteRef/>
      </w:r>
      <w:r w:rsidRPr="00F20EDC">
        <w:t xml:space="preserve"> </w:t>
      </w:r>
      <w:r w:rsidRPr="001510D2">
        <w:rPr>
          <w:i/>
          <w:iCs/>
        </w:rPr>
        <w:t xml:space="preserve">Andrews </w:t>
      </w:r>
      <w:r w:rsidRPr="00F20EDC">
        <w:t xml:space="preserve">c. </w:t>
      </w:r>
      <w:r w:rsidRPr="001510D2">
        <w:rPr>
          <w:i/>
          <w:iCs/>
        </w:rPr>
        <w:t>Grand Toy Alberta Ltd</w:t>
      </w:r>
      <w:r w:rsidRPr="00F20EDC">
        <w:t xml:space="preserve">., </w:t>
      </w:r>
      <w:r w:rsidRPr="001510D2">
        <w:t xml:space="preserve">préc. </w:t>
      </w:r>
      <w:proofErr w:type="gramStart"/>
      <w:r w:rsidRPr="001510D2">
        <w:t>note</w:t>
      </w:r>
      <w:proofErr w:type="gramEnd"/>
      <w:r w:rsidRPr="001510D2">
        <w:t xml:space="preserve"> </w:t>
      </w:r>
      <w:r>
        <w:rPr>
          <w:lang w:val="en-CA"/>
        </w:rPr>
        <w:fldChar w:fldCharType="begin"/>
      </w:r>
      <w:r w:rsidRPr="001510D2">
        <w:instrText xml:space="preserve"> NOTEREF _Ref226365172 \h </w:instrText>
      </w:r>
      <w:r>
        <w:rPr>
          <w:lang w:val="en-CA"/>
        </w:rPr>
      </w:r>
      <w:r>
        <w:rPr>
          <w:lang w:val="en-CA"/>
        </w:rPr>
        <w:fldChar w:fldCharType="separate"/>
      </w:r>
      <w:r>
        <w:t>26</w:t>
      </w:r>
      <w:r>
        <w:rPr>
          <w:lang w:val="en-CA"/>
        </w:rPr>
        <w:fldChar w:fldCharType="end"/>
      </w:r>
      <w:r w:rsidRPr="001510D2">
        <w:t xml:space="preserve">, </w:t>
      </w:r>
      <w:r w:rsidRPr="00F20EDC">
        <w:rPr>
          <w:kern w:val="28"/>
        </w:rPr>
        <w:t xml:space="preserve">p. 261. </w:t>
      </w:r>
      <w:r>
        <w:rPr>
          <w:kern w:val="28"/>
        </w:rPr>
        <w:t>V</w:t>
      </w:r>
      <w:r w:rsidRPr="00FD2025">
        <w:rPr>
          <w:kern w:val="28"/>
        </w:rPr>
        <w:t>oir éga</w:t>
      </w:r>
      <w:r>
        <w:rPr>
          <w:kern w:val="28"/>
        </w:rPr>
        <w:t xml:space="preserve">lement </w:t>
      </w:r>
      <w:r w:rsidRPr="00A53529">
        <w:rPr>
          <w:i/>
          <w:kern w:val="28"/>
        </w:rPr>
        <w:t xml:space="preserve">Arnold </w:t>
      </w:r>
      <w:r w:rsidRPr="00A53529">
        <w:rPr>
          <w:kern w:val="28"/>
        </w:rPr>
        <w:t xml:space="preserve">c. </w:t>
      </w:r>
      <w:r w:rsidRPr="00A53529">
        <w:rPr>
          <w:i/>
          <w:kern w:val="28"/>
        </w:rPr>
        <w:t>Teno</w:t>
      </w:r>
      <w:r w:rsidRPr="00A53529">
        <w:rPr>
          <w:kern w:val="28"/>
        </w:rPr>
        <w:t xml:space="preserve">, </w:t>
      </w:r>
      <w:r w:rsidRPr="00F20EDC">
        <w:rPr>
          <w:kern w:val="28"/>
        </w:rPr>
        <w:t>1978 CanLII 2 (CSC), [1978] 2 RCS 287</w:t>
      </w:r>
      <w:r>
        <w:rPr>
          <w:kern w:val="28"/>
        </w:rPr>
        <w:t>, p. 332.</w:t>
      </w:r>
    </w:p>
  </w:footnote>
  <w:footnote w:id="55">
    <w:p w14:paraId="56CB488B" w14:textId="77777777" w:rsidR="00DF4E65" w:rsidRPr="005C00AE" w:rsidRDefault="00DF4E65" w:rsidP="00EB5C1F">
      <w:pPr>
        <w:pStyle w:val="Notedebasdepage"/>
        <w:rPr>
          <w:rFonts w:cs="Arial"/>
        </w:rPr>
      </w:pPr>
      <w:r w:rsidRPr="00944185">
        <w:rPr>
          <w:rStyle w:val="Appelnotedebasdep"/>
          <w:rFonts w:cs="Arial"/>
        </w:rPr>
        <w:footnoteRef/>
      </w:r>
      <w:r w:rsidRPr="005C00AE">
        <w:rPr>
          <w:rFonts w:cs="Arial"/>
        </w:rPr>
        <w:t xml:space="preserve"> </w:t>
      </w:r>
      <w:r w:rsidRPr="005C00AE">
        <w:rPr>
          <w:rFonts w:cs="Arial"/>
          <w:i/>
        </w:rPr>
        <w:t>Andrews c. Grand Toy Alberta Ltd</w:t>
      </w:r>
      <w:r w:rsidRPr="005C00AE">
        <w:rPr>
          <w:rFonts w:cs="Arial"/>
        </w:rPr>
        <w:t xml:space="preserve">., </w:t>
      </w:r>
      <w:r w:rsidRPr="00B2134C">
        <w:t xml:space="preserve">préc. </w:t>
      </w:r>
      <w:proofErr w:type="gramStart"/>
      <w:r w:rsidRPr="00B2134C">
        <w:t>note</w:t>
      </w:r>
      <w:proofErr w:type="gramEnd"/>
      <w:r w:rsidRPr="00B2134C">
        <w:t xml:space="preserve"> </w:t>
      </w:r>
      <w:r>
        <w:rPr>
          <w:lang w:val="en-CA"/>
        </w:rPr>
        <w:fldChar w:fldCharType="begin"/>
      </w:r>
      <w:r w:rsidRPr="00B2134C">
        <w:instrText xml:space="preserve"> NOTEREF _Ref226365172 \h </w:instrText>
      </w:r>
      <w:r>
        <w:rPr>
          <w:lang w:val="en-CA"/>
        </w:rPr>
      </w:r>
      <w:r>
        <w:rPr>
          <w:lang w:val="en-CA"/>
        </w:rPr>
        <w:fldChar w:fldCharType="separate"/>
      </w:r>
      <w:r>
        <w:t>26</w:t>
      </w:r>
      <w:r>
        <w:rPr>
          <w:lang w:val="en-CA"/>
        </w:rPr>
        <w:fldChar w:fldCharType="end"/>
      </w:r>
      <w:r w:rsidRPr="005C00AE">
        <w:rPr>
          <w:rFonts w:cs="Arial"/>
        </w:rPr>
        <w:t>.</w:t>
      </w:r>
    </w:p>
  </w:footnote>
  <w:footnote w:id="56">
    <w:p w14:paraId="4FAAE22C" w14:textId="77777777" w:rsidR="00DF4E65" w:rsidRDefault="00DF4E65" w:rsidP="00EB5C1F">
      <w:pPr>
        <w:pStyle w:val="Notedebasdepage"/>
      </w:pPr>
      <w:r>
        <w:rPr>
          <w:rStyle w:val="Appelnotedebasdep"/>
        </w:rPr>
        <w:footnoteRef/>
      </w:r>
      <w:r>
        <w:t xml:space="preserve"> </w:t>
      </w:r>
      <w:r w:rsidRPr="00A53529">
        <w:rPr>
          <w:i/>
          <w:kern w:val="28"/>
        </w:rPr>
        <w:t xml:space="preserve">Ter Neuzen </w:t>
      </w:r>
      <w:r w:rsidRPr="00A53529">
        <w:rPr>
          <w:kern w:val="28"/>
        </w:rPr>
        <w:t xml:space="preserve">c. </w:t>
      </w:r>
      <w:r w:rsidRPr="00A53529">
        <w:rPr>
          <w:i/>
          <w:kern w:val="28"/>
        </w:rPr>
        <w:t>Korn</w:t>
      </w:r>
      <w:r w:rsidRPr="00A53529">
        <w:rPr>
          <w:kern w:val="28"/>
        </w:rPr>
        <w:t>, [1995] 3 R.C.S. 674 (motifs du juge Sopinka)</w:t>
      </w:r>
      <w:r>
        <w:rPr>
          <w:kern w:val="28"/>
        </w:rPr>
        <w:t>.</w:t>
      </w:r>
    </w:p>
  </w:footnote>
  <w:footnote w:id="57">
    <w:p w14:paraId="69B39E7A" w14:textId="77777777" w:rsidR="00DF4E65" w:rsidRPr="00944185" w:rsidRDefault="00DF4E65" w:rsidP="00EB5C1F">
      <w:pPr>
        <w:pStyle w:val="Notedebasdepage"/>
        <w:rPr>
          <w:rFonts w:cs="Arial"/>
        </w:rPr>
      </w:pPr>
      <w:r w:rsidRPr="00944185">
        <w:rPr>
          <w:rStyle w:val="Appelnotedebasdep"/>
          <w:rFonts w:cs="Arial"/>
        </w:rPr>
        <w:footnoteRef/>
      </w:r>
      <w:r w:rsidRPr="00944185">
        <w:rPr>
          <w:rFonts w:cs="Arial"/>
        </w:rPr>
        <w:t xml:space="preserve"> </w:t>
      </w:r>
      <w:r w:rsidRPr="00944185">
        <w:rPr>
          <w:rFonts w:cs="Arial"/>
          <w:i/>
          <w:iCs/>
        </w:rPr>
        <w:t xml:space="preserve">A. </w:t>
      </w:r>
      <w:r w:rsidRPr="00944185">
        <w:rPr>
          <w:rFonts w:cs="Arial"/>
          <w:i/>
        </w:rPr>
        <w:t>c. B</w:t>
      </w:r>
      <w:r w:rsidRPr="00944185">
        <w:rPr>
          <w:rFonts w:cs="Arial"/>
        </w:rPr>
        <w:t xml:space="preserve">., </w:t>
      </w:r>
      <w:r>
        <w:rPr>
          <w:rFonts w:cs="Arial"/>
        </w:rPr>
        <w:t xml:space="preserve">préc. </w:t>
      </w:r>
      <w:r>
        <w:rPr>
          <w:rFonts w:cs="Arial"/>
        </w:rPr>
        <w:t xml:space="preserve">note </w:t>
      </w:r>
      <w:r>
        <w:rPr>
          <w:rFonts w:cs="Arial"/>
        </w:rPr>
        <w:fldChar w:fldCharType="begin"/>
      </w:r>
      <w:r>
        <w:rPr>
          <w:rFonts w:cs="Arial"/>
        </w:rPr>
        <w:instrText xml:space="preserve"> NOTEREF _Ref226365354 \h </w:instrText>
      </w:r>
      <w:r>
        <w:rPr>
          <w:rFonts w:cs="Arial"/>
        </w:rPr>
      </w:r>
      <w:r>
        <w:rPr>
          <w:rFonts w:cs="Arial"/>
        </w:rPr>
        <w:fldChar w:fldCharType="separate"/>
      </w:r>
      <w:r>
        <w:rPr>
          <w:rFonts w:cs="Arial"/>
        </w:rPr>
        <w:t>53</w:t>
      </w:r>
      <w:r>
        <w:rPr>
          <w:rFonts w:cs="Arial"/>
        </w:rPr>
        <w:fldChar w:fldCharType="end"/>
      </w:r>
      <w:r>
        <w:rPr>
          <w:rFonts w:cs="Arial"/>
        </w:rPr>
        <w:t xml:space="preserve">, </w:t>
      </w:r>
      <w:r w:rsidRPr="00944185">
        <w:rPr>
          <w:rFonts w:cs="Arial"/>
        </w:rPr>
        <w:t>par.271.</w:t>
      </w:r>
    </w:p>
  </w:footnote>
  <w:footnote w:id="58">
    <w:p w14:paraId="2AD3AF20" w14:textId="77777777" w:rsidR="00DF4E65" w:rsidRPr="00302586" w:rsidRDefault="00DF4E65" w:rsidP="00EB5C1F">
      <w:pPr>
        <w:pStyle w:val="Notedebasdepage"/>
        <w:ind w:left="142" w:hanging="142"/>
        <w:rPr>
          <w:rFonts w:cs="Arial"/>
        </w:rPr>
      </w:pPr>
      <w:r w:rsidRPr="00944185">
        <w:rPr>
          <w:rStyle w:val="Appelnotedebasdep"/>
          <w:rFonts w:cs="Arial"/>
        </w:rPr>
        <w:footnoteRef/>
      </w:r>
      <w:r w:rsidRPr="00944185">
        <w:rPr>
          <w:rFonts w:cs="Arial"/>
        </w:rPr>
        <w:t xml:space="preserve"> Selon McKellar </w:t>
      </w:r>
      <w:r w:rsidRPr="00302586">
        <w:rPr>
          <w:rFonts w:cs="Arial"/>
        </w:rPr>
        <w:t>Structured Settlements, en ligne : &lt;</w:t>
      </w:r>
      <w:hyperlink r:id="rId7" w:history="1">
        <w:r w:rsidRPr="00302586">
          <w:rPr>
            <w:rStyle w:val="Hyperlien"/>
            <w:rFonts w:cs="Arial"/>
            <w:color w:val="auto"/>
          </w:rPr>
          <w:t>www.mckellar.com/non-pecuniary-damages-upper-  limits</w:t>
        </w:r>
      </w:hyperlink>
      <w:r w:rsidRPr="00302586">
        <w:rPr>
          <w:rFonts w:cs="Arial"/>
        </w:rPr>
        <w:t xml:space="preserve">&gt;. Cette source a été utilisée par la Cour supérieure dans </w:t>
      </w:r>
      <w:r w:rsidRPr="00302586">
        <w:rPr>
          <w:rFonts w:cs="Arial"/>
          <w:i/>
          <w:iCs/>
        </w:rPr>
        <w:t>Boucher c. John Abbott College</w:t>
      </w:r>
      <w:r w:rsidRPr="00302586">
        <w:rPr>
          <w:rFonts w:cs="Arial"/>
        </w:rPr>
        <w:t>, 2015 QCCS 1255, par. 169.</w:t>
      </w:r>
    </w:p>
  </w:footnote>
  <w:footnote w:id="59">
    <w:p w14:paraId="15F21B52" w14:textId="77777777" w:rsidR="00DF4E65" w:rsidRPr="005C00AE" w:rsidRDefault="00DF4E65" w:rsidP="00AF3844">
      <w:pPr>
        <w:pStyle w:val="Notedebasdepage"/>
      </w:pPr>
      <w:r>
        <w:rPr>
          <w:rStyle w:val="Appelnotedebasdep"/>
        </w:rPr>
        <w:footnoteRef/>
      </w:r>
      <w:r w:rsidRPr="005C00AE">
        <w:t xml:space="preserve"> </w:t>
      </w:r>
      <w:r w:rsidRPr="005C00AE">
        <w:rPr>
          <w:rFonts w:cs="Arial"/>
          <w:i/>
        </w:rPr>
        <w:t>Andrews c. Grand Toy Alberta Ltd</w:t>
      </w:r>
      <w:r w:rsidRPr="005C00AE">
        <w:rPr>
          <w:rFonts w:cs="Arial"/>
        </w:rPr>
        <w:t xml:space="preserve">., </w:t>
      </w:r>
      <w:r w:rsidRPr="00B2134C">
        <w:t xml:space="preserve">préc. </w:t>
      </w:r>
      <w:r w:rsidRPr="00B2134C">
        <w:t xml:space="preserve">note </w:t>
      </w:r>
      <w:r>
        <w:rPr>
          <w:lang w:val="en-CA"/>
        </w:rPr>
        <w:fldChar w:fldCharType="begin"/>
      </w:r>
      <w:r w:rsidRPr="00B2134C">
        <w:instrText xml:space="preserve"> NOTEREF _Ref226365172 \h </w:instrText>
      </w:r>
      <w:r>
        <w:rPr>
          <w:lang w:val="en-CA"/>
        </w:rPr>
      </w:r>
      <w:r>
        <w:rPr>
          <w:lang w:val="en-CA"/>
        </w:rPr>
        <w:fldChar w:fldCharType="separate"/>
      </w:r>
      <w:r>
        <w:t>26</w:t>
      </w:r>
      <w:r>
        <w:rPr>
          <w:lang w:val="en-CA"/>
        </w:rPr>
        <w:fldChar w:fldCharType="end"/>
      </w:r>
      <w:r w:rsidRPr="005C00AE">
        <w:rPr>
          <w:rFonts w:cs="Arial"/>
        </w:rPr>
        <w:t>, p. 263</w:t>
      </w:r>
    </w:p>
  </w:footnote>
  <w:footnote w:id="60">
    <w:p w14:paraId="040ED137" w14:textId="77777777" w:rsidR="00DF4E65" w:rsidRPr="005C00AE" w:rsidRDefault="00DF4E65" w:rsidP="00EB5C1F">
      <w:pPr>
        <w:pStyle w:val="Notedebasdepage"/>
        <w:rPr>
          <w:rFonts w:cs="Arial"/>
        </w:rPr>
      </w:pPr>
      <w:r w:rsidRPr="00944185">
        <w:rPr>
          <w:rStyle w:val="Appelnotedebasdep"/>
          <w:rFonts w:cs="Arial"/>
        </w:rPr>
        <w:footnoteRef/>
      </w:r>
      <w:r w:rsidRPr="00944185">
        <w:rPr>
          <w:rFonts w:cs="Arial"/>
        </w:rPr>
        <w:t xml:space="preserve"> </w:t>
      </w:r>
      <w:r w:rsidRPr="00944185">
        <w:rPr>
          <w:rFonts w:cs="Arial"/>
          <w:i/>
          <w:iCs/>
        </w:rPr>
        <w:t>H.C</w:t>
      </w:r>
      <w:r w:rsidRPr="00944185">
        <w:rPr>
          <w:rFonts w:cs="Arial"/>
        </w:rPr>
        <w:t xml:space="preserve">. c. </w:t>
      </w:r>
      <w:r w:rsidRPr="00944185">
        <w:rPr>
          <w:rFonts w:cs="Arial"/>
          <w:i/>
          <w:iCs/>
        </w:rPr>
        <w:t>V. Cl</w:t>
      </w:r>
      <w:r w:rsidRPr="00944185">
        <w:rPr>
          <w:rFonts w:cs="Arial"/>
        </w:rPr>
        <w:t>., 2016</w:t>
      </w:r>
      <w:r>
        <w:rPr>
          <w:rFonts w:cs="Arial"/>
        </w:rPr>
        <w:t> </w:t>
      </w:r>
      <w:r w:rsidRPr="00944185">
        <w:rPr>
          <w:rFonts w:cs="Arial"/>
        </w:rPr>
        <w:t>QCCS</w:t>
      </w:r>
      <w:r>
        <w:rPr>
          <w:rFonts w:cs="Arial"/>
        </w:rPr>
        <w:t> </w:t>
      </w:r>
      <w:r w:rsidRPr="00944185">
        <w:rPr>
          <w:rFonts w:cs="Arial"/>
        </w:rPr>
        <w:t xml:space="preserve">858, para. </w:t>
      </w:r>
      <w:r w:rsidRPr="005C00AE">
        <w:rPr>
          <w:rFonts w:cs="Arial"/>
        </w:rPr>
        <w:t>167.</w:t>
      </w:r>
    </w:p>
  </w:footnote>
  <w:footnote w:id="61">
    <w:p w14:paraId="477CD5D7" w14:textId="77777777" w:rsidR="00DF4E65" w:rsidRPr="004A54FD" w:rsidRDefault="00DF4E65" w:rsidP="00EB5C1F">
      <w:pPr>
        <w:pStyle w:val="Notedebasdepage"/>
        <w:rPr>
          <w:rFonts w:cs="Arial"/>
        </w:rPr>
      </w:pPr>
      <w:r w:rsidRPr="009C6D18">
        <w:rPr>
          <w:rStyle w:val="Appelnotedebasdep"/>
          <w:rFonts w:cs="Arial"/>
        </w:rPr>
        <w:footnoteRef/>
      </w:r>
      <w:r w:rsidRPr="005C00AE">
        <w:rPr>
          <w:rFonts w:cs="Arial"/>
        </w:rPr>
        <w:t xml:space="preserve"> </w:t>
      </w:r>
      <w:bookmarkStart w:id="17" w:name="_Hlk222835514"/>
      <w:r w:rsidRPr="005C00AE">
        <w:rPr>
          <w:rFonts w:cs="Arial"/>
          <w:i/>
          <w:iCs/>
        </w:rPr>
        <w:t>R.</w:t>
      </w:r>
      <w:r w:rsidRPr="005C00AE">
        <w:rPr>
          <w:rFonts w:cs="Arial"/>
        </w:rPr>
        <w:t xml:space="preserve"> c. </w:t>
      </w:r>
      <w:r w:rsidRPr="005C00AE">
        <w:rPr>
          <w:rFonts w:cs="Arial"/>
          <w:i/>
          <w:iCs/>
        </w:rPr>
        <w:t>Friesen</w:t>
      </w:r>
      <w:r w:rsidRPr="005C00AE">
        <w:rPr>
          <w:rFonts w:cs="Arial"/>
        </w:rPr>
        <w:t xml:space="preserve">, préc. </w:t>
      </w:r>
      <w:r w:rsidRPr="005C00AE">
        <w:rPr>
          <w:rFonts w:cs="Arial"/>
        </w:rPr>
        <w:t xml:space="preserve">note </w:t>
      </w:r>
      <w:r>
        <w:rPr>
          <w:rFonts w:cs="Arial"/>
          <w:lang w:val="en-CA"/>
        </w:rPr>
        <w:fldChar w:fldCharType="begin"/>
      </w:r>
      <w:r w:rsidRPr="005C00AE">
        <w:rPr>
          <w:rFonts w:cs="Arial"/>
        </w:rPr>
        <w:instrText xml:space="preserve"> NOTEREF _Ref226363996 \h </w:instrText>
      </w:r>
      <w:r>
        <w:rPr>
          <w:rFonts w:cs="Arial"/>
          <w:lang w:val="en-CA"/>
        </w:rPr>
      </w:r>
      <w:r>
        <w:rPr>
          <w:rFonts w:cs="Arial"/>
          <w:lang w:val="en-CA"/>
        </w:rPr>
        <w:fldChar w:fldCharType="separate"/>
      </w:r>
      <w:r>
        <w:rPr>
          <w:rFonts w:cs="Arial"/>
        </w:rPr>
        <w:t>21</w:t>
      </w:r>
      <w:r>
        <w:rPr>
          <w:rFonts w:cs="Arial"/>
          <w:lang w:val="en-CA"/>
        </w:rPr>
        <w:fldChar w:fldCharType="end"/>
      </w:r>
      <w:r w:rsidRPr="005C00AE">
        <w:rPr>
          <w:rFonts w:cs="Arial"/>
        </w:rPr>
        <w:t xml:space="preserve">, para. </w:t>
      </w:r>
      <w:r w:rsidRPr="004A54FD">
        <w:rPr>
          <w:rFonts w:cs="Arial"/>
        </w:rPr>
        <w:t>55 à 58</w:t>
      </w:r>
      <w:bookmarkEnd w:id="17"/>
      <w:r w:rsidRPr="004A54FD">
        <w:rPr>
          <w:rFonts w:cs="Arial"/>
        </w:rPr>
        <w:t>.</w:t>
      </w:r>
    </w:p>
  </w:footnote>
  <w:footnote w:id="62">
    <w:p w14:paraId="1B246F0D" w14:textId="77777777" w:rsidR="00DF4E65" w:rsidRDefault="00DF4E65" w:rsidP="001C5C81">
      <w:pPr>
        <w:pStyle w:val="Notedebasdepage"/>
      </w:pPr>
      <w:r>
        <w:rPr>
          <w:rStyle w:val="Appelnotedebasdep"/>
        </w:rPr>
        <w:footnoteRef/>
      </w:r>
      <w:r>
        <w:t xml:space="preserve"> À titre d’exemple, voir </w:t>
      </w:r>
      <w:r w:rsidRPr="00A273AC">
        <w:rPr>
          <w:i/>
          <w:iCs/>
        </w:rPr>
        <w:t>M.R.P</w:t>
      </w:r>
      <w:r w:rsidRPr="00856424">
        <w:t xml:space="preserve">. v </w:t>
      </w:r>
      <w:r w:rsidRPr="00A273AC">
        <w:rPr>
          <w:i/>
          <w:iCs/>
        </w:rPr>
        <w:t>Smith</w:t>
      </w:r>
      <w:r w:rsidRPr="00856424">
        <w:t>, 2025 BCSC 1002</w:t>
      </w:r>
      <w:r>
        <w:t>, par. 350 :</w:t>
      </w:r>
    </w:p>
    <w:p w14:paraId="5FC5064F" w14:textId="77777777" w:rsidR="00DF4E65" w:rsidRDefault="00DF4E65" w:rsidP="00C96FF3">
      <w:pPr>
        <w:pStyle w:val="Notedebasdepage"/>
        <w:ind w:right="857" w:firstLine="0"/>
        <w:rPr>
          <w:lang w:val="en-CA"/>
        </w:rPr>
      </w:pPr>
      <w:r w:rsidRPr="00C96FF3">
        <w:rPr>
          <w:lang w:val="en-CA"/>
        </w:rPr>
        <w:t>[</w:t>
      </w:r>
      <w:bookmarkStart w:id="18" w:name="par350"/>
      <w:r w:rsidRPr="00C96FF3">
        <w:rPr>
          <w:lang w:val="en-CA"/>
        </w:rPr>
        <w:t>350</w:t>
      </w:r>
      <w:bookmarkEnd w:id="18"/>
      <w:r w:rsidRPr="00C96FF3">
        <w:rPr>
          <w:lang w:val="en-CA"/>
        </w:rPr>
        <w:t>]</w:t>
      </w:r>
      <w:r>
        <w:rPr>
          <w:lang w:val="en-CA"/>
        </w:rPr>
        <w:t xml:space="preserve"> </w:t>
      </w:r>
      <w:r w:rsidRPr="00C96FF3">
        <w:rPr>
          <w:lang w:val="en-CA"/>
        </w:rPr>
        <w:t xml:space="preserve"> I consider all of the relevant aggravating circumstances—the step-father’s breach of trust, abuse of a minor, and lack of remorse—to place this case in a similar range to </w:t>
      </w:r>
      <w:r w:rsidRPr="00C96FF3">
        <w:rPr>
          <w:i/>
          <w:iCs/>
          <w:lang w:val="en-CA"/>
        </w:rPr>
        <w:t>S.Y</w:t>
      </w:r>
      <w:r w:rsidRPr="00C96FF3">
        <w:rPr>
          <w:lang w:val="en-CA"/>
        </w:rPr>
        <w:t xml:space="preserve">. In that case the plaintiff had been repeatedly sexually, physically, and verbally abused by her stepfather from ages seven to eighteen. She was 36 years old at the time of trial, and the effects on her continued to be devastating and profound. In that case the Court of Appeal reduced a jury award from $350,000 </w:t>
      </w:r>
      <w:r w:rsidRPr="00C96FF3">
        <w:rPr>
          <w:u w:val="single"/>
          <w:lang w:val="en-CA"/>
        </w:rPr>
        <w:t>down to $250,000 (or approximately $490,000 in current dollars)</w:t>
      </w:r>
      <w:r w:rsidRPr="00C96FF3">
        <w:rPr>
          <w:lang w:val="en-CA"/>
        </w:rPr>
        <w:t>.</w:t>
      </w:r>
    </w:p>
    <w:p w14:paraId="248FF492" w14:textId="77777777" w:rsidR="00DF4E65" w:rsidRPr="00C96FF3" w:rsidRDefault="00DF4E65" w:rsidP="00C96FF3">
      <w:pPr>
        <w:pStyle w:val="Notedebasdepage"/>
        <w:ind w:right="857" w:firstLine="0"/>
        <w:jc w:val="right"/>
      </w:pPr>
      <w:r w:rsidRPr="00C96FF3">
        <w:t xml:space="preserve">(soulignement </w:t>
      </w:r>
      <w:r>
        <w:t>ajouté)</w:t>
      </w:r>
    </w:p>
  </w:footnote>
  <w:footnote w:id="63">
    <w:p w14:paraId="41A63FC8" w14:textId="77777777" w:rsidR="00DF4E65" w:rsidRPr="009B248D" w:rsidRDefault="00DF4E65" w:rsidP="00226255">
      <w:pPr>
        <w:pStyle w:val="Notedebasdepage"/>
        <w:rPr>
          <w:rFonts w:cs="Arial"/>
          <w:lang w:val="en-CA"/>
        </w:rPr>
      </w:pPr>
      <w:r w:rsidRPr="00332B43">
        <w:rPr>
          <w:rStyle w:val="Appelnotedebasdep"/>
          <w:rFonts w:cs="Arial"/>
        </w:rPr>
        <w:footnoteRef/>
      </w:r>
      <w:r w:rsidRPr="00C96FF3">
        <w:rPr>
          <w:rFonts w:cs="Arial"/>
        </w:rPr>
        <w:t xml:space="preserve"> </w:t>
      </w:r>
      <w:r w:rsidRPr="00C96FF3">
        <w:rPr>
          <w:rFonts w:cs="Arial"/>
          <w:i/>
        </w:rPr>
        <w:t>D.M. v. R.L.,</w:t>
      </w:r>
      <w:r w:rsidRPr="00C96FF3">
        <w:rPr>
          <w:rFonts w:cs="Arial"/>
        </w:rPr>
        <w:t xml:space="preserve"> 2014 BCSC 1061, para. </w:t>
      </w:r>
      <w:r w:rsidRPr="009B248D">
        <w:rPr>
          <w:rFonts w:cs="Arial"/>
          <w:lang w:val="en-CA"/>
        </w:rPr>
        <w:t>72.</w:t>
      </w:r>
    </w:p>
  </w:footnote>
  <w:footnote w:id="64">
    <w:p w14:paraId="21E9C515" w14:textId="77777777" w:rsidR="00DF4E65" w:rsidRPr="001510D2" w:rsidRDefault="00DF4E65" w:rsidP="00150594">
      <w:pPr>
        <w:pStyle w:val="Notedebasdepage"/>
        <w:ind w:left="142" w:hanging="142"/>
        <w:rPr>
          <w:rFonts w:cs="Arial"/>
          <w:lang w:val="en-CA"/>
        </w:rPr>
      </w:pPr>
      <w:r w:rsidRPr="00332B43">
        <w:rPr>
          <w:rStyle w:val="Appelnotedebasdep"/>
          <w:rFonts w:cs="Arial"/>
        </w:rPr>
        <w:footnoteRef/>
      </w:r>
      <w:r w:rsidRPr="009B248D">
        <w:rPr>
          <w:rFonts w:cs="Arial"/>
          <w:lang w:val="en-CA"/>
        </w:rPr>
        <w:t xml:space="preserve"> </w:t>
      </w:r>
      <w:r w:rsidRPr="009B248D">
        <w:rPr>
          <w:rFonts w:cs="Arial"/>
          <w:i/>
          <w:lang w:val="en-CA"/>
        </w:rPr>
        <w:t>Zando v. Ali</w:t>
      </w:r>
      <w:r w:rsidRPr="009B248D">
        <w:rPr>
          <w:rFonts w:cs="Arial"/>
          <w:lang w:val="en-CA"/>
        </w:rPr>
        <w:t xml:space="preserve">, 2017 ONSC 1289, para. </w:t>
      </w:r>
      <w:r w:rsidRPr="00332B43">
        <w:rPr>
          <w:rFonts w:cs="Arial"/>
          <w:lang w:val="en-CA"/>
        </w:rPr>
        <w:t xml:space="preserve">95: </w:t>
      </w:r>
      <w:r>
        <w:rPr>
          <w:rFonts w:cs="Arial"/>
          <w:lang w:val="en-CA"/>
        </w:rPr>
        <w:t>“</w:t>
      </w:r>
      <w:r w:rsidRPr="00332B43">
        <w:rPr>
          <w:rFonts w:cs="Arial"/>
          <w:lang w:val="en-CA"/>
        </w:rPr>
        <w:t xml:space="preserve">The case law suggests a range between </w:t>
      </w:r>
      <w:r>
        <w:rPr>
          <w:rFonts w:cs="Arial"/>
          <w:lang w:val="en-CA"/>
        </w:rPr>
        <w:t>$</w:t>
      </w:r>
      <w:r w:rsidRPr="00332B43">
        <w:rPr>
          <w:rFonts w:cs="Arial"/>
          <w:lang w:val="en-CA"/>
        </w:rPr>
        <w:t>125,000</w:t>
      </w:r>
      <w:r>
        <w:rPr>
          <w:rFonts w:cs="Arial"/>
          <w:lang w:val="en-CA"/>
        </w:rPr>
        <w:t xml:space="preserve"> </w:t>
      </w:r>
      <w:r w:rsidRPr="00332B43">
        <w:rPr>
          <w:rFonts w:cs="Arial"/>
          <w:lang w:val="en-CA"/>
        </w:rPr>
        <w:t>to $250,000 for battery and sexual assault cases, which adjusted for inflation, amounts to $144,000 to</w:t>
      </w:r>
      <w:r>
        <w:rPr>
          <w:rFonts w:cs="Arial"/>
          <w:lang w:val="en-CA"/>
        </w:rPr>
        <w:t xml:space="preserve"> </w:t>
      </w:r>
      <w:r w:rsidRPr="001510D2">
        <w:rPr>
          <w:rFonts w:cs="Arial"/>
          <w:lang w:val="en-CA"/>
        </w:rPr>
        <w:t>$290,000”.</w:t>
      </w:r>
    </w:p>
  </w:footnote>
  <w:footnote w:id="65">
    <w:p w14:paraId="203A7FE9" w14:textId="77777777" w:rsidR="00DF4E65" w:rsidRPr="00150594" w:rsidRDefault="00DF4E65">
      <w:pPr>
        <w:pStyle w:val="Notedebasdepage"/>
      </w:pPr>
      <w:r>
        <w:rPr>
          <w:rStyle w:val="Appelnotedebasdep"/>
        </w:rPr>
        <w:footnoteRef/>
      </w:r>
      <w:r w:rsidRPr="00150594">
        <w:t xml:space="preserve"> </w:t>
      </w:r>
      <w:r w:rsidRPr="00A273AC">
        <w:rPr>
          <w:i/>
          <w:iCs/>
        </w:rPr>
        <w:t>Zando</w:t>
      </w:r>
      <w:r w:rsidRPr="00150594">
        <w:t xml:space="preserve"> v. </w:t>
      </w:r>
      <w:r w:rsidRPr="00A273AC">
        <w:rPr>
          <w:i/>
          <w:iCs/>
        </w:rPr>
        <w:t>Ali,</w:t>
      </w:r>
      <w:r w:rsidRPr="00150594">
        <w:t xml:space="preserve"> 2018 ONCA 680, p</w:t>
      </w:r>
      <w:r w:rsidRPr="00A273AC">
        <w:t>ar</w:t>
      </w:r>
      <w:r>
        <w:t xml:space="preserve">. 12. </w:t>
      </w:r>
    </w:p>
  </w:footnote>
  <w:footnote w:id="66">
    <w:p w14:paraId="7F49D9D8" w14:textId="77777777" w:rsidR="00DF4E65" w:rsidRPr="004A54FD" w:rsidRDefault="00DF4E65" w:rsidP="008930B2">
      <w:pPr>
        <w:pStyle w:val="Notedebasdepage"/>
        <w:rPr>
          <w:rFonts w:cs="Arial"/>
        </w:rPr>
      </w:pPr>
      <w:r w:rsidRPr="00332B43">
        <w:rPr>
          <w:rStyle w:val="Appelnotedebasdep"/>
          <w:rFonts w:cs="Arial"/>
        </w:rPr>
        <w:footnoteRef/>
      </w:r>
      <w:r w:rsidRPr="00A273AC">
        <w:rPr>
          <w:rFonts w:cs="Arial"/>
        </w:rPr>
        <w:t xml:space="preserve"> </w:t>
      </w:r>
      <w:r w:rsidRPr="00A273AC">
        <w:rPr>
          <w:rFonts w:cs="Arial"/>
          <w:i/>
        </w:rPr>
        <w:t>O’Brien c. M.H</w:t>
      </w:r>
      <w:r w:rsidRPr="00A273AC">
        <w:rPr>
          <w:rFonts w:cs="Arial"/>
        </w:rPr>
        <w:t xml:space="preserve">., 2020 QCCA 1157, para. </w:t>
      </w:r>
      <w:r w:rsidRPr="004A54FD">
        <w:rPr>
          <w:rFonts w:cs="Arial"/>
        </w:rPr>
        <w:t>37. </w:t>
      </w:r>
    </w:p>
  </w:footnote>
  <w:footnote w:id="67">
    <w:p w14:paraId="4F372941" w14:textId="77777777" w:rsidR="00DF4E65" w:rsidRDefault="00DF4E65" w:rsidP="00443765">
      <w:pPr>
        <w:pStyle w:val="Notedebasdepage"/>
      </w:pPr>
      <w:r>
        <w:rPr>
          <w:rStyle w:val="Appelnotedebasdep"/>
        </w:rPr>
        <w:footnoteRef/>
      </w:r>
      <w:r>
        <w:t xml:space="preserve"> Pièce P-10, p. 25.</w:t>
      </w:r>
    </w:p>
  </w:footnote>
  <w:footnote w:id="68">
    <w:p w14:paraId="12369123" w14:textId="77777777" w:rsidR="00DF4E65" w:rsidRDefault="00DF4E65">
      <w:pPr>
        <w:pStyle w:val="Notedebasdepage"/>
      </w:pPr>
      <w:r>
        <w:rPr>
          <w:rStyle w:val="Appelnotedebasdep"/>
        </w:rPr>
        <w:footnoteRef/>
      </w:r>
      <w:r>
        <w:t xml:space="preserve"> </w:t>
      </w:r>
      <w:r w:rsidRPr="003B21B0">
        <w:t>RLRQ c C-12</w:t>
      </w:r>
      <w:r>
        <w:t>.</w:t>
      </w:r>
    </w:p>
  </w:footnote>
  <w:footnote w:id="69">
    <w:p w14:paraId="526A9C1E" w14:textId="77777777" w:rsidR="00DF4E65" w:rsidRPr="00FD618F" w:rsidRDefault="00DF4E65" w:rsidP="00B63100">
      <w:pPr>
        <w:pStyle w:val="Notedebasdepage"/>
        <w:ind w:left="142" w:hanging="142"/>
      </w:pPr>
      <w:r>
        <w:rPr>
          <w:rStyle w:val="Appelnotedebasdep"/>
        </w:rPr>
        <w:footnoteRef/>
      </w:r>
      <w:r>
        <w:t xml:space="preserve"> </w:t>
      </w:r>
      <w:r w:rsidRPr="00BE03BB">
        <w:rPr>
          <w:i/>
          <w:iCs/>
        </w:rPr>
        <w:t xml:space="preserve">Québec (Curateur public) </w:t>
      </w:r>
      <w:r w:rsidRPr="00BE03BB">
        <w:t>c</w:t>
      </w:r>
      <w:r w:rsidRPr="00BE03BB">
        <w:rPr>
          <w:i/>
          <w:iCs/>
        </w:rPr>
        <w:t>. SNE de l’Hôpital St-Ferdinand</w:t>
      </w:r>
      <w:r w:rsidRPr="00BE03BB">
        <w:t xml:space="preserve">, </w:t>
      </w:r>
      <w:r>
        <w:t xml:space="preserve">préc. </w:t>
      </w:r>
      <w:r>
        <w:t xml:space="preserve">note </w:t>
      </w:r>
      <w:r>
        <w:fldChar w:fldCharType="begin"/>
      </w:r>
      <w:r>
        <w:instrText xml:space="preserve"> NOTEREF _Ref226365679 \h </w:instrText>
      </w:r>
      <w:r>
        <w:fldChar w:fldCharType="separate"/>
      </w:r>
      <w:r>
        <w:t>52</w:t>
      </w:r>
      <w:r>
        <w:fldChar w:fldCharType="end"/>
      </w:r>
      <w:r>
        <w:t xml:space="preserve">, par. 116 à 121; </w:t>
      </w:r>
      <w:r w:rsidRPr="00441453">
        <w:rPr>
          <w:i/>
          <w:iCs/>
        </w:rPr>
        <w:t>de Montigny c. Brossard (Succession)</w:t>
      </w:r>
      <w:r w:rsidRPr="00441453">
        <w:t>, 2010</w:t>
      </w:r>
      <w:r>
        <w:t> </w:t>
      </w:r>
      <w:r w:rsidRPr="00441453">
        <w:t>CSC</w:t>
      </w:r>
      <w:r>
        <w:t> </w:t>
      </w:r>
      <w:r w:rsidRPr="00441453">
        <w:t xml:space="preserve">51, par. 53.  </w:t>
      </w:r>
    </w:p>
  </w:footnote>
  <w:footnote w:id="70">
    <w:p w14:paraId="5EF411C6" w14:textId="77777777" w:rsidR="00DF4E65" w:rsidRPr="00BA5FED" w:rsidRDefault="00DF4E65" w:rsidP="00B63100">
      <w:pPr>
        <w:pStyle w:val="Notedebasdepage"/>
        <w:rPr>
          <w:rFonts w:cs="Arial"/>
        </w:rPr>
      </w:pPr>
      <w:r w:rsidRPr="00BA5FED">
        <w:rPr>
          <w:rStyle w:val="Appelnotedebasdep"/>
          <w:rFonts w:cs="Arial"/>
        </w:rPr>
        <w:footnoteRef/>
      </w:r>
      <w:r w:rsidRPr="00BA5FED">
        <w:rPr>
          <w:rFonts w:cs="Arial"/>
        </w:rPr>
        <w:t xml:space="preserve"> </w:t>
      </w:r>
      <w:r w:rsidRPr="00BE03BB">
        <w:rPr>
          <w:i/>
          <w:iCs/>
        </w:rPr>
        <w:t xml:space="preserve">Québec (Curateur public) </w:t>
      </w:r>
      <w:r w:rsidRPr="00BE03BB">
        <w:t>c</w:t>
      </w:r>
      <w:r w:rsidRPr="00BE03BB">
        <w:rPr>
          <w:i/>
          <w:iCs/>
        </w:rPr>
        <w:t>. SNE de l’Hôpital St-Ferdinand</w:t>
      </w:r>
      <w:r w:rsidRPr="00BE03BB">
        <w:t xml:space="preserve">, </w:t>
      </w:r>
      <w:r>
        <w:t xml:space="preserve">préc. </w:t>
      </w:r>
      <w:r>
        <w:t xml:space="preserve">note </w:t>
      </w:r>
      <w:r>
        <w:fldChar w:fldCharType="begin"/>
      </w:r>
      <w:r>
        <w:instrText xml:space="preserve"> NOTEREF _Ref226365679 \h </w:instrText>
      </w:r>
      <w:r>
        <w:fldChar w:fldCharType="separate"/>
      </w:r>
      <w:r>
        <w:t>52</w:t>
      </w:r>
      <w:r>
        <w:fldChar w:fldCharType="end"/>
      </w:r>
      <w:r w:rsidRPr="00BA5FED">
        <w:rPr>
          <w:rFonts w:cs="Arial"/>
        </w:rPr>
        <w:t>, par. 119.</w:t>
      </w:r>
    </w:p>
  </w:footnote>
  <w:footnote w:id="71">
    <w:p w14:paraId="545AC1D4" w14:textId="77777777" w:rsidR="00DF4E65" w:rsidRPr="004A54FD" w:rsidRDefault="00DF4E65" w:rsidP="004E48EA">
      <w:pPr>
        <w:pStyle w:val="Notedebasdepage"/>
        <w:ind w:left="142" w:hanging="142"/>
      </w:pPr>
      <w:r>
        <w:rPr>
          <w:rStyle w:val="Appelnotedebasdep"/>
        </w:rPr>
        <w:footnoteRef/>
      </w:r>
      <w:r>
        <w:t xml:space="preserve"> </w:t>
      </w:r>
      <w:r w:rsidRPr="001510D2">
        <w:rPr>
          <w:i/>
          <w:iCs/>
        </w:rPr>
        <w:t>Id.</w:t>
      </w:r>
      <w:r>
        <w:t xml:space="preserve">, par. </w:t>
      </w:r>
      <w:r w:rsidRPr="004A54FD">
        <w:t>116 à 121.</w:t>
      </w:r>
    </w:p>
  </w:footnote>
  <w:footnote w:id="72">
    <w:p w14:paraId="38CAC73F" w14:textId="77777777" w:rsidR="00DF4E65" w:rsidRPr="004A54FD" w:rsidRDefault="00DF4E65" w:rsidP="003752CD">
      <w:pPr>
        <w:pStyle w:val="Notedebasdepage"/>
        <w:rPr>
          <w:rFonts w:cs="Arial"/>
        </w:rPr>
      </w:pPr>
      <w:r w:rsidRPr="00BA5FED">
        <w:rPr>
          <w:rStyle w:val="Appelnotedebasdep"/>
          <w:rFonts w:cs="Arial"/>
        </w:rPr>
        <w:footnoteRef/>
      </w:r>
      <w:r w:rsidRPr="004E48EA">
        <w:rPr>
          <w:rFonts w:cs="Arial"/>
        </w:rPr>
        <w:t xml:space="preserve"> </w:t>
      </w:r>
      <w:r w:rsidRPr="004E48EA">
        <w:rPr>
          <w:rFonts w:cs="Arial"/>
          <w:i/>
          <w:iCs/>
        </w:rPr>
        <w:t>R. c. Friesen</w:t>
      </w:r>
      <w:r w:rsidRPr="004E48EA">
        <w:rPr>
          <w:rFonts w:cs="Arial"/>
        </w:rPr>
        <w:t xml:space="preserve">, </w:t>
      </w:r>
      <w:r>
        <w:rPr>
          <w:rFonts w:cs="Arial"/>
        </w:rPr>
        <w:t xml:space="preserve">préc. </w:t>
      </w:r>
      <w:r>
        <w:rPr>
          <w:rFonts w:cs="Arial"/>
        </w:rPr>
        <w:t xml:space="preserve">note </w:t>
      </w:r>
      <w:r>
        <w:rPr>
          <w:rFonts w:cs="Arial"/>
        </w:rPr>
        <w:fldChar w:fldCharType="begin"/>
      </w:r>
      <w:r>
        <w:rPr>
          <w:rFonts w:cs="Arial"/>
        </w:rPr>
        <w:instrText xml:space="preserve"> NOTEREF _Ref226363996 \h </w:instrText>
      </w:r>
      <w:r>
        <w:rPr>
          <w:rFonts w:cs="Arial"/>
        </w:rPr>
      </w:r>
      <w:r>
        <w:rPr>
          <w:rFonts w:cs="Arial"/>
        </w:rPr>
        <w:fldChar w:fldCharType="separate"/>
      </w:r>
      <w:r>
        <w:rPr>
          <w:rFonts w:cs="Arial"/>
        </w:rPr>
        <w:t>21</w:t>
      </w:r>
      <w:r>
        <w:rPr>
          <w:rFonts w:cs="Arial"/>
        </w:rPr>
        <w:fldChar w:fldCharType="end"/>
      </w:r>
      <w:r>
        <w:rPr>
          <w:rFonts w:cs="Arial"/>
        </w:rPr>
        <w:t xml:space="preserve">, </w:t>
      </w:r>
      <w:r w:rsidRPr="004E48EA">
        <w:rPr>
          <w:rFonts w:cs="Arial"/>
        </w:rPr>
        <w:t xml:space="preserve">par. </w:t>
      </w:r>
      <w:r w:rsidRPr="004A54FD">
        <w:rPr>
          <w:rFonts w:cs="Arial"/>
        </w:rPr>
        <w:t>89.</w:t>
      </w:r>
    </w:p>
  </w:footnote>
  <w:footnote w:id="73">
    <w:p w14:paraId="564A7E92" w14:textId="77777777" w:rsidR="00DF4E65" w:rsidRPr="00BA5FED" w:rsidRDefault="00DF4E65" w:rsidP="003752CD">
      <w:pPr>
        <w:pStyle w:val="Notedebasdepage"/>
        <w:rPr>
          <w:rFonts w:cs="Arial"/>
        </w:rPr>
      </w:pPr>
      <w:r w:rsidRPr="00BA5FED">
        <w:rPr>
          <w:rStyle w:val="Appelnotedebasdep"/>
          <w:rFonts w:cs="Arial"/>
        </w:rPr>
        <w:footnoteRef/>
      </w:r>
      <w:r w:rsidRPr="004A54FD">
        <w:rPr>
          <w:rFonts w:cs="Arial"/>
        </w:rPr>
        <w:t xml:space="preserve"> </w:t>
      </w:r>
      <w:r w:rsidRPr="004A54FD">
        <w:rPr>
          <w:rFonts w:cs="Arial"/>
          <w:i/>
          <w:iCs/>
        </w:rPr>
        <w:t>Id.</w:t>
      </w:r>
      <w:r w:rsidRPr="004A54FD">
        <w:rPr>
          <w:rFonts w:cs="Arial"/>
        </w:rPr>
        <w:t xml:space="preserve">, para. </w:t>
      </w:r>
      <w:r w:rsidRPr="00BA5FED">
        <w:rPr>
          <w:rFonts w:cs="Arial"/>
        </w:rPr>
        <w:t>5.</w:t>
      </w:r>
      <w:r>
        <w:rPr>
          <w:rFonts w:cs="Arial"/>
        </w:rPr>
        <w:t xml:space="preserve">  </w:t>
      </w:r>
    </w:p>
  </w:footnote>
  <w:footnote w:id="74">
    <w:p w14:paraId="02E69A35" w14:textId="77777777" w:rsidR="00DF4E65" w:rsidRDefault="00DF4E65" w:rsidP="003B21B0">
      <w:pPr>
        <w:pStyle w:val="Notedebasdepage"/>
        <w:ind w:left="0" w:firstLine="0"/>
      </w:pPr>
      <w:r w:rsidRPr="001510D2">
        <w:rPr>
          <w:vertAlign w:val="superscript"/>
        </w:rPr>
        <w:t>77</w:t>
      </w:r>
      <w:r>
        <w:t xml:space="preserve"> Daniel GARDNER, </w:t>
      </w:r>
      <w:r>
        <w:rPr>
          <w:i/>
          <w:iCs/>
        </w:rPr>
        <w:t>Le préjudice corporel</w:t>
      </w:r>
      <w:r>
        <w:t xml:space="preserve">, préc. </w:t>
      </w:r>
      <w:r>
        <w:t xml:space="preserve">note </w:t>
      </w:r>
      <w:r>
        <w:fldChar w:fldCharType="begin"/>
      </w:r>
      <w:r>
        <w:instrText xml:space="preserve"> NOTEREF _Ref226366646 \h </w:instrText>
      </w:r>
      <w:r>
        <w:fldChar w:fldCharType="separate"/>
      </w:r>
      <w:r>
        <w:t>25</w:t>
      </w:r>
      <w:r>
        <w:fldChar w:fldCharType="end"/>
      </w:r>
      <w:r>
        <w:t>, par. 196 et ss, p. 252.</w:t>
      </w:r>
    </w:p>
  </w:footnote>
  <w:footnote w:id="75">
    <w:p w14:paraId="63B69DB2" w14:textId="77777777" w:rsidR="00DF4E65" w:rsidRDefault="00DF4E65" w:rsidP="003B21B0">
      <w:pPr>
        <w:pStyle w:val="Notedebasdepage"/>
        <w:ind w:left="0" w:firstLine="0"/>
      </w:pPr>
      <w:r w:rsidRPr="00A273AC">
        <w:rPr>
          <w:rStyle w:val="Appelnotedebasdep"/>
        </w:rPr>
        <w:footnoteRef/>
      </w:r>
      <w:r w:rsidRPr="00A273AC">
        <w:t xml:space="preserve"> C.c.Q., art. 1621 al. 2 et </w:t>
      </w:r>
      <w:r w:rsidRPr="00B85FA2">
        <w:t>Daniel</w:t>
      </w:r>
      <w:r>
        <w:t xml:space="preserve"> GARDNER, préc. </w:t>
      </w:r>
      <w:r>
        <w:t xml:space="preserve">note </w:t>
      </w:r>
      <w:r>
        <w:fldChar w:fldCharType="begin"/>
      </w:r>
      <w:r>
        <w:instrText xml:space="preserve"> NOTEREF _Ref226366646 \h </w:instrText>
      </w:r>
      <w:r>
        <w:fldChar w:fldCharType="separate"/>
      </w:r>
      <w:r>
        <w:t>25</w:t>
      </w:r>
      <w:r>
        <w:fldChar w:fldCharType="end"/>
      </w:r>
      <w:r>
        <w:t>, par. 201-203, p. 258 et ss.</w:t>
      </w:r>
    </w:p>
  </w:footnote>
  <w:footnote w:id="76">
    <w:p w14:paraId="6FCCA994" w14:textId="77777777" w:rsidR="00DF4E65" w:rsidRPr="00BA5FED" w:rsidRDefault="00DF4E65" w:rsidP="00176F4E">
      <w:pPr>
        <w:pStyle w:val="Notedebasdepage"/>
        <w:rPr>
          <w:rFonts w:cs="Arial"/>
        </w:rPr>
      </w:pPr>
      <w:r w:rsidRPr="00BA5FED">
        <w:rPr>
          <w:rStyle w:val="Appelnotedebasdep"/>
          <w:rFonts w:cs="Arial"/>
        </w:rPr>
        <w:footnoteRef/>
      </w:r>
      <w:r w:rsidRPr="00BA5FED">
        <w:rPr>
          <w:rFonts w:cs="Arial"/>
        </w:rPr>
        <w:t xml:space="preserve"> </w:t>
      </w:r>
      <w:r w:rsidRPr="00BA5FED">
        <w:rPr>
          <w:rFonts w:cs="Arial"/>
          <w:i/>
          <w:iCs/>
        </w:rPr>
        <w:t>Charte des droits et libertés de la personne</w:t>
      </w:r>
      <w:r w:rsidRPr="00BA5FED">
        <w:rPr>
          <w:rFonts w:cs="Arial"/>
        </w:rPr>
        <w:t>,</w:t>
      </w:r>
      <w:r>
        <w:rPr>
          <w:rFonts w:cs="Arial"/>
        </w:rPr>
        <w:t xml:space="preserve"> précité note </w:t>
      </w:r>
      <w:r>
        <w:rPr>
          <w:rFonts w:cs="Arial"/>
        </w:rPr>
        <w:fldChar w:fldCharType="begin"/>
      </w:r>
      <w:r>
        <w:rPr>
          <w:rFonts w:cs="Arial"/>
        </w:rPr>
        <w:instrText xml:space="preserve"> NOTEREF _Ref226366530 \h </w:instrText>
      </w:r>
      <w:r>
        <w:rPr>
          <w:rFonts w:cs="Arial"/>
        </w:rPr>
      </w:r>
      <w:r>
        <w:rPr>
          <w:rFonts w:cs="Arial"/>
        </w:rPr>
        <w:fldChar w:fldCharType="separate"/>
      </w:r>
      <w:r>
        <w:rPr>
          <w:rFonts w:cs="Arial"/>
        </w:rPr>
        <w:t>68</w:t>
      </w:r>
      <w:r>
        <w:rPr>
          <w:rFonts w:cs="Arial"/>
        </w:rPr>
        <w:fldChar w:fldCharType="end"/>
      </w:r>
      <w:r>
        <w:rPr>
          <w:rFonts w:cs="Arial"/>
        </w:rPr>
        <w:t>,</w:t>
      </w:r>
      <w:r w:rsidRPr="00BA5FED">
        <w:rPr>
          <w:rFonts w:cs="Arial"/>
        </w:rPr>
        <w:t xml:space="preserve"> articles</w:t>
      </w:r>
      <w:r>
        <w:rPr>
          <w:rFonts w:cs="Arial"/>
        </w:rPr>
        <w:t> </w:t>
      </w:r>
      <w:r w:rsidRPr="00BA5FED">
        <w:rPr>
          <w:rFonts w:cs="Arial"/>
        </w:rPr>
        <w:t>1 et 4.</w:t>
      </w:r>
    </w:p>
  </w:footnote>
  <w:footnote w:id="77">
    <w:p w14:paraId="19928389" w14:textId="77777777" w:rsidR="00DF4E65" w:rsidRPr="00F706AA" w:rsidRDefault="00DF4E65" w:rsidP="00386BB4">
      <w:pPr>
        <w:pStyle w:val="Notedebasdepage"/>
        <w:ind w:left="142" w:hanging="142"/>
        <w:rPr>
          <w:rFonts w:cs="Arial"/>
        </w:rPr>
      </w:pPr>
      <w:r w:rsidRPr="00F706AA">
        <w:rPr>
          <w:rStyle w:val="Appelnotedebasdep"/>
          <w:rFonts w:cs="Arial"/>
        </w:rPr>
        <w:footnoteRef/>
      </w:r>
      <w:r w:rsidRPr="00F706AA">
        <w:rPr>
          <w:rFonts w:cs="Arial"/>
        </w:rPr>
        <w:t xml:space="preserve"> Pièce P-56, page 1 : J.C. écrit à M.C. le 26 décembre 2015 « Je te souhaite de joyeuses fêtes mais je n’accepterai pas ton invitation sur Facebook, pas la peine d’inciter. » ; pièce P-57, page 1 : J.C. écrit à </w:t>
      </w:r>
      <w:r w:rsidRPr="00F706AA">
        <w:rPr>
          <w:rFonts w:cs="Arial"/>
          <w:i/>
          <w:iCs/>
        </w:rPr>
        <w:t>Utilisateur Facebook</w:t>
      </w:r>
      <w:r w:rsidRPr="00F706AA">
        <w:rPr>
          <w:rFonts w:cs="Arial"/>
        </w:rPr>
        <w:t>, qu’on comprend être M.C., le 4 février 2016 « Vous voulez quoi au juste ? J’ai encore reçu l’invitation de Danielle. […] Maintenant que j’ai répondu merci de respecter mon choix et de ne plus m’écrire. » ; Pièce P-58.</w:t>
      </w:r>
    </w:p>
  </w:footnote>
  <w:footnote w:id="78">
    <w:p w14:paraId="24CCE07C" w14:textId="77777777" w:rsidR="00DF4E65" w:rsidRPr="00F706AA" w:rsidRDefault="00DF4E65" w:rsidP="00176F4E">
      <w:pPr>
        <w:pStyle w:val="Notedebasdepage"/>
        <w:ind w:left="142" w:hanging="142"/>
        <w:rPr>
          <w:rFonts w:cs="Arial"/>
        </w:rPr>
      </w:pPr>
      <w:r w:rsidRPr="00BA5FED">
        <w:rPr>
          <w:rStyle w:val="Appelnotedebasdep"/>
          <w:rFonts w:cs="Arial"/>
        </w:rPr>
        <w:footnoteRef/>
      </w:r>
      <w:r w:rsidRPr="00BA5FED">
        <w:rPr>
          <w:rFonts w:cs="Arial"/>
        </w:rPr>
        <w:t xml:space="preserve"> </w:t>
      </w:r>
      <w:r w:rsidRPr="00F706AA">
        <w:rPr>
          <w:rFonts w:cs="Arial"/>
        </w:rPr>
        <w:t xml:space="preserve">Pièce P-57, page 1 : </w:t>
      </w:r>
      <w:r w:rsidRPr="00F706AA">
        <w:rPr>
          <w:rFonts w:cs="Arial"/>
          <w:i/>
          <w:iCs/>
        </w:rPr>
        <w:t>Utilisateur Facebook</w:t>
      </w:r>
      <w:r w:rsidRPr="00F706AA">
        <w:rPr>
          <w:rFonts w:cs="Arial"/>
        </w:rPr>
        <w:t>, qu’on comprend être M.C., écrit à J.C. le 28 juillet 2015 « bonne journée, j’espère que tu vas bien, je t’aime. », le 4 septembre 2015 « tu as de beaux enfants, félicitations. » ; Pièce P-58, page 1 : Danielle Dionne, qu’on comprend être M.C., écrit à J.C. le 15 juillet 2016 : « TU EST TRES JOLIE, TU RESSEMBLE A UNE ACTRICE. » ainsi que le témoignage de M.C. le 24 septembre 2025, 11 h 10 ; Pièce P-54, page 9 : M.C., via le compte de sa sœur F.C. écrit le 31 décembre 2017 « Tu sais il faut tourner la page » ; Pièce P-57, page 3 :</w:t>
      </w:r>
      <w:r w:rsidRPr="00F706AA">
        <w:rPr>
          <w:rFonts w:cs="Arial"/>
          <w:i/>
          <w:iCs/>
        </w:rPr>
        <w:t xml:space="preserve"> Utilisateur Facebook</w:t>
      </w:r>
      <w:r w:rsidRPr="00F706AA">
        <w:rPr>
          <w:rFonts w:cs="Arial"/>
        </w:rPr>
        <w:t>, qu’on comprend être M.C., écrit à J.C. le 1</w:t>
      </w:r>
      <w:r w:rsidRPr="00F706AA">
        <w:rPr>
          <w:rFonts w:cs="Arial"/>
          <w:vertAlign w:val="superscript"/>
        </w:rPr>
        <w:t>er</w:t>
      </w:r>
      <w:r w:rsidRPr="00F706AA">
        <w:rPr>
          <w:rFonts w:cs="Arial"/>
        </w:rPr>
        <w:t> janvier 2019 « Très belles photos… ».</w:t>
      </w:r>
    </w:p>
  </w:footnote>
  <w:footnote w:id="79">
    <w:p w14:paraId="62CCB3FC" w14:textId="77777777" w:rsidR="00DF4E65" w:rsidRPr="00F706AA" w:rsidRDefault="00DF4E65" w:rsidP="00D73BA7">
      <w:pPr>
        <w:pStyle w:val="Notedebasdepage"/>
        <w:ind w:left="142" w:hanging="142"/>
        <w:rPr>
          <w:rFonts w:cs="Arial"/>
        </w:rPr>
      </w:pPr>
      <w:r w:rsidRPr="00F706AA">
        <w:rPr>
          <w:rStyle w:val="Appelnotedebasdep"/>
          <w:rFonts w:cs="Arial"/>
        </w:rPr>
        <w:footnoteRef/>
      </w:r>
      <w:r w:rsidRPr="00F706AA">
        <w:rPr>
          <w:rFonts w:cs="Arial"/>
        </w:rPr>
        <w:t xml:space="preserve"> Voir </w:t>
      </w:r>
      <w:r w:rsidRPr="00940533">
        <w:rPr>
          <w:rFonts w:cs="Arial"/>
          <w:i/>
          <w:iCs/>
        </w:rPr>
        <w:t>B</w:t>
      </w:r>
      <w:r w:rsidRPr="006012FC">
        <w:rPr>
          <w:rFonts w:cs="Arial"/>
        </w:rPr>
        <w:t xml:space="preserve"> c. </w:t>
      </w:r>
      <w:r w:rsidRPr="00940533">
        <w:rPr>
          <w:rFonts w:cs="Arial"/>
          <w:i/>
          <w:iCs/>
        </w:rPr>
        <w:t>X</w:t>
      </w:r>
      <w:r w:rsidRPr="006012FC">
        <w:rPr>
          <w:rFonts w:cs="Arial"/>
        </w:rPr>
        <w:t>, 2024 QCCA 774</w:t>
      </w:r>
      <w:r w:rsidRPr="006012FC" w:rsidDel="006012FC">
        <w:rPr>
          <w:rFonts w:cs="Arial"/>
        </w:rPr>
        <w:t xml:space="preserve"> </w:t>
      </w:r>
      <w:r>
        <w:rPr>
          <w:rFonts w:cs="Arial"/>
        </w:rPr>
        <w:t xml:space="preserve">où la Cour d’appel a réduit de 75 000$ à 37 500$ la somme accordée à titre de dommages punitifs </w:t>
      </w:r>
      <w:r w:rsidRPr="00F706AA">
        <w:rPr>
          <w:rFonts w:cs="Arial"/>
        </w:rPr>
        <w:t xml:space="preserve">dans le contexte de gestes incestueux répétés sur une personne mineure pendant 2 ans ; </w:t>
      </w:r>
      <w:r w:rsidRPr="00F706AA">
        <w:rPr>
          <w:rFonts w:cs="Arial"/>
          <w:i/>
          <w:iCs/>
        </w:rPr>
        <w:t>Bolduc</w:t>
      </w:r>
      <w:r w:rsidRPr="00F706AA">
        <w:rPr>
          <w:rFonts w:cs="Arial"/>
        </w:rPr>
        <w:t xml:space="preserve"> c. </w:t>
      </w:r>
      <w:r w:rsidRPr="00F706AA">
        <w:rPr>
          <w:rFonts w:cs="Arial"/>
          <w:i/>
          <w:iCs/>
        </w:rPr>
        <w:t>Leclerc</w:t>
      </w:r>
      <w:r w:rsidRPr="00F706AA">
        <w:rPr>
          <w:rFonts w:cs="Arial"/>
        </w:rPr>
        <w:t xml:space="preserve">, 2022 QCCS 3238, 25 000 $ dans le contexte d’actes d’agression sexuelle sur une personne mineure entre ses 10 et 17 ans ; </w:t>
      </w:r>
      <w:r w:rsidRPr="00F706AA">
        <w:rPr>
          <w:rFonts w:cs="Arial"/>
          <w:i/>
          <w:iCs/>
        </w:rPr>
        <w:t xml:space="preserve">M. B.-C. c. L. H., </w:t>
      </w:r>
      <w:r w:rsidRPr="00F706AA">
        <w:rPr>
          <w:rFonts w:cs="Arial"/>
        </w:rPr>
        <w:t>2005 QCCS 9514, 25 000 $ dans le cadre d’agression</w:t>
      </w:r>
      <w:r>
        <w:rPr>
          <w:rFonts w:cs="Arial"/>
        </w:rPr>
        <w:t>s</w:t>
      </w:r>
      <w:r w:rsidRPr="00F706AA">
        <w:rPr>
          <w:rFonts w:cs="Arial"/>
        </w:rPr>
        <w:t xml:space="preserve"> sexuelle</w:t>
      </w:r>
      <w:r>
        <w:rPr>
          <w:rFonts w:cs="Arial"/>
        </w:rPr>
        <w:t>s</w:t>
      </w:r>
      <w:r w:rsidRPr="00F706AA">
        <w:rPr>
          <w:rFonts w:cs="Arial"/>
        </w:rPr>
        <w:t xml:space="preserve"> multiple</w:t>
      </w:r>
      <w:r>
        <w:rPr>
          <w:rFonts w:cs="Arial"/>
        </w:rPr>
        <w:t>s</w:t>
      </w:r>
      <w:r w:rsidRPr="00F706AA">
        <w:rPr>
          <w:rFonts w:cs="Arial"/>
        </w:rPr>
        <w:t xml:space="preserve"> </w:t>
      </w:r>
      <w:r>
        <w:rPr>
          <w:rFonts w:cs="Arial"/>
        </w:rPr>
        <w:t xml:space="preserve">commises </w:t>
      </w:r>
      <w:r w:rsidRPr="00F706AA">
        <w:rPr>
          <w:rFonts w:cs="Arial"/>
        </w:rPr>
        <w:t>par un oncle sur une personne mineure.</w:t>
      </w:r>
    </w:p>
  </w:footnote>
  <w:footnote w:id="80">
    <w:p w14:paraId="6221BA90" w14:textId="77777777" w:rsidR="00DF4E65" w:rsidRPr="004A54FD" w:rsidRDefault="00DF4E65" w:rsidP="00D73BA7">
      <w:pPr>
        <w:pStyle w:val="Notedebasdepage"/>
        <w:rPr>
          <w:rFonts w:cs="Arial"/>
        </w:rPr>
      </w:pPr>
      <w:r w:rsidRPr="00F706AA">
        <w:rPr>
          <w:rStyle w:val="Appelnotedebasdep"/>
          <w:rFonts w:cs="Arial"/>
        </w:rPr>
        <w:footnoteRef/>
      </w:r>
      <w:r w:rsidRPr="00F706AA">
        <w:rPr>
          <w:rFonts w:cs="Arial"/>
          <w:lang w:val="en-CA"/>
        </w:rPr>
        <w:t xml:space="preserve"> </w:t>
      </w:r>
      <w:r w:rsidRPr="00F706AA">
        <w:rPr>
          <w:rFonts w:cs="Arial"/>
          <w:i/>
          <w:iCs/>
          <w:lang w:val="en-CA"/>
        </w:rPr>
        <w:t>R.</w:t>
      </w:r>
      <w:r w:rsidRPr="00F706AA">
        <w:rPr>
          <w:rFonts w:cs="Arial"/>
          <w:lang w:val="en-CA"/>
        </w:rPr>
        <w:t xml:space="preserve"> c. </w:t>
      </w:r>
      <w:r w:rsidRPr="00F706AA">
        <w:rPr>
          <w:rFonts w:cs="Arial"/>
          <w:i/>
          <w:iCs/>
          <w:lang w:val="en-CA"/>
        </w:rPr>
        <w:t>Friesen</w:t>
      </w:r>
      <w:r w:rsidRPr="00F706AA">
        <w:rPr>
          <w:rFonts w:cs="Arial"/>
          <w:lang w:val="en-CA"/>
        </w:rPr>
        <w:t xml:space="preserve">, 2020 CSC 9, para. </w:t>
      </w:r>
      <w:r w:rsidRPr="004A54FD">
        <w:rPr>
          <w:rFonts w:cs="Arial"/>
        </w:rPr>
        <w:t>5.</w:t>
      </w:r>
    </w:p>
  </w:footnote>
  <w:footnote w:id="81">
    <w:p w14:paraId="42FF155B" w14:textId="77777777" w:rsidR="00DF4E65" w:rsidRPr="00F706AA" w:rsidRDefault="00DF4E65" w:rsidP="005636B6">
      <w:pPr>
        <w:pStyle w:val="Notedebasdepage"/>
      </w:pPr>
      <w:r w:rsidRPr="00506263">
        <w:rPr>
          <w:rStyle w:val="Appelnotedebasdep"/>
          <w:rFonts w:cs="Arial"/>
        </w:rPr>
        <w:footnoteRef/>
      </w:r>
      <w:r w:rsidRPr="004A54FD">
        <w:rPr>
          <w:rFonts w:cs="Arial"/>
        </w:rPr>
        <w:t xml:space="preserve"> </w:t>
      </w:r>
      <w:r w:rsidRPr="004A54FD">
        <w:rPr>
          <w:rFonts w:cs="Arial"/>
          <w:i/>
          <w:iCs/>
        </w:rPr>
        <w:t xml:space="preserve">Assouline </w:t>
      </w:r>
      <w:r w:rsidRPr="004A54FD">
        <w:rPr>
          <w:rFonts w:cs="Arial"/>
        </w:rPr>
        <w:t xml:space="preserve">c. </w:t>
      </w:r>
      <w:r w:rsidRPr="004A54FD">
        <w:rPr>
          <w:rFonts w:cs="Arial"/>
          <w:i/>
          <w:iCs/>
        </w:rPr>
        <w:t>Unfasung</w:t>
      </w:r>
      <w:r w:rsidRPr="004A54FD">
        <w:rPr>
          <w:rFonts w:cs="Arial"/>
        </w:rPr>
        <w:t xml:space="preserve">, 2013 QCCA 534, para. </w:t>
      </w:r>
      <w:r w:rsidRPr="00F706AA">
        <w:rPr>
          <w:rFonts w:cs="Arial"/>
        </w:rPr>
        <w:t>5.</w:t>
      </w:r>
    </w:p>
  </w:footnote>
  <w:footnote w:id="82">
    <w:p w14:paraId="4EE3253D" w14:textId="77777777" w:rsidR="00DF4E65" w:rsidRPr="00A505E9" w:rsidRDefault="00DF4E65" w:rsidP="005636B6">
      <w:pPr>
        <w:pStyle w:val="Notedebasdepage"/>
        <w:ind w:left="142" w:hanging="142"/>
        <w:rPr>
          <w:rFonts w:cs="Arial"/>
        </w:rPr>
      </w:pPr>
      <w:r w:rsidRPr="00A505E9">
        <w:rPr>
          <w:rStyle w:val="Appelnotedebasdep"/>
          <w:rFonts w:cs="Arial"/>
        </w:rPr>
        <w:footnoteRef/>
      </w:r>
      <w:r>
        <w:rPr>
          <w:rFonts w:cs="Arial"/>
        </w:rPr>
        <w:t xml:space="preserve"> </w:t>
      </w:r>
      <w:r w:rsidRPr="00A505E9">
        <w:rPr>
          <w:rFonts w:cs="Arial"/>
        </w:rPr>
        <w:t>Journal des débats de l’Assemblé</w:t>
      </w:r>
      <w:r>
        <w:rPr>
          <w:rFonts w:cs="Arial"/>
        </w:rPr>
        <w:t>e</w:t>
      </w:r>
      <w:r w:rsidRPr="00A505E9">
        <w:rPr>
          <w:rFonts w:cs="Arial"/>
        </w:rPr>
        <w:t xml:space="preserve"> nationale du Québec relatifs au Projet de loi N</w:t>
      </w:r>
      <w:r>
        <w:rPr>
          <w:rFonts w:cs="Arial"/>
        </w:rPr>
        <w:t> </w:t>
      </w:r>
      <w:r w:rsidRPr="00A505E9">
        <w:rPr>
          <w:rFonts w:cs="Arial"/>
        </w:rPr>
        <w:t>73 en date du 20</w:t>
      </w:r>
      <w:r>
        <w:rPr>
          <w:rFonts w:cs="Arial"/>
        </w:rPr>
        <w:t> </w:t>
      </w:r>
      <w:r w:rsidRPr="00A505E9">
        <w:rPr>
          <w:rFonts w:cs="Arial"/>
        </w:rPr>
        <w:t>novembre 2024, page</w:t>
      </w:r>
      <w:r>
        <w:rPr>
          <w:rFonts w:cs="Arial"/>
        </w:rPr>
        <w:t> </w:t>
      </w:r>
      <w:r w:rsidRPr="00A505E9">
        <w:rPr>
          <w:rFonts w:cs="Arial"/>
        </w:rPr>
        <w:t>16 et 17.</w:t>
      </w:r>
    </w:p>
  </w:footnote>
  <w:footnote w:id="83">
    <w:p w14:paraId="7B18858D" w14:textId="77777777" w:rsidR="00DF4E65" w:rsidRPr="004A54FD" w:rsidRDefault="00DF4E65" w:rsidP="008C0884">
      <w:pPr>
        <w:pStyle w:val="Notedebasdepage"/>
      </w:pPr>
      <w:r>
        <w:rPr>
          <w:rStyle w:val="Appelnotedebasdep"/>
        </w:rPr>
        <w:footnoteRef/>
      </w:r>
      <w:r w:rsidRPr="004A54FD">
        <w:t xml:space="preserve"> Art. 32 LAPVIC.</w:t>
      </w:r>
    </w:p>
  </w:footnote>
  <w:footnote w:id="84">
    <w:p w14:paraId="76C85DBE" w14:textId="77777777" w:rsidR="00DF4E65" w:rsidRDefault="00DF4E65">
      <w:pPr>
        <w:pStyle w:val="Notedebasdepage"/>
      </w:pPr>
      <w:r>
        <w:rPr>
          <w:rStyle w:val="Appelnotedebasdep"/>
        </w:rPr>
        <w:footnoteRef/>
      </w:r>
      <w:r>
        <w:t xml:space="preserve"> </w:t>
      </w:r>
      <w:r w:rsidRPr="00FE2BE7">
        <w:t>Pièces PGQ-1, PGQ-2 et PGQ-3.</w:t>
      </w:r>
    </w:p>
  </w:footnote>
  <w:footnote w:id="85">
    <w:p w14:paraId="7FC13509" w14:textId="77777777" w:rsidR="00DF4E65" w:rsidRPr="00FE2BE7" w:rsidRDefault="00DF4E65" w:rsidP="00411532">
      <w:pPr>
        <w:pStyle w:val="Notedebasdepage"/>
      </w:pPr>
      <w:r>
        <w:rPr>
          <w:rStyle w:val="Appelnotedebasdep"/>
        </w:rPr>
        <w:footnoteRef/>
      </w:r>
      <w:r w:rsidRPr="00FE2BE7">
        <w:t xml:space="preserve"> Art. 33 LAPVIC</w:t>
      </w:r>
    </w:p>
  </w:footnote>
  <w:footnote w:id="86">
    <w:p w14:paraId="321C9394" w14:textId="77777777" w:rsidR="00DF4E65" w:rsidRPr="004A54FD" w:rsidRDefault="00DF4E65">
      <w:pPr>
        <w:pStyle w:val="Notedebasdepage"/>
      </w:pPr>
      <w:r>
        <w:rPr>
          <w:rStyle w:val="Appelnotedebasdep"/>
        </w:rPr>
        <w:footnoteRef/>
      </w:r>
      <w:r w:rsidRPr="004A54FD">
        <w:t xml:space="preserve"> Art. 32 LAPVIC</w:t>
      </w:r>
    </w:p>
  </w:footnote>
  <w:footnote w:id="87">
    <w:p w14:paraId="0D56719B" w14:textId="77777777" w:rsidR="00DF4E65" w:rsidRPr="005E5262" w:rsidRDefault="00DF4E65" w:rsidP="008C0884">
      <w:pPr>
        <w:pStyle w:val="Notedebasdepage"/>
      </w:pPr>
      <w:r>
        <w:rPr>
          <w:rStyle w:val="Appelnotedebasdep"/>
        </w:rPr>
        <w:footnoteRef/>
      </w:r>
      <w:r>
        <w:t xml:space="preserve"> </w:t>
      </w:r>
      <w:r>
        <w:tab/>
        <w:t xml:space="preserve">Daniel GARDNER, préc. </w:t>
      </w:r>
      <w:r>
        <w:t xml:space="preserve">note </w:t>
      </w:r>
      <w:r>
        <w:fldChar w:fldCharType="begin"/>
      </w:r>
      <w:r>
        <w:instrText xml:space="preserve"> NOTEREF _Ref226366646 \h </w:instrText>
      </w:r>
      <w:r>
        <w:fldChar w:fldCharType="separate"/>
      </w:r>
      <w:r>
        <w:t>25</w:t>
      </w:r>
      <w:r>
        <w:fldChar w:fldCharType="end"/>
      </w:r>
      <w:r>
        <w:t xml:space="preserve">, par. 324, p. 414. </w:t>
      </w:r>
    </w:p>
  </w:footnote>
  <w:footnote w:id="88">
    <w:p w14:paraId="4850FCCF" w14:textId="77777777" w:rsidR="00DF4E65" w:rsidRDefault="00DF4E65" w:rsidP="008C0884">
      <w:pPr>
        <w:pStyle w:val="Notedebasdepage"/>
      </w:pPr>
      <w:r>
        <w:rPr>
          <w:rStyle w:val="Appelnotedebasdep"/>
        </w:rPr>
        <w:footnoteRef/>
      </w:r>
      <w:r>
        <w:t xml:space="preserve"> </w:t>
      </w:r>
      <w:r>
        <w:tab/>
        <w:t>Art. 36 à 41 de la LAPVIC</w:t>
      </w:r>
    </w:p>
  </w:footnote>
  <w:footnote w:id="89">
    <w:p w14:paraId="65FF5F33" w14:textId="77777777" w:rsidR="00DF4E65" w:rsidRPr="00C14CF6" w:rsidRDefault="00DF4E65" w:rsidP="005636B6">
      <w:pPr>
        <w:pStyle w:val="Notedebasdepage"/>
      </w:pPr>
      <w:r>
        <w:rPr>
          <w:rStyle w:val="Appelnotedebasdep"/>
        </w:rPr>
        <w:footnoteRef/>
      </w:r>
      <w:r w:rsidRPr="00C14CF6">
        <w:t xml:space="preserve"> </w:t>
      </w:r>
      <w:r w:rsidRPr="00C14CF6">
        <w:tab/>
        <w:t>Id., par. 161, p. 214.</w:t>
      </w:r>
    </w:p>
  </w:footnote>
  <w:footnote w:id="90">
    <w:p w14:paraId="10F404BE" w14:textId="77777777" w:rsidR="00DF4E65" w:rsidRDefault="00DF4E65">
      <w:pPr>
        <w:pStyle w:val="Notedebasdepage"/>
      </w:pPr>
      <w:r>
        <w:rPr>
          <w:rStyle w:val="Appelnotedebasdep"/>
        </w:rPr>
        <w:footnoteRef/>
      </w:r>
      <w:r>
        <w:t xml:space="preserve"> PGQ-4</w:t>
      </w:r>
    </w:p>
  </w:footnote>
  <w:footnote w:id="91">
    <w:p w14:paraId="7C669EFF" w14:textId="77777777" w:rsidR="00DF4E65" w:rsidRDefault="00DF4E65">
      <w:pPr>
        <w:pStyle w:val="Notedebasdepage"/>
      </w:pPr>
      <w:r>
        <w:rPr>
          <w:rStyle w:val="Appelnotedebasdep"/>
        </w:rPr>
        <w:footnoteRef/>
      </w:r>
      <w:r>
        <w:t xml:space="preserve"> PGQ-5</w:t>
      </w:r>
    </w:p>
  </w:footnote>
  <w:footnote w:id="92">
    <w:p w14:paraId="07EEA2C3" w14:textId="77777777" w:rsidR="00DF4E65" w:rsidRPr="00133EC7" w:rsidRDefault="00DF4E65" w:rsidP="00AE0D42">
      <w:pPr>
        <w:pStyle w:val="Notedebasdepage"/>
      </w:pPr>
      <w:r>
        <w:rPr>
          <w:rStyle w:val="Appelnotedebasdep"/>
        </w:rPr>
        <w:footnoteRef/>
      </w:r>
      <w:r>
        <w:t xml:space="preserve"> </w:t>
      </w:r>
      <w:r w:rsidRPr="00133EC7">
        <w:t xml:space="preserve">Jean-Louis BAUDOUIN, Patrice DESLAURIERS et Benoît MOORE, </w:t>
      </w:r>
      <w:r>
        <w:t xml:space="preserve">préc. </w:t>
      </w:r>
      <w:r>
        <w:t xml:space="preserve">note </w:t>
      </w:r>
      <w:r>
        <w:fldChar w:fldCharType="begin"/>
      </w:r>
      <w:r>
        <w:instrText xml:space="preserve"> NOTEREF _Ref226367176 \h </w:instrText>
      </w:r>
      <w:r>
        <w:fldChar w:fldCharType="separate"/>
      </w:r>
      <w:r>
        <w:t>29</w:t>
      </w:r>
      <w:r>
        <w:fldChar w:fldCharType="end"/>
      </w:r>
      <w:r>
        <w:t xml:space="preserve">, </w:t>
      </w:r>
      <w:r w:rsidRPr="00133EC7">
        <w:t>par. 1-1128</w:t>
      </w:r>
      <w:r>
        <w:t>.</w:t>
      </w:r>
      <w:r w:rsidRPr="00133EC7">
        <w:t xml:space="preserve"> </w:t>
      </w:r>
    </w:p>
  </w:footnote>
  <w:footnote w:id="93">
    <w:p w14:paraId="68E6CBB5" w14:textId="77777777" w:rsidR="00DF4E65" w:rsidRDefault="00DF4E65">
      <w:pPr>
        <w:pStyle w:val="Notedebasdepage"/>
      </w:pPr>
      <w:r>
        <w:rPr>
          <w:rStyle w:val="Appelnotedebasdep"/>
        </w:rPr>
        <w:footnoteRef/>
      </w:r>
      <w:r>
        <w:t xml:space="preserve"> L’article 1 LAPVIC se lit ainsi :</w:t>
      </w:r>
    </w:p>
    <w:p w14:paraId="7921D9C8" w14:textId="77777777" w:rsidR="00DF4E65" w:rsidRPr="001510D2" w:rsidRDefault="00DF4E65" w:rsidP="00DF4E65">
      <w:pPr>
        <w:pStyle w:val="Notedebasdepage"/>
        <w:numPr>
          <w:ilvl w:val="0"/>
          <w:numId w:val="54"/>
        </w:numPr>
        <w:ind w:left="426" w:right="857" w:firstLine="0"/>
        <w:rPr>
          <w:u w:val="single"/>
        </w:rPr>
      </w:pPr>
      <w:r>
        <w:t xml:space="preserve">La présente loi vise </w:t>
      </w:r>
      <w:r w:rsidRPr="00C73D30">
        <w:t xml:space="preserve">à reconnaître les droits des personnes victimes d’une infraction criminelle </w:t>
      </w:r>
      <w:r w:rsidRPr="001510D2">
        <w:rPr>
          <w:u w:val="single"/>
        </w:rPr>
        <w:t>et à mettre en place des mesures pour répondre à leurs besoins dans le but de favoriser leur rétablissement</w:t>
      </w:r>
      <w:r w:rsidRPr="00C73D30">
        <w:t xml:space="preserve">. À cette fin, elle établit </w:t>
      </w:r>
      <w:r w:rsidRPr="001510D2">
        <w:rPr>
          <w:u w:val="single"/>
        </w:rPr>
        <w:t>un régime d’aide leur permettant d’obtenir un soutien adéquat et cohérent avec les autres régimes répondant à leurs besoins</w:t>
      </w:r>
      <w:r w:rsidRPr="00C73D30">
        <w:t xml:space="preserve">, notamment en leur donnant droit à des services efficaces, justes et impartiaux </w:t>
      </w:r>
      <w:r w:rsidRPr="001510D2">
        <w:rPr>
          <w:u w:val="single"/>
        </w:rPr>
        <w:t>et à de l’aide financière</w:t>
      </w:r>
      <w:r w:rsidRPr="00761F2D">
        <w:t>.</w:t>
      </w:r>
      <w:r>
        <w:t xml:space="preserve"> (Soulignements ajoutés)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6F9" w14:textId="7EE8B98F" w:rsidR="00DC7F0F" w:rsidRDefault="007E0486">
    <w:pPr>
      <w:tabs>
        <w:tab w:val="center" w:pos="4709"/>
        <w:tab w:val="right" w:pos="9360"/>
      </w:tabs>
      <w:ind w:right="524"/>
    </w:pPr>
    <w:r>
      <w:t>50</w:t>
    </w:r>
    <w:r w:rsidR="001D18DF">
      <w:t>5-17-013869-237</w:t>
    </w:r>
    <w:r w:rsidR="00DC7F0F">
      <w:tab/>
    </w:r>
    <w:r w:rsidR="00DC7F0F">
      <w:tab/>
      <w:t xml:space="preserve">PAGE : </w:t>
    </w:r>
    <w:r w:rsidR="00DC7F0F">
      <w:fldChar w:fldCharType="begin"/>
    </w:r>
    <w:r w:rsidR="00DC7F0F">
      <w:instrText xml:space="preserve"> PAGE </w:instrText>
    </w:r>
    <w:r w:rsidR="00DC7F0F">
      <w:fldChar w:fldCharType="separate"/>
    </w:r>
    <w:r w:rsidR="004C5E30">
      <w:rPr>
        <w:noProof/>
      </w:rPr>
      <w:t>2</w:t>
    </w:r>
    <w:r w:rsidR="00DC7F0F">
      <w:fldChar w:fldCharType="end"/>
    </w:r>
  </w:p>
  <w:p w14:paraId="5427AA05" w14:textId="77777777" w:rsidR="00DC7F0F" w:rsidRDefault="00DC7F0F">
    <w:pPr>
      <w:tabs>
        <w:tab w:val="center" w:pos="4709"/>
        <w:tab w:val="right" w:pos="9090"/>
      </w:tabs>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D79A" w14:textId="77777777" w:rsidR="00DF4E65" w:rsidRDefault="00DF4E65">
    <w:pPr>
      <w:tabs>
        <w:tab w:val="center" w:pos="4709"/>
        <w:tab w:val="right" w:pos="9360"/>
      </w:tabs>
      <w:ind w:right="524"/>
    </w:pPr>
    <w:r>
      <w:t>505-17-013869-237</w:t>
    </w:r>
    <w:r>
      <w:tab/>
    </w:r>
    <w:r>
      <w:tab/>
      <w:t xml:space="preserve">PAGE : </w:t>
    </w:r>
    <w:r>
      <w:fldChar w:fldCharType="begin"/>
    </w:r>
    <w:r>
      <w:instrText xml:space="preserve"> PAGE </w:instrText>
    </w:r>
    <w:r>
      <w:fldChar w:fldCharType="separate"/>
    </w:r>
    <w:r>
      <w:rPr>
        <w:noProof/>
      </w:rPr>
      <w:t>3</w:t>
    </w:r>
    <w:r>
      <w:fldChar w:fldCharType="end"/>
    </w:r>
  </w:p>
  <w:p w14:paraId="5BD7F1DB" w14:textId="77777777" w:rsidR="00DF4E65" w:rsidRDefault="00DF4E65">
    <w:pPr>
      <w:tabs>
        <w:tab w:val="center" w:pos="4709"/>
        <w:tab w:val="right" w:pos="9090"/>
      </w:tabs>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B9B8" w14:textId="77777777" w:rsidR="00DF4E65" w:rsidRDefault="00DF4E65">
    <w:pPr>
      <w:pStyle w:val="En-tte"/>
    </w:pPr>
  </w:p>
  <w:p w14:paraId="48AE849C" w14:textId="77777777" w:rsidR="00DF4E65" w:rsidRDefault="00DF4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CC0"/>
    <w:multiLevelType w:val="hybridMultilevel"/>
    <w:tmpl w:val="54F828B8"/>
    <w:lvl w:ilvl="0" w:tplc="C598CB6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39463C4"/>
    <w:multiLevelType w:val="hybridMultilevel"/>
    <w:tmpl w:val="F4B68D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DD16FD"/>
    <w:multiLevelType w:val="hybridMultilevel"/>
    <w:tmpl w:val="4C5A794C"/>
    <w:lvl w:ilvl="0" w:tplc="EC1802E4">
      <w:start w:val="1"/>
      <w:numFmt w:val="decimal"/>
      <w:lvlText w:val="%1)"/>
      <w:lvlJc w:val="left"/>
      <w:pPr>
        <w:ind w:left="1092" w:hanging="360"/>
      </w:pPr>
      <w:rPr>
        <w:rFonts w:hint="default"/>
      </w:rPr>
    </w:lvl>
    <w:lvl w:ilvl="1" w:tplc="0C0C0019" w:tentative="1">
      <w:start w:val="1"/>
      <w:numFmt w:val="lowerLetter"/>
      <w:lvlText w:val="%2."/>
      <w:lvlJc w:val="left"/>
      <w:pPr>
        <w:ind w:left="1812" w:hanging="360"/>
      </w:pPr>
    </w:lvl>
    <w:lvl w:ilvl="2" w:tplc="0C0C001B" w:tentative="1">
      <w:start w:val="1"/>
      <w:numFmt w:val="lowerRoman"/>
      <w:lvlText w:val="%3."/>
      <w:lvlJc w:val="right"/>
      <w:pPr>
        <w:ind w:left="2532" w:hanging="180"/>
      </w:pPr>
    </w:lvl>
    <w:lvl w:ilvl="3" w:tplc="0C0C000F" w:tentative="1">
      <w:start w:val="1"/>
      <w:numFmt w:val="decimal"/>
      <w:lvlText w:val="%4."/>
      <w:lvlJc w:val="left"/>
      <w:pPr>
        <w:ind w:left="3252" w:hanging="360"/>
      </w:pPr>
    </w:lvl>
    <w:lvl w:ilvl="4" w:tplc="0C0C0019" w:tentative="1">
      <w:start w:val="1"/>
      <w:numFmt w:val="lowerLetter"/>
      <w:lvlText w:val="%5."/>
      <w:lvlJc w:val="left"/>
      <w:pPr>
        <w:ind w:left="3972" w:hanging="360"/>
      </w:pPr>
    </w:lvl>
    <w:lvl w:ilvl="5" w:tplc="0C0C001B" w:tentative="1">
      <w:start w:val="1"/>
      <w:numFmt w:val="lowerRoman"/>
      <w:lvlText w:val="%6."/>
      <w:lvlJc w:val="right"/>
      <w:pPr>
        <w:ind w:left="4692" w:hanging="180"/>
      </w:pPr>
    </w:lvl>
    <w:lvl w:ilvl="6" w:tplc="0C0C000F" w:tentative="1">
      <w:start w:val="1"/>
      <w:numFmt w:val="decimal"/>
      <w:lvlText w:val="%7."/>
      <w:lvlJc w:val="left"/>
      <w:pPr>
        <w:ind w:left="5412" w:hanging="360"/>
      </w:pPr>
    </w:lvl>
    <w:lvl w:ilvl="7" w:tplc="0C0C0019" w:tentative="1">
      <w:start w:val="1"/>
      <w:numFmt w:val="lowerLetter"/>
      <w:lvlText w:val="%8."/>
      <w:lvlJc w:val="left"/>
      <w:pPr>
        <w:ind w:left="6132" w:hanging="360"/>
      </w:pPr>
    </w:lvl>
    <w:lvl w:ilvl="8" w:tplc="0C0C001B" w:tentative="1">
      <w:start w:val="1"/>
      <w:numFmt w:val="lowerRoman"/>
      <w:lvlText w:val="%9."/>
      <w:lvlJc w:val="right"/>
      <w:pPr>
        <w:ind w:left="6852" w:hanging="180"/>
      </w:pPr>
    </w:lvl>
  </w:abstractNum>
  <w:abstractNum w:abstractNumId="3" w15:restartNumberingAfterBreak="0">
    <w:nsid w:val="0F556C9C"/>
    <w:multiLevelType w:val="hybridMultilevel"/>
    <w:tmpl w:val="E67EF4B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11B61AFD"/>
    <w:multiLevelType w:val="hybridMultilevel"/>
    <w:tmpl w:val="6B1EED5E"/>
    <w:lvl w:ilvl="0" w:tplc="BFFE0022">
      <w:start w:val="2"/>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175661AB"/>
    <w:multiLevelType w:val="hybridMultilevel"/>
    <w:tmpl w:val="4C5A794C"/>
    <w:lvl w:ilvl="0" w:tplc="EC1802E4">
      <w:start w:val="1"/>
      <w:numFmt w:val="decimal"/>
      <w:lvlText w:val="%1)"/>
      <w:lvlJc w:val="left"/>
      <w:pPr>
        <w:ind w:left="1092" w:hanging="360"/>
      </w:pPr>
      <w:rPr>
        <w:rFonts w:hint="default"/>
      </w:rPr>
    </w:lvl>
    <w:lvl w:ilvl="1" w:tplc="0C0C0019" w:tentative="1">
      <w:start w:val="1"/>
      <w:numFmt w:val="lowerLetter"/>
      <w:lvlText w:val="%2."/>
      <w:lvlJc w:val="left"/>
      <w:pPr>
        <w:ind w:left="1812" w:hanging="360"/>
      </w:pPr>
    </w:lvl>
    <w:lvl w:ilvl="2" w:tplc="0C0C001B" w:tentative="1">
      <w:start w:val="1"/>
      <w:numFmt w:val="lowerRoman"/>
      <w:lvlText w:val="%3."/>
      <w:lvlJc w:val="right"/>
      <w:pPr>
        <w:ind w:left="2532" w:hanging="180"/>
      </w:pPr>
    </w:lvl>
    <w:lvl w:ilvl="3" w:tplc="0C0C000F" w:tentative="1">
      <w:start w:val="1"/>
      <w:numFmt w:val="decimal"/>
      <w:lvlText w:val="%4."/>
      <w:lvlJc w:val="left"/>
      <w:pPr>
        <w:ind w:left="3252" w:hanging="360"/>
      </w:pPr>
    </w:lvl>
    <w:lvl w:ilvl="4" w:tplc="0C0C0019" w:tentative="1">
      <w:start w:val="1"/>
      <w:numFmt w:val="lowerLetter"/>
      <w:lvlText w:val="%5."/>
      <w:lvlJc w:val="left"/>
      <w:pPr>
        <w:ind w:left="3972" w:hanging="360"/>
      </w:pPr>
    </w:lvl>
    <w:lvl w:ilvl="5" w:tplc="0C0C001B" w:tentative="1">
      <w:start w:val="1"/>
      <w:numFmt w:val="lowerRoman"/>
      <w:lvlText w:val="%6."/>
      <w:lvlJc w:val="right"/>
      <w:pPr>
        <w:ind w:left="4692" w:hanging="180"/>
      </w:pPr>
    </w:lvl>
    <w:lvl w:ilvl="6" w:tplc="0C0C000F" w:tentative="1">
      <w:start w:val="1"/>
      <w:numFmt w:val="decimal"/>
      <w:lvlText w:val="%7."/>
      <w:lvlJc w:val="left"/>
      <w:pPr>
        <w:ind w:left="5412" w:hanging="360"/>
      </w:pPr>
    </w:lvl>
    <w:lvl w:ilvl="7" w:tplc="0C0C0019" w:tentative="1">
      <w:start w:val="1"/>
      <w:numFmt w:val="lowerLetter"/>
      <w:lvlText w:val="%8."/>
      <w:lvlJc w:val="left"/>
      <w:pPr>
        <w:ind w:left="6132" w:hanging="360"/>
      </w:pPr>
    </w:lvl>
    <w:lvl w:ilvl="8" w:tplc="0C0C001B" w:tentative="1">
      <w:start w:val="1"/>
      <w:numFmt w:val="lowerRoman"/>
      <w:lvlText w:val="%9."/>
      <w:lvlJc w:val="right"/>
      <w:pPr>
        <w:ind w:left="6852" w:hanging="180"/>
      </w:pPr>
    </w:lvl>
  </w:abstractNum>
  <w:abstractNum w:abstractNumId="6" w15:restartNumberingAfterBreak="0">
    <w:nsid w:val="184F4AD6"/>
    <w:multiLevelType w:val="hybridMultilevel"/>
    <w:tmpl w:val="C0D686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8EB3631"/>
    <w:multiLevelType w:val="hybridMultilevel"/>
    <w:tmpl w:val="1DE2D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8937A8"/>
    <w:multiLevelType w:val="multilevel"/>
    <w:tmpl w:val="BF5847AC"/>
    <w:lvl w:ilvl="0">
      <w:start w:val="1"/>
      <w:numFmt w:val="lowerLetter"/>
      <w:lvlText w:val="%1)"/>
      <w:lvlJc w:val="left"/>
      <w:pPr>
        <w:tabs>
          <w:tab w:val="num" w:pos="360"/>
        </w:tabs>
        <w:ind w:left="0" w:firstLine="0"/>
      </w:pPr>
      <w:rPr>
        <w:rFonts w:hint="default"/>
        <w:b w:val="0"/>
        <w:i w:val="0"/>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B886A8F"/>
    <w:multiLevelType w:val="hybridMultilevel"/>
    <w:tmpl w:val="21229008"/>
    <w:lvl w:ilvl="0" w:tplc="A56A585C">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E8D4666"/>
    <w:multiLevelType w:val="hybridMultilevel"/>
    <w:tmpl w:val="DA08F8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852AF2"/>
    <w:multiLevelType w:val="hybridMultilevel"/>
    <w:tmpl w:val="6204B46E"/>
    <w:lvl w:ilvl="0" w:tplc="C330B2AE">
      <w:start w:val="5"/>
      <w:numFmt w:val="bullet"/>
      <w:lvlText w:val="-"/>
      <w:lvlJc w:val="left"/>
      <w:pPr>
        <w:ind w:left="1091" w:hanging="360"/>
      </w:pPr>
      <w:rPr>
        <w:rFonts w:ascii="Arial" w:eastAsia="Times New Roman" w:hAnsi="Arial" w:cs="Arial" w:hint="default"/>
      </w:rPr>
    </w:lvl>
    <w:lvl w:ilvl="1" w:tplc="0C0C0003" w:tentative="1">
      <w:start w:val="1"/>
      <w:numFmt w:val="bullet"/>
      <w:lvlText w:val="o"/>
      <w:lvlJc w:val="left"/>
      <w:pPr>
        <w:ind w:left="1811" w:hanging="360"/>
      </w:pPr>
      <w:rPr>
        <w:rFonts w:ascii="Courier New" w:hAnsi="Courier New" w:cs="Courier New" w:hint="default"/>
      </w:rPr>
    </w:lvl>
    <w:lvl w:ilvl="2" w:tplc="0C0C0005" w:tentative="1">
      <w:start w:val="1"/>
      <w:numFmt w:val="bullet"/>
      <w:lvlText w:val=""/>
      <w:lvlJc w:val="left"/>
      <w:pPr>
        <w:ind w:left="2531" w:hanging="360"/>
      </w:pPr>
      <w:rPr>
        <w:rFonts w:ascii="Wingdings" w:hAnsi="Wingdings" w:hint="default"/>
      </w:rPr>
    </w:lvl>
    <w:lvl w:ilvl="3" w:tplc="0C0C0001" w:tentative="1">
      <w:start w:val="1"/>
      <w:numFmt w:val="bullet"/>
      <w:lvlText w:val=""/>
      <w:lvlJc w:val="left"/>
      <w:pPr>
        <w:ind w:left="3251" w:hanging="360"/>
      </w:pPr>
      <w:rPr>
        <w:rFonts w:ascii="Symbol" w:hAnsi="Symbol" w:hint="default"/>
      </w:rPr>
    </w:lvl>
    <w:lvl w:ilvl="4" w:tplc="0C0C0003" w:tentative="1">
      <w:start w:val="1"/>
      <w:numFmt w:val="bullet"/>
      <w:lvlText w:val="o"/>
      <w:lvlJc w:val="left"/>
      <w:pPr>
        <w:ind w:left="3971" w:hanging="360"/>
      </w:pPr>
      <w:rPr>
        <w:rFonts w:ascii="Courier New" w:hAnsi="Courier New" w:cs="Courier New" w:hint="default"/>
      </w:rPr>
    </w:lvl>
    <w:lvl w:ilvl="5" w:tplc="0C0C0005" w:tentative="1">
      <w:start w:val="1"/>
      <w:numFmt w:val="bullet"/>
      <w:lvlText w:val=""/>
      <w:lvlJc w:val="left"/>
      <w:pPr>
        <w:ind w:left="4691" w:hanging="360"/>
      </w:pPr>
      <w:rPr>
        <w:rFonts w:ascii="Wingdings" w:hAnsi="Wingdings" w:hint="default"/>
      </w:rPr>
    </w:lvl>
    <w:lvl w:ilvl="6" w:tplc="0C0C0001" w:tentative="1">
      <w:start w:val="1"/>
      <w:numFmt w:val="bullet"/>
      <w:lvlText w:val=""/>
      <w:lvlJc w:val="left"/>
      <w:pPr>
        <w:ind w:left="5411" w:hanging="360"/>
      </w:pPr>
      <w:rPr>
        <w:rFonts w:ascii="Symbol" w:hAnsi="Symbol" w:hint="default"/>
      </w:rPr>
    </w:lvl>
    <w:lvl w:ilvl="7" w:tplc="0C0C0003" w:tentative="1">
      <w:start w:val="1"/>
      <w:numFmt w:val="bullet"/>
      <w:lvlText w:val="o"/>
      <w:lvlJc w:val="left"/>
      <w:pPr>
        <w:ind w:left="6131" w:hanging="360"/>
      </w:pPr>
      <w:rPr>
        <w:rFonts w:ascii="Courier New" w:hAnsi="Courier New" w:cs="Courier New" w:hint="default"/>
      </w:rPr>
    </w:lvl>
    <w:lvl w:ilvl="8" w:tplc="0C0C0005" w:tentative="1">
      <w:start w:val="1"/>
      <w:numFmt w:val="bullet"/>
      <w:lvlText w:val=""/>
      <w:lvlJc w:val="left"/>
      <w:pPr>
        <w:ind w:left="6851" w:hanging="360"/>
      </w:pPr>
      <w:rPr>
        <w:rFonts w:ascii="Wingdings" w:hAnsi="Wingdings" w:hint="default"/>
      </w:rPr>
    </w:lvl>
  </w:abstractNum>
  <w:abstractNum w:abstractNumId="12" w15:restartNumberingAfterBreak="0">
    <w:nsid w:val="2713402E"/>
    <w:multiLevelType w:val="hybridMultilevel"/>
    <w:tmpl w:val="DAB613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8C245B4"/>
    <w:multiLevelType w:val="hybridMultilevel"/>
    <w:tmpl w:val="79AA0B92"/>
    <w:lvl w:ilvl="0" w:tplc="0C0C0019">
      <w:start w:val="1"/>
      <w:numFmt w:val="lowerLetter"/>
      <w:lvlText w:val="%1."/>
      <w:lvlJc w:val="left"/>
      <w:pPr>
        <w:ind w:left="927" w:hanging="360"/>
      </w:p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4" w15:restartNumberingAfterBreak="0">
    <w:nsid w:val="29B11B71"/>
    <w:multiLevelType w:val="multilevel"/>
    <w:tmpl w:val="78E43A60"/>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431"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5" w15:restartNumberingAfterBreak="0">
    <w:nsid w:val="29CB19A1"/>
    <w:multiLevelType w:val="hybridMultilevel"/>
    <w:tmpl w:val="F6664D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17" w15:restartNumberingAfterBreak="0">
    <w:nsid w:val="2AE83484"/>
    <w:multiLevelType w:val="hybridMultilevel"/>
    <w:tmpl w:val="D668F310"/>
    <w:lvl w:ilvl="0" w:tplc="0C0C0001">
      <w:start w:val="1"/>
      <w:numFmt w:val="bullet"/>
      <w:lvlText w:val=""/>
      <w:lvlJc w:val="left"/>
      <w:pPr>
        <w:ind w:left="1091"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1DE3E64"/>
    <w:multiLevelType w:val="multilevel"/>
    <w:tmpl w:val="888E4220"/>
    <w:lvl w:ilvl="0">
      <w:start w:val="1"/>
      <w:numFmt w:val="lowerLetter"/>
      <w:lvlText w:val="%1)"/>
      <w:lvlJc w:val="left"/>
      <w:pPr>
        <w:tabs>
          <w:tab w:val="num" w:pos="360"/>
        </w:tabs>
        <w:ind w:left="0" w:firstLine="0"/>
      </w:pPr>
      <w:rPr>
        <w:rFonts w:hint="default"/>
        <w:b w:val="0"/>
        <w:i w:val="0"/>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51A686D"/>
    <w:multiLevelType w:val="multilevel"/>
    <w:tmpl w:val="C2548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A4089"/>
    <w:multiLevelType w:val="multilevel"/>
    <w:tmpl w:val="F4EC8602"/>
    <w:lvl w:ilvl="0">
      <w:start w:val="5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657B2"/>
    <w:multiLevelType w:val="multilevel"/>
    <w:tmpl w:val="07A0E44A"/>
    <w:lvl w:ilvl="0">
      <w:start w:val="1"/>
      <w:numFmt w:val="decimal"/>
      <w:lvlText w:val="14.%1"/>
      <w:lvlJc w:val="left"/>
      <w:rPr>
        <w:rFonts w:ascii="Arial" w:eastAsia="Arial" w:hAnsi="Arial" w:cs="Arial"/>
        <w:b/>
        <w:bCs/>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41354"/>
    <w:multiLevelType w:val="hybridMultilevel"/>
    <w:tmpl w:val="F02C7FBC"/>
    <w:lvl w:ilvl="0" w:tplc="C330B2AE">
      <w:start w:val="5"/>
      <w:numFmt w:val="bullet"/>
      <w:lvlText w:val="-"/>
      <w:lvlJc w:val="left"/>
      <w:pPr>
        <w:ind w:left="1091"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1436B2"/>
    <w:multiLevelType w:val="hybridMultilevel"/>
    <w:tmpl w:val="023282DC"/>
    <w:lvl w:ilvl="0" w:tplc="9FF02EFC">
      <w:start w:val="1"/>
      <w:numFmt w:val="decimal"/>
      <w:lvlText w:val="%1)"/>
      <w:lvlJc w:val="left"/>
      <w:pPr>
        <w:ind w:left="1091" w:hanging="360"/>
      </w:pPr>
      <w:rPr>
        <w:rFonts w:hint="default"/>
      </w:rPr>
    </w:lvl>
    <w:lvl w:ilvl="1" w:tplc="0C0C0019" w:tentative="1">
      <w:start w:val="1"/>
      <w:numFmt w:val="lowerLetter"/>
      <w:lvlText w:val="%2."/>
      <w:lvlJc w:val="left"/>
      <w:pPr>
        <w:ind w:left="1811" w:hanging="360"/>
      </w:pPr>
    </w:lvl>
    <w:lvl w:ilvl="2" w:tplc="0C0C001B" w:tentative="1">
      <w:start w:val="1"/>
      <w:numFmt w:val="lowerRoman"/>
      <w:lvlText w:val="%3."/>
      <w:lvlJc w:val="right"/>
      <w:pPr>
        <w:ind w:left="2531" w:hanging="180"/>
      </w:pPr>
    </w:lvl>
    <w:lvl w:ilvl="3" w:tplc="0C0C000F" w:tentative="1">
      <w:start w:val="1"/>
      <w:numFmt w:val="decimal"/>
      <w:lvlText w:val="%4."/>
      <w:lvlJc w:val="left"/>
      <w:pPr>
        <w:ind w:left="3251" w:hanging="360"/>
      </w:pPr>
    </w:lvl>
    <w:lvl w:ilvl="4" w:tplc="0C0C0019" w:tentative="1">
      <w:start w:val="1"/>
      <w:numFmt w:val="lowerLetter"/>
      <w:lvlText w:val="%5."/>
      <w:lvlJc w:val="left"/>
      <w:pPr>
        <w:ind w:left="3971" w:hanging="360"/>
      </w:pPr>
    </w:lvl>
    <w:lvl w:ilvl="5" w:tplc="0C0C001B" w:tentative="1">
      <w:start w:val="1"/>
      <w:numFmt w:val="lowerRoman"/>
      <w:lvlText w:val="%6."/>
      <w:lvlJc w:val="right"/>
      <w:pPr>
        <w:ind w:left="4691" w:hanging="180"/>
      </w:pPr>
    </w:lvl>
    <w:lvl w:ilvl="6" w:tplc="0C0C000F" w:tentative="1">
      <w:start w:val="1"/>
      <w:numFmt w:val="decimal"/>
      <w:lvlText w:val="%7."/>
      <w:lvlJc w:val="left"/>
      <w:pPr>
        <w:ind w:left="5411" w:hanging="360"/>
      </w:pPr>
    </w:lvl>
    <w:lvl w:ilvl="7" w:tplc="0C0C0019" w:tentative="1">
      <w:start w:val="1"/>
      <w:numFmt w:val="lowerLetter"/>
      <w:lvlText w:val="%8."/>
      <w:lvlJc w:val="left"/>
      <w:pPr>
        <w:ind w:left="6131" w:hanging="360"/>
      </w:pPr>
    </w:lvl>
    <w:lvl w:ilvl="8" w:tplc="0C0C001B" w:tentative="1">
      <w:start w:val="1"/>
      <w:numFmt w:val="lowerRoman"/>
      <w:lvlText w:val="%9."/>
      <w:lvlJc w:val="right"/>
      <w:pPr>
        <w:ind w:left="6851" w:hanging="180"/>
      </w:pPr>
    </w:lvl>
  </w:abstractNum>
  <w:abstractNum w:abstractNumId="24" w15:restartNumberingAfterBreak="0">
    <w:nsid w:val="485F2165"/>
    <w:multiLevelType w:val="hybridMultilevel"/>
    <w:tmpl w:val="0CFC84BA"/>
    <w:lvl w:ilvl="0" w:tplc="6F56959C">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BF423AA"/>
    <w:multiLevelType w:val="multilevel"/>
    <w:tmpl w:val="78E43A60"/>
    <w:name w:val="Style12"/>
    <w:numStyleLink w:val="Style1"/>
  </w:abstractNum>
  <w:abstractNum w:abstractNumId="26" w15:restartNumberingAfterBreak="0">
    <w:nsid w:val="4C727C38"/>
    <w:multiLevelType w:val="hybridMultilevel"/>
    <w:tmpl w:val="F8928D5A"/>
    <w:lvl w:ilvl="0" w:tplc="C0C602F0">
      <w:start w:val="1"/>
      <w:numFmt w:val="decimal"/>
      <w:lvlText w:val="%1)"/>
      <w:lvlJc w:val="left"/>
      <w:pPr>
        <w:ind w:left="1092" w:hanging="360"/>
      </w:pPr>
      <w:rPr>
        <w:rFonts w:hint="default"/>
      </w:rPr>
    </w:lvl>
    <w:lvl w:ilvl="1" w:tplc="0C0C0019" w:tentative="1">
      <w:start w:val="1"/>
      <w:numFmt w:val="lowerLetter"/>
      <w:lvlText w:val="%2."/>
      <w:lvlJc w:val="left"/>
      <w:pPr>
        <w:ind w:left="1812" w:hanging="360"/>
      </w:pPr>
    </w:lvl>
    <w:lvl w:ilvl="2" w:tplc="0C0C001B" w:tentative="1">
      <w:start w:val="1"/>
      <w:numFmt w:val="lowerRoman"/>
      <w:lvlText w:val="%3."/>
      <w:lvlJc w:val="right"/>
      <w:pPr>
        <w:ind w:left="2532" w:hanging="180"/>
      </w:pPr>
    </w:lvl>
    <w:lvl w:ilvl="3" w:tplc="0C0C000F" w:tentative="1">
      <w:start w:val="1"/>
      <w:numFmt w:val="decimal"/>
      <w:lvlText w:val="%4."/>
      <w:lvlJc w:val="left"/>
      <w:pPr>
        <w:ind w:left="3252" w:hanging="360"/>
      </w:pPr>
    </w:lvl>
    <w:lvl w:ilvl="4" w:tplc="0C0C0019" w:tentative="1">
      <w:start w:val="1"/>
      <w:numFmt w:val="lowerLetter"/>
      <w:lvlText w:val="%5."/>
      <w:lvlJc w:val="left"/>
      <w:pPr>
        <w:ind w:left="3972" w:hanging="360"/>
      </w:pPr>
    </w:lvl>
    <w:lvl w:ilvl="5" w:tplc="0C0C001B" w:tentative="1">
      <w:start w:val="1"/>
      <w:numFmt w:val="lowerRoman"/>
      <w:lvlText w:val="%6."/>
      <w:lvlJc w:val="right"/>
      <w:pPr>
        <w:ind w:left="4692" w:hanging="180"/>
      </w:pPr>
    </w:lvl>
    <w:lvl w:ilvl="6" w:tplc="0C0C000F" w:tentative="1">
      <w:start w:val="1"/>
      <w:numFmt w:val="decimal"/>
      <w:lvlText w:val="%7."/>
      <w:lvlJc w:val="left"/>
      <w:pPr>
        <w:ind w:left="5412" w:hanging="360"/>
      </w:pPr>
    </w:lvl>
    <w:lvl w:ilvl="7" w:tplc="0C0C0019" w:tentative="1">
      <w:start w:val="1"/>
      <w:numFmt w:val="lowerLetter"/>
      <w:lvlText w:val="%8."/>
      <w:lvlJc w:val="left"/>
      <w:pPr>
        <w:ind w:left="6132" w:hanging="360"/>
      </w:pPr>
    </w:lvl>
    <w:lvl w:ilvl="8" w:tplc="0C0C001B" w:tentative="1">
      <w:start w:val="1"/>
      <w:numFmt w:val="lowerRoman"/>
      <w:lvlText w:val="%9."/>
      <w:lvlJc w:val="right"/>
      <w:pPr>
        <w:ind w:left="6852" w:hanging="180"/>
      </w:pPr>
    </w:lvl>
  </w:abstractNum>
  <w:abstractNum w:abstractNumId="27" w15:restartNumberingAfterBreak="0">
    <w:nsid w:val="53C03D8D"/>
    <w:multiLevelType w:val="hybridMultilevel"/>
    <w:tmpl w:val="1AF0BA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125EE3"/>
    <w:multiLevelType w:val="hybridMultilevel"/>
    <w:tmpl w:val="AA5CFB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5183297"/>
    <w:multiLevelType w:val="hybridMultilevel"/>
    <w:tmpl w:val="20C6CB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8835E6A"/>
    <w:multiLevelType w:val="hybridMultilevel"/>
    <w:tmpl w:val="BCE2CD1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15:restartNumberingAfterBreak="0">
    <w:nsid w:val="5A0C4719"/>
    <w:multiLevelType w:val="multilevel"/>
    <w:tmpl w:val="78E43A60"/>
    <w:name w:val="Style13"/>
    <w:numStyleLink w:val="Style1"/>
  </w:abstractNum>
  <w:abstractNum w:abstractNumId="32" w15:restartNumberingAfterBreak="0">
    <w:nsid w:val="5A750BBB"/>
    <w:multiLevelType w:val="hybridMultilevel"/>
    <w:tmpl w:val="869E0050"/>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3" w15:restartNumberingAfterBreak="0">
    <w:nsid w:val="602662A7"/>
    <w:multiLevelType w:val="hybridMultilevel"/>
    <w:tmpl w:val="BEA44434"/>
    <w:lvl w:ilvl="0" w:tplc="DD1C04F0">
      <w:start w:val="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09C0DCC"/>
    <w:multiLevelType w:val="multilevel"/>
    <w:tmpl w:val="5720EF72"/>
    <w:lvl w:ilvl="0">
      <w:start w:val="1"/>
      <w:numFmt w:val="decimal"/>
      <w:pStyle w:val="Paragrdoubl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46070B2"/>
    <w:multiLevelType w:val="hybridMultilevel"/>
    <w:tmpl w:val="53D227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5AB229B"/>
    <w:multiLevelType w:val="hybridMultilevel"/>
    <w:tmpl w:val="F8928D5A"/>
    <w:lvl w:ilvl="0" w:tplc="C0C602F0">
      <w:start w:val="1"/>
      <w:numFmt w:val="decimal"/>
      <w:lvlText w:val="%1)"/>
      <w:lvlJc w:val="left"/>
      <w:pPr>
        <w:ind w:left="1092" w:hanging="360"/>
      </w:pPr>
      <w:rPr>
        <w:rFonts w:hint="default"/>
      </w:rPr>
    </w:lvl>
    <w:lvl w:ilvl="1" w:tplc="0C0C0019" w:tentative="1">
      <w:start w:val="1"/>
      <w:numFmt w:val="lowerLetter"/>
      <w:lvlText w:val="%2."/>
      <w:lvlJc w:val="left"/>
      <w:pPr>
        <w:ind w:left="1812" w:hanging="360"/>
      </w:pPr>
    </w:lvl>
    <w:lvl w:ilvl="2" w:tplc="0C0C001B" w:tentative="1">
      <w:start w:val="1"/>
      <w:numFmt w:val="lowerRoman"/>
      <w:lvlText w:val="%3."/>
      <w:lvlJc w:val="right"/>
      <w:pPr>
        <w:ind w:left="2532" w:hanging="180"/>
      </w:pPr>
    </w:lvl>
    <w:lvl w:ilvl="3" w:tplc="0C0C000F" w:tentative="1">
      <w:start w:val="1"/>
      <w:numFmt w:val="decimal"/>
      <w:lvlText w:val="%4."/>
      <w:lvlJc w:val="left"/>
      <w:pPr>
        <w:ind w:left="3252" w:hanging="360"/>
      </w:pPr>
    </w:lvl>
    <w:lvl w:ilvl="4" w:tplc="0C0C0019" w:tentative="1">
      <w:start w:val="1"/>
      <w:numFmt w:val="lowerLetter"/>
      <w:lvlText w:val="%5."/>
      <w:lvlJc w:val="left"/>
      <w:pPr>
        <w:ind w:left="3972" w:hanging="360"/>
      </w:pPr>
    </w:lvl>
    <w:lvl w:ilvl="5" w:tplc="0C0C001B" w:tentative="1">
      <w:start w:val="1"/>
      <w:numFmt w:val="lowerRoman"/>
      <w:lvlText w:val="%6."/>
      <w:lvlJc w:val="right"/>
      <w:pPr>
        <w:ind w:left="4692" w:hanging="180"/>
      </w:pPr>
    </w:lvl>
    <w:lvl w:ilvl="6" w:tplc="0C0C000F" w:tentative="1">
      <w:start w:val="1"/>
      <w:numFmt w:val="decimal"/>
      <w:lvlText w:val="%7."/>
      <w:lvlJc w:val="left"/>
      <w:pPr>
        <w:ind w:left="5412" w:hanging="360"/>
      </w:pPr>
    </w:lvl>
    <w:lvl w:ilvl="7" w:tplc="0C0C0019" w:tentative="1">
      <w:start w:val="1"/>
      <w:numFmt w:val="lowerLetter"/>
      <w:lvlText w:val="%8."/>
      <w:lvlJc w:val="left"/>
      <w:pPr>
        <w:ind w:left="6132" w:hanging="360"/>
      </w:pPr>
    </w:lvl>
    <w:lvl w:ilvl="8" w:tplc="0C0C001B" w:tentative="1">
      <w:start w:val="1"/>
      <w:numFmt w:val="lowerRoman"/>
      <w:lvlText w:val="%9."/>
      <w:lvlJc w:val="right"/>
      <w:pPr>
        <w:ind w:left="6852" w:hanging="180"/>
      </w:pPr>
    </w:lvl>
  </w:abstractNum>
  <w:abstractNum w:abstractNumId="37" w15:restartNumberingAfterBreak="0">
    <w:nsid w:val="67EC1AAD"/>
    <w:multiLevelType w:val="hybridMultilevel"/>
    <w:tmpl w:val="C466FA1C"/>
    <w:lvl w:ilvl="0" w:tplc="7C02C70C">
      <w:start w:val="1"/>
      <w:numFmt w:val="lowerLetter"/>
      <w:lvlText w:val="%1."/>
      <w:lvlJc w:val="left"/>
      <w:pPr>
        <w:ind w:left="927" w:hanging="360"/>
      </w:pPr>
    </w:lvl>
    <w:lvl w:ilvl="1" w:tplc="0C0C0019">
      <w:start w:val="1"/>
      <w:numFmt w:val="lowerLetter"/>
      <w:lvlText w:val="%2."/>
      <w:lvlJc w:val="left"/>
      <w:pPr>
        <w:ind w:left="1647" w:hanging="360"/>
      </w:pPr>
    </w:lvl>
    <w:lvl w:ilvl="2" w:tplc="0C0C001B">
      <w:start w:val="1"/>
      <w:numFmt w:val="lowerRoman"/>
      <w:lvlText w:val="%3."/>
      <w:lvlJc w:val="right"/>
      <w:pPr>
        <w:ind w:left="2367" w:hanging="180"/>
      </w:pPr>
    </w:lvl>
    <w:lvl w:ilvl="3" w:tplc="0C0C000F">
      <w:start w:val="1"/>
      <w:numFmt w:val="decimal"/>
      <w:lvlText w:val="%4."/>
      <w:lvlJc w:val="left"/>
      <w:pPr>
        <w:ind w:left="3087" w:hanging="360"/>
      </w:pPr>
    </w:lvl>
    <w:lvl w:ilvl="4" w:tplc="0C0C0019">
      <w:start w:val="1"/>
      <w:numFmt w:val="lowerLetter"/>
      <w:lvlText w:val="%5."/>
      <w:lvlJc w:val="left"/>
      <w:pPr>
        <w:ind w:left="3807" w:hanging="360"/>
      </w:pPr>
    </w:lvl>
    <w:lvl w:ilvl="5" w:tplc="0C0C001B">
      <w:start w:val="1"/>
      <w:numFmt w:val="lowerRoman"/>
      <w:lvlText w:val="%6."/>
      <w:lvlJc w:val="right"/>
      <w:pPr>
        <w:ind w:left="4527" w:hanging="180"/>
      </w:pPr>
    </w:lvl>
    <w:lvl w:ilvl="6" w:tplc="0C0C000F">
      <w:start w:val="1"/>
      <w:numFmt w:val="decimal"/>
      <w:lvlText w:val="%7."/>
      <w:lvlJc w:val="left"/>
      <w:pPr>
        <w:ind w:left="5247" w:hanging="360"/>
      </w:pPr>
    </w:lvl>
    <w:lvl w:ilvl="7" w:tplc="0C0C0019">
      <w:start w:val="1"/>
      <w:numFmt w:val="lowerLetter"/>
      <w:lvlText w:val="%8."/>
      <w:lvlJc w:val="left"/>
      <w:pPr>
        <w:ind w:left="5967" w:hanging="360"/>
      </w:pPr>
    </w:lvl>
    <w:lvl w:ilvl="8" w:tplc="0C0C001B">
      <w:start w:val="1"/>
      <w:numFmt w:val="lowerRoman"/>
      <w:lvlText w:val="%9."/>
      <w:lvlJc w:val="right"/>
      <w:pPr>
        <w:ind w:left="6687" w:hanging="180"/>
      </w:pPr>
    </w:lvl>
  </w:abstractNum>
  <w:abstractNum w:abstractNumId="38" w15:restartNumberingAfterBreak="0">
    <w:nsid w:val="68085455"/>
    <w:multiLevelType w:val="hybridMultilevel"/>
    <w:tmpl w:val="15D869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D1106F5"/>
    <w:multiLevelType w:val="hybridMultilevel"/>
    <w:tmpl w:val="CDA4B6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0042508"/>
    <w:multiLevelType w:val="hybridMultilevel"/>
    <w:tmpl w:val="918C377E"/>
    <w:lvl w:ilvl="0" w:tplc="0C0C0001">
      <w:start w:val="1"/>
      <w:numFmt w:val="bullet"/>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41" w15:restartNumberingAfterBreak="0">
    <w:nsid w:val="70140D28"/>
    <w:multiLevelType w:val="hybridMultilevel"/>
    <w:tmpl w:val="F76A50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1E65E06"/>
    <w:multiLevelType w:val="multilevel"/>
    <w:tmpl w:val="B552A06C"/>
    <w:lvl w:ilvl="0">
      <w:start w:val="1"/>
      <w:numFmt w:val="decimal"/>
      <w:lvlText w:val="15.%1"/>
      <w:lvlJc w:val="left"/>
      <w:rPr>
        <w:rFonts w:ascii="Arial" w:eastAsia="Arial" w:hAnsi="Arial" w:cs="Arial"/>
        <w:b/>
        <w:bCs/>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674EA2"/>
    <w:multiLevelType w:val="hybridMultilevel"/>
    <w:tmpl w:val="E02200C0"/>
    <w:lvl w:ilvl="0" w:tplc="0C0C000F">
      <w:start w:val="1"/>
      <w:numFmt w:val="decimal"/>
      <w:lvlText w:val="%1."/>
      <w:lvlJc w:val="left"/>
      <w:pPr>
        <w:ind w:left="1455" w:hanging="360"/>
      </w:pPr>
    </w:lvl>
    <w:lvl w:ilvl="1" w:tplc="0C0C0019" w:tentative="1">
      <w:start w:val="1"/>
      <w:numFmt w:val="lowerLetter"/>
      <w:lvlText w:val="%2."/>
      <w:lvlJc w:val="left"/>
      <w:pPr>
        <w:ind w:left="2175" w:hanging="360"/>
      </w:pPr>
    </w:lvl>
    <w:lvl w:ilvl="2" w:tplc="0C0C001B" w:tentative="1">
      <w:start w:val="1"/>
      <w:numFmt w:val="lowerRoman"/>
      <w:lvlText w:val="%3."/>
      <w:lvlJc w:val="right"/>
      <w:pPr>
        <w:ind w:left="2895" w:hanging="180"/>
      </w:pPr>
    </w:lvl>
    <w:lvl w:ilvl="3" w:tplc="0C0C000F" w:tentative="1">
      <w:start w:val="1"/>
      <w:numFmt w:val="decimal"/>
      <w:lvlText w:val="%4."/>
      <w:lvlJc w:val="left"/>
      <w:pPr>
        <w:ind w:left="3615" w:hanging="360"/>
      </w:pPr>
    </w:lvl>
    <w:lvl w:ilvl="4" w:tplc="0C0C0019" w:tentative="1">
      <w:start w:val="1"/>
      <w:numFmt w:val="lowerLetter"/>
      <w:lvlText w:val="%5."/>
      <w:lvlJc w:val="left"/>
      <w:pPr>
        <w:ind w:left="4335" w:hanging="360"/>
      </w:pPr>
    </w:lvl>
    <w:lvl w:ilvl="5" w:tplc="0C0C001B" w:tentative="1">
      <w:start w:val="1"/>
      <w:numFmt w:val="lowerRoman"/>
      <w:lvlText w:val="%6."/>
      <w:lvlJc w:val="right"/>
      <w:pPr>
        <w:ind w:left="5055" w:hanging="180"/>
      </w:pPr>
    </w:lvl>
    <w:lvl w:ilvl="6" w:tplc="0C0C000F" w:tentative="1">
      <w:start w:val="1"/>
      <w:numFmt w:val="decimal"/>
      <w:lvlText w:val="%7."/>
      <w:lvlJc w:val="left"/>
      <w:pPr>
        <w:ind w:left="5775" w:hanging="360"/>
      </w:pPr>
    </w:lvl>
    <w:lvl w:ilvl="7" w:tplc="0C0C0019" w:tentative="1">
      <w:start w:val="1"/>
      <w:numFmt w:val="lowerLetter"/>
      <w:lvlText w:val="%8."/>
      <w:lvlJc w:val="left"/>
      <w:pPr>
        <w:ind w:left="6495" w:hanging="360"/>
      </w:pPr>
    </w:lvl>
    <w:lvl w:ilvl="8" w:tplc="0C0C001B" w:tentative="1">
      <w:start w:val="1"/>
      <w:numFmt w:val="lowerRoman"/>
      <w:lvlText w:val="%9."/>
      <w:lvlJc w:val="right"/>
      <w:pPr>
        <w:ind w:left="7215" w:hanging="180"/>
      </w:pPr>
    </w:lvl>
  </w:abstractNum>
  <w:abstractNum w:abstractNumId="44" w15:restartNumberingAfterBreak="0">
    <w:nsid w:val="76003520"/>
    <w:multiLevelType w:val="hybridMultilevel"/>
    <w:tmpl w:val="86F27712"/>
    <w:lvl w:ilvl="0" w:tplc="0C0C0001">
      <w:start w:val="1"/>
      <w:numFmt w:val="bullet"/>
      <w:lvlText w:val=""/>
      <w:lvlJc w:val="left"/>
      <w:pPr>
        <w:ind w:left="1091"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34215923">
    <w:abstractNumId w:val="34"/>
  </w:num>
  <w:num w:numId="2" w16cid:durableId="1477449930">
    <w:abstractNumId w:val="34"/>
  </w:num>
  <w:num w:numId="3" w16cid:durableId="898247453">
    <w:abstractNumId w:val="16"/>
  </w:num>
  <w:num w:numId="4" w16cid:durableId="1616867169">
    <w:abstractNumId w:val="14"/>
  </w:num>
  <w:num w:numId="5" w16cid:durableId="1315798237">
    <w:abstractNumId w:val="14"/>
  </w:num>
  <w:num w:numId="6" w16cid:durableId="369721084">
    <w:abstractNumId w:val="7"/>
  </w:num>
  <w:num w:numId="7" w16cid:durableId="63769024">
    <w:abstractNumId w:val="2"/>
  </w:num>
  <w:num w:numId="8" w16cid:durableId="1318146571">
    <w:abstractNumId w:val="5"/>
  </w:num>
  <w:num w:numId="9" w16cid:durableId="1573080099">
    <w:abstractNumId w:val="18"/>
  </w:num>
  <w:num w:numId="10" w16cid:durableId="1413551635">
    <w:abstractNumId w:val="8"/>
  </w:num>
  <w:num w:numId="11" w16cid:durableId="551890141">
    <w:abstractNumId w:val="0"/>
  </w:num>
  <w:num w:numId="12" w16cid:durableId="1660882789">
    <w:abstractNumId w:val="30"/>
  </w:num>
  <w:num w:numId="13" w16cid:durableId="874466834">
    <w:abstractNumId w:val="12"/>
  </w:num>
  <w:num w:numId="14" w16cid:durableId="1924216654">
    <w:abstractNumId w:val="23"/>
  </w:num>
  <w:num w:numId="15" w16cid:durableId="1005478461">
    <w:abstractNumId w:val="26"/>
  </w:num>
  <w:num w:numId="16" w16cid:durableId="320500234">
    <w:abstractNumId w:val="36"/>
  </w:num>
  <w:num w:numId="17" w16cid:durableId="451288344">
    <w:abstractNumId w:val="42"/>
  </w:num>
  <w:num w:numId="18" w16cid:durableId="1053389889">
    <w:abstractNumId w:val="21"/>
  </w:num>
  <w:num w:numId="19" w16cid:durableId="704987430">
    <w:abstractNumId w:val="19"/>
  </w:num>
  <w:num w:numId="20" w16cid:durableId="844049714">
    <w:abstractNumId w:val="3"/>
  </w:num>
  <w:num w:numId="21" w16cid:durableId="1589189592">
    <w:abstractNumId w:val="20"/>
  </w:num>
  <w:num w:numId="22" w16cid:durableId="1902711321">
    <w:abstractNumId w:val="10"/>
  </w:num>
  <w:num w:numId="23" w16cid:durableId="119105870">
    <w:abstractNumId w:val="11"/>
  </w:num>
  <w:num w:numId="24" w16cid:durableId="472988184">
    <w:abstractNumId w:val="22"/>
  </w:num>
  <w:num w:numId="25" w16cid:durableId="1910580001">
    <w:abstractNumId w:val="17"/>
  </w:num>
  <w:num w:numId="26" w16cid:durableId="1676570827">
    <w:abstractNumId w:val="44"/>
  </w:num>
  <w:num w:numId="27" w16cid:durableId="322663202">
    <w:abstractNumId w:val="15"/>
  </w:num>
  <w:num w:numId="28" w16cid:durableId="1805854493">
    <w:abstractNumId w:val="35"/>
  </w:num>
  <w:num w:numId="29" w16cid:durableId="1825004360">
    <w:abstractNumId w:val="41"/>
  </w:num>
  <w:num w:numId="30" w16cid:durableId="385184469">
    <w:abstractNumId w:val="29"/>
  </w:num>
  <w:num w:numId="31" w16cid:durableId="120417685">
    <w:abstractNumId w:val="27"/>
  </w:num>
  <w:num w:numId="32" w16cid:durableId="222103941">
    <w:abstractNumId w:val="1"/>
  </w:num>
  <w:num w:numId="33" w16cid:durableId="111638476">
    <w:abstractNumId w:val="38"/>
  </w:num>
  <w:num w:numId="34" w16cid:durableId="1420444016">
    <w:abstractNumId w:val="34"/>
  </w:num>
  <w:num w:numId="35" w16cid:durableId="341510516">
    <w:abstractNumId w:val="34"/>
  </w:num>
  <w:num w:numId="36" w16cid:durableId="166094514">
    <w:abstractNumId w:val="34"/>
  </w:num>
  <w:num w:numId="37" w16cid:durableId="746265552">
    <w:abstractNumId w:val="14"/>
    <w:lvlOverride w:ilvl="0">
      <w:lvl w:ilvl="0">
        <w:start w:val="1"/>
        <w:numFmt w:val="decimal"/>
        <w:pStyle w:val="Titre2"/>
        <w:lvlText w:val="%1."/>
        <w:lvlJc w:val="left"/>
        <w:pPr>
          <w:ind w:left="404" w:hanging="431"/>
        </w:pPr>
        <w:rPr>
          <w:rFonts w:hint="default"/>
          <w:b/>
          <w:bCs w:val="0"/>
        </w:rPr>
      </w:lvl>
    </w:lvlOverride>
    <w:lvlOverride w:ilvl="1">
      <w:lvl w:ilvl="1">
        <w:start w:val="1"/>
        <w:numFmt w:val="decimal"/>
        <w:pStyle w:val="Titre3"/>
        <w:lvlText w:val="%1.%2"/>
        <w:lvlJc w:val="left"/>
        <w:pPr>
          <w:ind w:left="404" w:hanging="431"/>
        </w:pPr>
        <w:rPr>
          <w:rFonts w:hint="default"/>
          <w:b/>
          <w:bCs w:val="0"/>
        </w:rPr>
      </w:lvl>
    </w:lvlOverride>
    <w:lvlOverride w:ilvl="2">
      <w:lvl w:ilvl="2">
        <w:start w:val="1"/>
        <w:numFmt w:val="decimal"/>
        <w:pStyle w:val="Titre4"/>
        <w:lvlText w:val="%1.%2.%3"/>
        <w:lvlJc w:val="left"/>
        <w:pPr>
          <w:ind w:left="404" w:hanging="431"/>
        </w:pPr>
        <w:rPr>
          <w:rFonts w:hint="default"/>
          <w:b/>
          <w:bCs w:val="0"/>
        </w:rPr>
      </w:lvl>
    </w:lvlOverride>
  </w:num>
  <w:num w:numId="38" w16cid:durableId="1370447030">
    <w:abstractNumId w:val="43"/>
  </w:num>
  <w:num w:numId="39" w16cid:durableId="3223909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5662546">
    <w:abstractNumId w:val="40"/>
  </w:num>
  <w:num w:numId="41" w16cid:durableId="156314357">
    <w:abstractNumId w:val="13"/>
  </w:num>
  <w:num w:numId="42" w16cid:durableId="263735276">
    <w:abstractNumId w:val="6"/>
  </w:num>
  <w:num w:numId="43" w16cid:durableId="588659870">
    <w:abstractNumId w:val="24"/>
  </w:num>
  <w:num w:numId="44" w16cid:durableId="824011398">
    <w:abstractNumId w:val="33"/>
  </w:num>
  <w:num w:numId="45" w16cid:durableId="2001957187">
    <w:abstractNumId w:val="34"/>
    <w:lvlOverride w:ilvl="0">
      <w:startOverride w:val="1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2834856">
    <w:abstractNumId w:val="9"/>
  </w:num>
  <w:num w:numId="47" w16cid:durableId="841434532">
    <w:abstractNumId w:val="39"/>
  </w:num>
  <w:num w:numId="48" w16cid:durableId="73942472">
    <w:abstractNumId w:val="14"/>
    <w:lvlOverride w:ilvl="0">
      <w:lvl w:ilvl="0">
        <w:start w:val="1"/>
        <w:numFmt w:val="decimal"/>
        <w:pStyle w:val="Titre2"/>
        <w:lvlText w:val="%1."/>
        <w:lvlJc w:val="left"/>
        <w:pPr>
          <w:ind w:left="404" w:hanging="431"/>
        </w:pPr>
        <w:rPr>
          <w:rFonts w:hint="default"/>
          <w:b/>
          <w:bCs w:val="0"/>
        </w:rPr>
      </w:lvl>
    </w:lvlOverride>
    <w:lvlOverride w:ilvl="1">
      <w:lvl w:ilvl="1">
        <w:start w:val="1"/>
        <w:numFmt w:val="decimal"/>
        <w:pStyle w:val="Titre3"/>
        <w:lvlText w:val="%1.%2"/>
        <w:lvlJc w:val="left"/>
        <w:pPr>
          <w:ind w:left="404" w:hanging="431"/>
        </w:pPr>
        <w:rPr>
          <w:rFonts w:hint="default"/>
          <w:b/>
          <w:bCs w:val="0"/>
        </w:rPr>
      </w:lvl>
    </w:lvlOverride>
    <w:lvlOverride w:ilvl="2">
      <w:lvl w:ilvl="2">
        <w:start w:val="1"/>
        <w:numFmt w:val="decimal"/>
        <w:pStyle w:val="Titre4"/>
        <w:lvlText w:val="%1.%2.%3"/>
        <w:lvlJc w:val="left"/>
        <w:pPr>
          <w:ind w:left="404" w:hanging="431"/>
        </w:pPr>
        <w:rPr>
          <w:rFonts w:hint="default"/>
          <w:b/>
          <w:bCs w:val="0"/>
        </w:rPr>
      </w:lvl>
    </w:lvlOverride>
  </w:num>
  <w:num w:numId="49" w16cid:durableId="935985298">
    <w:abstractNumId w:val="14"/>
    <w:lvlOverride w:ilvl="0">
      <w:lvl w:ilvl="0">
        <w:start w:val="1"/>
        <w:numFmt w:val="decimal"/>
        <w:pStyle w:val="Titre2"/>
        <w:lvlText w:val="%1."/>
        <w:lvlJc w:val="left"/>
        <w:pPr>
          <w:ind w:left="404" w:hanging="431"/>
        </w:pPr>
        <w:rPr>
          <w:rFonts w:hint="default"/>
          <w:b/>
          <w:bCs w:val="0"/>
        </w:rPr>
      </w:lvl>
    </w:lvlOverride>
    <w:lvlOverride w:ilvl="1">
      <w:lvl w:ilvl="1">
        <w:start w:val="1"/>
        <w:numFmt w:val="decimal"/>
        <w:pStyle w:val="Titre3"/>
        <w:lvlText w:val="%1.%2"/>
        <w:lvlJc w:val="left"/>
        <w:pPr>
          <w:ind w:left="404" w:hanging="431"/>
        </w:pPr>
        <w:rPr>
          <w:rFonts w:hint="default"/>
          <w:b/>
          <w:bCs w:val="0"/>
        </w:rPr>
      </w:lvl>
    </w:lvlOverride>
    <w:lvlOverride w:ilvl="2">
      <w:lvl w:ilvl="2">
        <w:start w:val="1"/>
        <w:numFmt w:val="decimal"/>
        <w:pStyle w:val="Titre4"/>
        <w:lvlText w:val="%1.%2.%3"/>
        <w:lvlJc w:val="left"/>
        <w:pPr>
          <w:ind w:left="404" w:hanging="431"/>
        </w:pPr>
        <w:rPr>
          <w:rFonts w:hint="default"/>
          <w:b/>
          <w:bCs w:val="0"/>
        </w:rPr>
      </w:lvl>
    </w:lvlOverride>
  </w:num>
  <w:num w:numId="50" w16cid:durableId="274674174">
    <w:abstractNumId w:val="14"/>
    <w:lvlOverride w:ilvl="0">
      <w:lvl w:ilvl="0">
        <w:start w:val="1"/>
        <w:numFmt w:val="decimal"/>
        <w:pStyle w:val="Titre2"/>
        <w:lvlText w:val="%1."/>
        <w:lvlJc w:val="left"/>
        <w:pPr>
          <w:ind w:left="404" w:hanging="431"/>
        </w:pPr>
        <w:rPr>
          <w:rFonts w:hint="default"/>
          <w:b/>
          <w:bCs w:val="0"/>
        </w:rPr>
      </w:lvl>
    </w:lvlOverride>
    <w:lvlOverride w:ilvl="1">
      <w:lvl w:ilvl="1">
        <w:start w:val="1"/>
        <w:numFmt w:val="decimal"/>
        <w:pStyle w:val="Titre3"/>
        <w:lvlText w:val="%1.%2"/>
        <w:lvlJc w:val="left"/>
        <w:pPr>
          <w:ind w:left="404" w:hanging="431"/>
        </w:pPr>
        <w:rPr>
          <w:rFonts w:hint="default"/>
          <w:b/>
          <w:bCs w:val="0"/>
        </w:rPr>
      </w:lvl>
    </w:lvlOverride>
    <w:lvlOverride w:ilvl="2">
      <w:lvl w:ilvl="2">
        <w:start w:val="1"/>
        <w:numFmt w:val="decimal"/>
        <w:pStyle w:val="Titre4"/>
        <w:lvlText w:val="%1.%2.%3"/>
        <w:lvlJc w:val="left"/>
        <w:pPr>
          <w:ind w:left="404" w:hanging="431"/>
        </w:pPr>
        <w:rPr>
          <w:rFonts w:hint="default"/>
          <w:b/>
          <w:bCs w:val="0"/>
        </w:rPr>
      </w:lvl>
    </w:lvlOverride>
  </w:num>
  <w:num w:numId="51" w16cid:durableId="341052889">
    <w:abstractNumId w:val="4"/>
  </w:num>
  <w:num w:numId="52" w16cid:durableId="21313910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6115762">
    <w:abstractNumId w:val="14"/>
    <w:lvlOverride w:ilvl="0">
      <w:lvl w:ilvl="0">
        <w:start w:val="1"/>
        <w:numFmt w:val="decimal"/>
        <w:pStyle w:val="Titre2"/>
        <w:lvlText w:val="%1."/>
        <w:lvlJc w:val="left"/>
        <w:pPr>
          <w:ind w:left="404" w:hanging="431"/>
        </w:pPr>
        <w:rPr>
          <w:rFonts w:hint="default"/>
          <w:b/>
          <w:bCs w:val="0"/>
        </w:rPr>
      </w:lvl>
    </w:lvlOverride>
    <w:lvlOverride w:ilvl="1">
      <w:lvl w:ilvl="1">
        <w:start w:val="1"/>
        <w:numFmt w:val="decimal"/>
        <w:pStyle w:val="Titre3"/>
        <w:lvlText w:val="%1.%2"/>
        <w:lvlJc w:val="left"/>
        <w:pPr>
          <w:ind w:left="404" w:hanging="431"/>
        </w:pPr>
        <w:rPr>
          <w:rFonts w:hint="default"/>
          <w:b/>
          <w:bCs w:val="0"/>
        </w:rPr>
      </w:lvl>
    </w:lvlOverride>
    <w:lvlOverride w:ilvl="2">
      <w:lvl w:ilvl="2">
        <w:start w:val="1"/>
        <w:numFmt w:val="decimal"/>
        <w:pStyle w:val="Titre4"/>
        <w:lvlText w:val="%1.%2.%3"/>
        <w:lvlJc w:val="left"/>
        <w:pPr>
          <w:ind w:left="404" w:hanging="431"/>
        </w:pPr>
        <w:rPr>
          <w:rFonts w:hint="default"/>
          <w:b/>
          <w:bCs w:val="0"/>
        </w:rPr>
      </w:lvl>
    </w:lvlOverride>
  </w:num>
  <w:num w:numId="54" w16cid:durableId="997999228">
    <w:abstractNumId w:val="28"/>
  </w:num>
  <w:num w:numId="55" w16cid:durableId="12030552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3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4D"/>
    <w:rsid w:val="00004C0E"/>
    <w:rsid w:val="00005FD2"/>
    <w:rsid w:val="00007687"/>
    <w:rsid w:val="000119D4"/>
    <w:rsid w:val="000124D2"/>
    <w:rsid w:val="00020BDE"/>
    <w:rsid w:val="00024EC9"/>
    <w:rsid w:val="00032248"/>
    <w:rsid w:val="00034639"/>
    <w:rsid w:val="00036868"/>
    <w:rsid w:val="000570B6"/>
    <w:rsid w:val="00074600"/>
    <w:rsid w:val="00080CEC"/>
    <w:rsid w:val="000813D3"/>
    <w:rsid w:val="00096C2B"/>
    <w:rsid w:val="000A0E2C"/>
    <w:rsid w:val="000A2145"/>
    <w:rsid w:val="000A3312"/>
    <w:rsid w:val="000A4763"/>
    <w:rsid w:val="000A6401"/>
    <w:rsid w:val="000A7D04"/>
    <w:rsid w:val="000B39FC"/>
    <w:rsid w:val="000C21FE"/>
    <w:rsid w:val="000C69FD"/>
    <w:rsid w:val="000D1920"/>
    <w:rsid w:val="000D1E2E"/>
    <w:rsid w:val="000F106C"/>
    <w:rsid w:val="000F19DD"/>
    <w:rsid w:val="000F1C1C"/>
    <w:rsid w:val="000F7486"/>
    <w:rsid w:val="0010778E"/>
    <w:rsid w:val="00121A72"/>
    <w:rsid w:val="001228A0"/>
    <w:rsid w:val="00126E7B"/>
    <w:rsid w:val="00130098"/>
    <w:rsid w:val="00137CFD"/>
    <w:rsid w:val="00140869"/>
    <w:rsid w:val="001430D1"/>
    <w:rsid w:val="00151824"/>
    <w:rsid w:val="0016486C"/>
    <w:rsid w:val="001650F8"/>
    <w:rsid w:val="00166B1E"/>
    <w:rsid w:val="00167E20"/>
    <w:rsid w:val="00173D8D"/>
    <w:rsid w:val="0017530B"/>
    <w:rsid w:val="00176A79"/>
    <w:rsid w:val="0018144B"/>
    <w:rsid w:val="0018724E"/>
    <w:rsid w:val="001A2E13"/>
    <w:rsid w:val="001A3977"/>
    <w:rsid w:val="001A4BFB"/>
    <w:rsid w:val="001B089B"/>
    <w:rsid w:val="001B0DA6"/>
    <w:rsid w:val="001B128E"/>
    <w:rsid w:val="001C2468"/>
    <w:rsid w:val="001C7BF4"/>
    <w:rsid w:val="001D18DF"/>
    <w:rsid w:val="001D5F69"/>
    <w:rsid w:val="001E0EB9"/>
    <w:rsid w:val="001E770F"/>
    <w:rsid w:val="001F76F8"/>
    <w:rsid w:val="00202465"/>
    <w:rsid w:val="002227E4"/>
    <w:rsid w:val="0022371D"/>
    <w:rsid w:val="00226213"/>
    <w:rsid w:val="00231F0F"/>
    <w:rsid w:val="00236C4F"/>
    <w:rsid w:val="00237FDE"/>
    <w:rsid w:val="0024287F"/>
    <w:rsid w:val="002528CF"/>
    <w:rsid w:val="00253007"/>
    <w:rsid w:val="0025685F"/>
    <w:rsid w:val="0025794C"/>
    <w:rsid w:val="00260F20"/>
    <w:rsid w:val="00265E1A"/>
    <w:rsid w:val="00270F36"/>
    <w:rsid w:val="002803F6"/>
    <w:rsid w:val="00291121"/>
    <w:rsid w:val="002A0618"/>
    <w:rsid w:val="002A07E4"/>
    <w:rsid w:val="002A2AD8"/>
    <w:rsid w:val="002A5616"/>
    <w:rsid w:val="002A7B92"/>
    <w:rsid w:val="002B2C85"/>
    <w:rsid w:val="002B78CB"/>
    <w:rsid w:val="002C08AE"/>
    <w:rsid w:val="002C318C"/>
    <w:rsid w:val="002D113D"/>
    <w:rsid w:val="002D581A"/>
    <w:rsid w:val="002D7E59"/>
    <w:rsid w:val="002E579F"/>
    <w:rsid w:val="002E6A93"/>
    <w:rsid w:val="002F1A8C"/>
    <w:rsid w:val="002F3812"/>
    <w:rsid w:val="002F4B5F"/>
    <w:rsid w:val="00304CEC"/>
    <w:rsid w:val="00306FDE"/>
    <w:rsid w:val="0031011E"/>
    <w:rsid w:val="003165EB"/>
    <w:rsid w:val="00324D31"/>
    <w:rsid w:val="00327CB1"/>
    <w:rsid w:val="003339A4"/>
    <w:rsid w:val="00334F1F"/>
    <w:rsid w:val="0034453F"/>
    <w:rsid w:val="00346850"/>
    <w:rsid w:val="00347062"/>
    <w:rsid w:val="00350C00"/>
    <w:rsid w:val="0035450D"/>
    <w:rsid w:val="0036724D"/>
    <w:rsid w:val="003674F2"/>
    <w:rsid w:val="0037289A"/>
    <w:rsid w:val="00382732"/>
    <w:rsid w:val="0038380F"/>
    <w:rsid w:val="003872F4"/>
    <w:rsid w:val="00392298"/>
    <w:rsid w:val="003A11C3"/>
    <w:rsid w:val="003A5161"/>
    <w:rsid w:val="003A64C4"/>
    <w:rsid w:val="003B53EF"/>
    <w:rsid w:val="003B6F0F"/>
    <w:rsid w:val="003C2FBE"/>
    <w:rsid w:val="003C39DE"/>
    <w:rsid w:val="003C4439"/>
    <w:rsid w:val="003D3CC6"/>
    <w:rsid w:val="003D4D53"/>
    <w:rsid w:val="003D50B5"/>
    <w:rsid w:val="003D6C65"/>
    <w:rsid w:val="003E61F4"/>
    <w:rsid w:val="00404506"/>
    <w:rsid w:val="00407431"/>
    <w:rsid w:val="004114DD"/>
    <w:rsid w:val="00412257"/>
    <w:rsid w:val="00413C44"/>
    <w:rsid w:val="0043303B"/>
    <w:rsid w:val="004443C7"/>
    <w:rsid w:val="00450DC7"/>
    <w:rsid w:val="004674E8"/>
    <w:rsid w:val="00476528"/>
    <w:rsid w:val="00482C9B"/>
    <w:rsid w:val="004860E6"/>
    <w:rsid w:val="004869D7"/>
    <w:rsid w:val="00494DF0"/>
    <w:rsid w:val="004A2B0C"/>
    <w:rsid w:val="004B0406"/>
    <w:rsid w:val="004C5752"/>
    <w:rsid w:val="004C5D91"/>
    <w:rsid w:val="004C5E30"/>
    <w:rsid w:val="004D0B55"/>
    <w:rsid w:val="00503527"/>
    <w:rsid w:val="00504A19"/>
    <w:rsid w:val="0051538A"/>
    <w:rsid w:val="0051703E"/>
    <w:rsid w:val="0052120C"/>
    <w:rsid w:val="00522112"/>
    <w:rsid w:val="00524C56"/>
    <w:rsid w:val="00540E65"/>
    <w:rsid w:val="00542ED9"/>
    <w:rsid w:val="00543D62"/>
    <w:rsid w:val="00545F1E"/>
    <w:rsid w:val="00545FA6"/>
    <w:rsid w:val="005470B5"/>
    <w:rsid w:val="005558CE"/>
    <w:rsid w:val="0056771F"/>
    <w:rsid w:val="005722EF"/>
    <w:rsid w:val="00574AFE"/>
    <w:rsid w:val="00575DF5"/>
    <w:rsid w:val="005A6238"/>
    <w:rsid w:val="005B4973"/>
    <w:rsid w:val="005C23C6"/>
    <w:rsid w:val="005D4F57"/>
    <w:rsid w:val="005E496C"/>
    <w:rsid w:val="005F42A4"/>
    <w:rsid w:val="00611D62"/>
    <w:rsid w:val="00613277"/>
    <w:rsid w:val="0062508B"/>
    <w:rsid w:val="006303B1"/>
    <w:rsid w:val="00633B6C"/>
    <w:rsid w:val="00643C71"/>
    <w:rsid w:val="0065674A"/>
    <w:rsid w:val="006570E3"/>
    <w:rsid w:val="0066117D"/>
    <w:rsid w:val="006628C1"/>
    <w:rsid w:val="006641EE"/>
    <w:rsid w:val="0066542E"/>
    <w:rsid w:val="00670F4C"/>
    <w:rsid w:val="00677387"/>
    <w:rsid w:val="00686EF5"/>
    <w:rsid w:val="006873BF"/>
    <w:rsid w:val="00691D3F"/>
    <w:rsid w:val="0069584A"/>
    <w:rsid w:val="00695D37"/>
    <w:rsid w:val="006A256A"/>
    <w:rsid w:val="006A345C"/>
    <w:rsid w:val="006A753F"/>
    <w:rsid w:val="006B30D6"/>
    <w:rsid w:val="006B5EA9"/>
    <w:rsid w:val="006C55F8"/>
    <w:rsid w:val="006D0AC2"/>
    <w:rsid w:val="006D238C"/>
    <w:rsid w:val="006D4F4A"/>
    <w:rsid w:val="007077D5"/>
    <w:rsid w:val="007117D4"/>
    <w:rsid w:val="00717336"/>
    <w:rsid w:val="00723664"/>
    <w:rsid w:val="007322FB"/>
    <w:rsid w:val="00734B13"/>
    <w:rsid w:val="00747B91"/>
    <w:rsid w:val="00754B81"/>
    <w:rsid w:val="00765D36"/>
    <w:rsid w:val="00767077"/>
    <w:rsid w:val="00767E8E"/>
    <w:rsid w:val="007757C0"/>
    <w:rsid w:val="00782CFD"/>
    <w:rsid w:val="00785267"/>
    <w:rsid w:val="00786A7E"/>
    <w:rsid w:val="00794B1A"/>
    <w:rsid w:val="007A2A67"/>
    <w:rsid w:val="007A73F3"/>
    <w:rsid w:val="007B3C60"/>
    <w:rsid w:val="007B46B2"/>
    <w:rsid w:val="007C0597"/>
    <w:rsid w:val="007C7E0E"/>
    <w:rsid w:val="007D4C70"/>
    <w:rsid w:val="007E0486"/>
    <w:rsid w:val="007E7044"/>
    <w:rsid w:val="007E7DEF"/>
    <w:rsid w:val="00801A42"/>
    <w:rsid w:val="008034D9"/>
    <w:rsid w:val="00815166"/>
    <w:rsid w:val="00816A75"/>
    <w:rsid w:val="008171C5"/>
    <w:rsid w:val="00820387"/>
    <w:rsid w:val="00831A9E"/>
    <w:rsid w:val="00847484"/>
    <w:rsid w:val="0085492C"/>
    <w:rsid w:val="00855F22"/>
    <w:rsid w:val="0086113B"/>
    <w:rsid w:val="0086759E"/>
    <w:rsid w:val="008776E5"/>
    <w:rsid w:val="00883FB8"/>
    <w:rsid w:val="0089596D"/>
    <w:rsid w:val="00896F7F"/>
    <w:rsid w:val="008A4532"/>
    <w:rsid w:val="008B0E6D"/>
    <w:rsid w:val="008B3C8E"/>
    <w:rsid w:val="008D3694"/>
    <w:rsid w:val="008E36FC"/>
    <w:rsid w:val="008F0162"/>
    <w:rsid w:val="008F4362"/>
    <w:rsid w:val="009059FD"/>
    <w:rsid w:val="009063F2"/>
    <w:rsid w:val="0090798B"/>
    <w:rsid w:val="00910863"/>
    <w:rsid w:val="0091699D"/>
    <w:rsid w:val="00917900"/>
    <w:rsid w:val="00935D2F"/>
    <w:rsid w:val="009549C6"/>
    <w:rsid w:val="00960426"/>
    <w:rsid w:val="00970EBF"/>
    <w:rsid w:val="00971550"/>
    <w:rsid w:val="00974E31"/>
    <w:rsid w:val="009841B0"/>
    <w:rsid w:val="0098529F"/>
    <w:rsid w:val="00992D23"/>
    <w:rsid w:val="009B1AAE"/>
    <w:rsid w:val="009B4B10"/>
    <w:rsid w:val="009C0C59"/>
    <w:rsid w:val="009C76E4"/>
    <w:rsid w:val="009D096B"/>
    <w:rsid w:val="009D36B8"/>
    <w:rsid w:val="009D633A"/>
    <w:rsid w:val="009D78D5"/>
    <w:rsid w:val="009E0BAB"/>
    <w:rsid w:val="009E7E11"/>
    <w:rsid w:val="009F364B"/>
    <w:rsid w:val="00A16A4C"/>
    <w:rsid w:val="00A25134"/>
    <w:rsid w:val="00A256F9"/>
    <w:rsid w:val="00A258B7"/>
    <w:rsid w:val="00A3455B"/>
    <w:rsid w:val="00A42742"/>
    <w:rsid w:val="00A443B5"/>
    <w:rsid w:val="00A46714"/>
    <w:rsid w:val="00A50738"/>
    <w:rsid w:val="00A52EAB"/>
    <w:rsid w:val="00A630DC"/>
    <w:rsid w:val="00A83A35"/>
    <w:rsid w:val="00A84995"/>
    <w:rsid w:val="00A94B0B"/>
    <w:rsid w:val="00A95117"/>
    <w:rsid w:val="00AB5EB8"/>
    <w:rsid w:val="00AC68BE"/>
    <w:rsid w:val="00AE3B9D"/>
    <w:rsid w:val="00AE79EC"/>
    <w:rsid w:val="00AF1575"/>
    <w:rsid w:val="00B01626"/>
    <w:rsid w:val="00B070F4"/>
    <w:rsid w:val="00B07A69"/>
    <w:rsid w:val="00B1344D"/>
    <w:rsid w:val="00B13F57"/>
    <w:rsid w:val="00B21E43"/>
    <w:rsid w:val="00B238CC"/>
    <w:rsid w:val="00B267ED"/>
    <w:rsid w:val="00B26EC5"/>
    <w:rsid w:val="00B35C64"/>
    <w:rsid w:val="00B40E1E"/>
    <w:rsid w:val="00B520CD"/>
    <w:rsid w:val="00B5775C"/>
    <w:rsid w:val="00B578A9"/>
    <w:rsid w:val="00B65677"/>
    <w:rsid w:val="00B66191"/>
    <w:rsid w:val="00B824C7"/>
    <w:rsid w:val="00B85666"/>
    <w:rsid w:val="00B97A87"/>
    <w:rsid w:val="00BA153A"/>
    <w:rsid w:val="00BB041E"/>
    <w:rsid w:val="00BB35D3"/>
    <w:rsid w:val="00BB3B42"/>
    <w:rsid w:val="00BC3A83"/>
    <w:rsid w:val="00BC5B90"/>
    <w:rsid w:val="00BE4903"/>
    <w:rsid w:val="00BF1018"/>
    <w:rsid w:val="00BF3DF1"/>
    <w:rsid w:val="00C002CF"/>
    <w:rsid w:val="00C025FC"/>
    <w:rsid w:val="00C06ADD"/>
    <w:rsid w:val="00C07B6B"/>
    <w:rsid w:val="00C13BB5"/>
    <w:rsid w:val="00C15142"/>
    <w:rsid w:val="00C21DB3"/>
    <w:rsid w:val="00C4174D"/>
    <w:rsid w:val="00C4210E"/>
    <w:rsid w:val="00C45791"/>
    <w:rsid w:val="00C52249"/>
    <w:rsid w:val="00C711DA"/>
    <w:rsid w:val="00C754AA"/>
    <w:rsid w:val="00C7621A"/>
    <w:rsid w:val="00C84EE2"/>
    <w:rsid w:val="00C94578"/>
    <w:rsid w:val="00CB03E1"/>
    <w:rsid w:val="00CB4A2F"/>
    <w:rsid w:val="00CD1934"/>
    <w:rsid w:val="00CD26AA"/>
    <w:rsid w:val="00CD296D"/>
    <w:rsid w:val="00CD455C"/>
    <w:rsid w:val="00CD4FB3"/>
    <w:rsid w:val="00CE1CAF"/>
    <w:rsid w:val="00CE4477"/>
    <w:rsid w:val="00CE5A4C"/>
    <w:rsid w:val="00CE70F3"/>
    <w:rsid w:val="00CF0AB8"/>
    <w:rsid w:val="00CF51ED"/>
    <w:rsid w:val="00CF5555"/>
    <w:rsid w:val="00CF5B4F"/>
    <w:rsid w:val="00D06B33"/>
    <w:rsid w:val="00D06C9C"/>
    <w:rsid w:val="00D12D92"/>
    <w:rsid w:val="00D16CBC"/>
    <w:rsid w:val="00D17EF8"/>
    <w:rsid w:val="00D26929"/>
    <w:rsid w:val="00D36D5E"/>
    <w:rsid w:val="00D42A68"/>
    <w:rsid w:val="00D468B8"/>
    <w:rsid w:val="00D51A11"/>
    <w:rsid w:val="00D51B43"/>
    <w:rsid w:val="00D53DAA"/>
    <w:rsid w:val="00D62D22"/>
    <w:rsid w:val="00D63C26"/>
    <w:rsid w:val="00D728EF"/>
    <w:rsid w:val="00D76BC6"/>
    <w:rsid w:val="00D92568"/>
    <w:rsid w:val="00DA2D10"/>
    <w:rsid w:val="00DA6C21"/>
    <w:rsid w:val="00DC7F0F"/>
    <w:rsid w:val="00DD64CB"/>
    <w:rsid w:val="00DE0710"/>
    <w:rsid w:val="00DE1272"/>
    <w:rsid w:val="00DE6490"/>
    <w:rsid w:val="00DF18E3"/>
    <w:rsid w:val="00DF4E65"/>
    <w:rsid w:val="00E07BF3"/>
    <w:rsid w:val="00E10E75"/>
    <w:rsid w:val="00E23778"/>
    <w:rsid w:val="00E26EC0"/>
    <w:rsid w:val="00E34DD5"/>
    <w:rsid w:val="00E41E5E"/>
    <w:rsid w:val="00E47A95"/>
    <w:rsid w:val="00E50F62"/>
    <w:rsid w:val="00E61010"/>
    <w:rsid w:val="00E729FC"/>
    <w:rsid w:val="00E7628B"/>
    <w:rsid w:val="00E87A91"/>
    <w:rsid w:val="00E90CB0"/>
    <w:rsid w:val="00E96AAC"/>
    <w:rsid w:val="00EA0E56"/>
    <w:rsid w:val="00EA18FF"/>
    <w:rsid w:val="00EA3A79"/>
    <w:rsid w:val="00EA4CB5"/>
    <w:rsid w:val="00EA5B0C"/>
    <w:rsid w:val="00EA619C"/>
    <w:rsid w:val="00EC4868"/>
    <w:rsid w:val="00EC705F"/>
    <w:rsid w:val="00ED38EB"/>
    <w:rsid w:val="00EE41D6"/>
    <w:rsid w:val="00EE4A25"/>
    <w:rsid w:val="00EF0457"/>
    <w:rsid w:val="00F04326"/>
    <w:rsid w:val="00F05581"/>
    <w:rsid w:val="00F079B6"/>
    <w:rsid w:val="00F1005F"/>
    <w:rsid w:val="00F1055D"/>
    <w:rsid w:val="00F15B2F"/>
    <w:rsid w:val="00F244B5"/>
    <w:rsid w:val="00F35463"/>
    <w:rsid w:val="00F368BC"/>
    <w:rsid w:val="00F379DC"/>
    <w:rsid w:val="00F40C0A"/>
    <w:rsid w:val="00F411E8"/>
    <w:rsid w:val="00F4770B"/>
    <w:rsid w:val="00F5037C"/>
    <w:rsid w:val="00F5292D"/>
    <w:rsid w:val="00F62166"/>
    <w:rsid w:val="00F62D79"/>
    <w:rsid w:val="00F6475A"/>
    <w:rsid w:val="00F67153"/>
    <w:rsid w:val="00F70C08"/>
    <w:rsid w:val="00F831A0"/>
    <w:rsid w:val="00F86A70"/>
    <w:rsid w:val="00F86CE1"/>
    <w:rsid w:val="00F86F4C"/>
    <w:rsid w:val="00F876D2"/>
    <w:rsid w:val="00F9738A"/>
    <w:rsid w:val="00FA26D4"/>
    <w:rsid w:val="00FA3551"/>
    <w:rsid w:val="00FA610D"/>
    <w:rsid w:val="00FB12FC"/>
    <w:rsid w:val="00FB1C8B"/>
    <w:rsid w:val="00FC1777"/>
    <w:rsid w:val="00FD29C6"/>
    <w:rsid w:val="00FD3411"/>
    <w:rsid w:val="00FD498D"/>
    <w:rsid w:val="00FD6B28"/>
    <w:rsid w:val="00FD6DA9"/>
    <w:rsid w:val="00FE0B49"/>
    <w:rsid w:val="00FE439C"/>
    <w:rsid w:val="00FF49A3"/>
    <w:rsid w:val="00FF7E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0D2EC"/>
  <w15:chartTrackingRefBased/>
  <w15:docId w15:val="{D2C3746C-80D5-4D28-BAD2-581040F8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fr-FR"/>
    </w:rPr>
  </w:style>
  <w:style w:type="paragraph" w:styleId="Titre1">
    <w:name w:val="heading 1"/>
    <w:basedOn w:val="Normal"/>
    <w:next w:val="Paragrdouble"/>
    <w:qFormat/>
    <w:rsid w:val="00D12D92"/>
    <w:pPr>
      <w:keepNext/>
      <w:spacing w:before="240" w:after="60"/>
      <w:ind w:left="432" w:hanging="432"/>
      <w:outlineLvl w:val="0"/>
    </w:pPr>
    <w:rPr>
      <w:b/>
      <w:kern w:val="28"/>
      <w:u w:val="single"/>
    </w:rPr>
  </w:style>
  <w:style w:type="paragraph" w:styleId="Titre2">
    <w:name w:val="heading 2"/>
    <w:basedOn w:val="Normal"/>
    <w:next w:val="Paragrdouble"/>
    <w:qFormat/>
    <w:rsid w:val="00BA153A"/>
    <w:pPr>
      <w:keepNext/>
      <w:numPr>
        <w:numId w:val="4"/>
      </w:numPr>
      <w:spacing w:before="240" w:after="60"/>
      <w:ind w:left="709" w:hanging="709"/>
      <w:outlineLvl w:val="1"/>
    </w:pPr>
    <w:rPr>
      <w:b/>
      <w:caps/>
      <w:u w:val="single"/>
    </w:rPr>
  </w:style>
  <w:style w:type="paragraph" w:styleId="Titre3">
    <w:name w:val="heading 3"/>
    <w:basedOn w:val="Normal"/>
    <w:next w:val="Paragrdouble"/>
    <w:qFormat/>
    <w:rsid w:val="00AF1575"/>
    <w:pPr>
      <w:keepNext/>
      <w:numPr>
        <w:ilvl w:val="1"/>
        <w:numId w:val="4"/>
      </w:numPr>
      <w:spacing w:before="240" w:after="60"/>
      <w:ind w:left="1162"/>
      <w:outlineLvl w:val="2"/>
    </w:pPr>
    <w:rPr>
      <w:b/>
    </w:rPr>
  </w:style>
  <w:style w:type="paragraph" w:styleId="Titre4">
    <w:name w:val="heading 4"/>
    <w:basedOn w:val="Normal"/>
    <w:next w:val="Paragrdouble"/>
    <w:qFormat/>
    <w:rsid w:val="00AF1575"/>
    <w:pPr>
      <w:keepNext/>
      <w:numPr>
        <w:ilvl w:val="2"/>
        <w:numId w:val="4"/>
      </w:numPr>
      <w:spacing w:before="240" w:after="60"/>
      <w:ind w:left="1985" w:hanging="851"/>
      <w:outlineLvl w:val="3"/>
    </w:pPr>
    <w:rPr>
      <w:b/>
    </w:rPr>
  </w:style>
  <w:style w:type="paragraph" w:styleId="Titre5">
    <w:name w:val="heading 5"/>
    <w:basedOn w:val="Titre4"/>
    <w:next w:val="Paragrdouble"/>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3"/>
      </w:numPr>
      <w:spacing w:before="240" w:after="60"/>
      <w:outlineLvl w:val="6"/>
    </w:pPr>
    <w:rPr>
      <w:sz w:val="20"/>
    </w:rPr>
  </w:style>
  <w:style w:type="paragraph" w:styleId="Titre8">
    <w:name w:val="heading 8"/>
    <w:basedOn w:val="Normal"/>
    <w:next w:val="Normal"/>
    <w:qFormat/>
    <w:pPr>
      <w:numPr>
        <w:ilvl w:val="7"/>
        <w:numId w:val="3"/>
      </w:numPr>
      <w:spacing w:before="240" w:after="60"/>
      <w:outlineLvl w:val="7"/>
    </w:pPr>
    <w:rPr>
      <w:i/>
      <w:sz w:val="20"/>
    </w:rPr>
  </w:style>
  <w:style w:type="paragraph" w:styleId="Titre9">
    <w:name w:val="heading 9"/>
    <w:basedOn w:val="Normal"/>
    <w:next w:val="Normal"/>
    <w:qFormat/>
    <w:pPr>
      <w:numPr>
        <w:ilvl w:val="8"/>
        <w:numId w:val="3"/>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1"/>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uiPriority w:val="99"/>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CF51ED"/>
    <w:pPr>
      <w:widowControl w:val="0"/>
      <w:numPr>
        <w:ilvl w:val="1"/>
        <w:numId w:val="2"/>
      </w:numPr>
      <w:spacing w:before="120" w:after="120"/>
      <w:ind w:left="1462" w:hanging="731"/>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4"/>
      </w:numPr>
    </w:pPr>
  </w:style>
  <w:style w:type="paragraph" w:customStyle="1" w:styleId="Paragrsimple">
    <w:name w:val="Paragr. simple"/>
    <w:basedOn w:val="Paragrdouble"/>
    <w:next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u w:val="none"/>
      <w:lang w:eastAsia="fr-CA"/>
    </w:rPr>
  </w:style>
  <w:style w:type="paragraph" w:styleId="TM1">
    <w:name w:val="toc 1"/>
    <w:basedOn w:val="Normal"/>
    <w:next w:val="Normal"/>
    <w:autoRedefine/>
    <w:uiPriority w:val="39"/>
    <w:unhideWhenUsed/>
    <w:rsid w:val="00BA153A"/>
  </w:style>
  <w:style w:type="paragraph" w:styleId="TM2">
    <w:name w:val="toc 2"/>
    <w:basedOn w:val="Normal"/>
    <w:next w:val="Normal"/>
    <w:autoRedefine/>
    <w:uiPriority w:val="39"/>
    <w:unhideWhenUsed/>
    <w:rsid w:val="00BA153A"/>
    <w:pPr>
      <w:ind w:left="240"/>
    </w:pPr>
  </w:style>
  <w:style w:type="paragraph" w:styleId="TM3">
    <w:name w:val="toc 3"/>
    <w:basedOn w:val="Normal"/>
    <w:next w:val="Normal"/>
    <w:autoRedefine/>
    <w:uiPriority w:val="39"/>
    <w:unhideWhenUsed/>
    <w:rsid w:val="00BA153A"/>
    <w:pPr>
      <w:ind w:left="480"/>
    </w:p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qFormat/>
    <w:rsid w:val="008A4532"/>
    <w:pPr>
      <w:spacing w:before="240" w:after="60"/>
      <w:jc w:val="center"/>
      <w:outlineLvl w:val="0"/>
    </w:pPr>
    <w:rPr>
      <w:rFonts w:cs="Arial"/>
      <w:b/>
      <w:bCs/>
      <w:kern w:val="28"/>
      <w:sz w:val="32"/>
      <w:szCs w:val="32"/>
    </w:rPr>
  </w:style>
  <w:style w:type="paragraph" w:styleId="En-tte">
    <w:name w:val="header"/>
    <w:basedOn w:val="Normal"/>
    <w:link w:val="En-tteCar"/>
    <w:uiPriority w:val="99"/>
    <w:unhideWhenUsed/>
    <w:rsid w:val="002A0618"/>
    <w:pPr>
      <w:tabs>
        <w:tab w:val="center" w:pos="4320"/>
        <w:tab w:val="right" w:pos="8640"/>
      </w:tabs>
    </w:pPr>
  </w:style>
  <w:style w:type="character" w:customStyle="1" w:styleId="En-tteCar">
    <w:name w:val="En-tête Car"/>
    <w:link w:val="En-tte"/>
    <w:uiPriority w:val="99"/>
    <w:rsid w:val="002A0618"/>
    <w:rPr>
      <w:rFonts w:ascii="Arial" w:hAnsi="Arial"/>
      <w:sz w:val="24"/>
      <w:lang w:eastAsia="fr-FR"/>
    </w:rPr>
  </w:style>
  <w:style w:type="paragraph" w:styleId="Pieddepage">
    <w:name w:val="footer"/>
    <w:basedOn w:val="Normal"/>
    <w:link w:val="PieddepageCar"/>
    <w:uiPriority w:val="99"/>
    <w:unhideWhenUsed/>
    <w:rsid w:val="002A0618"/>
    <w:pPr>
      <w:tabs>
        <w:tab w:val="center" w:pos="4320"/>
        <w:tab w:val="right" w:pos="8640"/>
      </w:tabs>
    </w:pPr>
  </w:style>
  <w:style w:type="character" w:customStyle="1" w:styleId="PieddepageCar">
    <w:name w:val="Pied de page Car"/>
    <w:link w:val="Pieddepage"/>
    <w:uiPriority w:val="99"/>
    <w:rsid w:val="002A0618"/>
    <w:rPr>
      <w:rFonts w:ascii="Arial" w:hAnsi="Arial"/>
      <w:sz w:val="24"/>
      <w:lang w:eastAsia="fr-FR"/>
    </w:rPr>
  </w:style>
  <w:style w:type="paragraph" w:customStyle="1" w:styleId="Paragraphe">
    <w:name w:val="Paragraphe"/>
    <w:basedOn w:val="Normal"/>
    <w:rsid w:val="008B3C8E"/>
    <w:pPr>
      <w:spacing w:before="120" w:after="120" w:line="500" w:lineRule="exact"/>
      <w:jc w:val="both"/>
    </w:pPr>
    <w:rPr>
      <w:kern w:val="28"/>
    </w:rPr>
  </w:style>
  <w:style w:type="character" w:styleId="Appelnotedebasdep">
    <w:name w:val="footnote reference"/>
    <w:uiPriority w:val="99"/>
    <w:unhideWhenUsed/>
    <w:rsid w:val="008B3C8E"/>
    <w:rPr>
      <w:vertAlign w:val="superscript"/>
    </w:rPr>
  </w:style>
  <w:style w:type="paragraph" w:customStyle="1" w:styleId="paragraphe1">
    <w:name w:val="paragraphe1"/>
    <w:basedOn w:val="Normal"/>
    <w:rsid w:val="00B85666"/>
    <w:pPr>
      <w:spacing w:before="120" w:after="120"/>
      <w:ind w:left="283"/>
      <w:jc w:val="both"/>
    </w:pPr>
    <w:rPr>
      <w:rFonts w:cs="Arial"/>
      <w:szCs w:val="24"/>
      <w:lang w:eastAsia="fr-CA"/>
    </w:rPr>
  </w:style>
  <w:style w:type="character" w:customStyle="1" w:styleId="Corpsdutexte2">
    <w:name w:val="Corps du texte (2)_"/>
    <w:rsid w:val="00FD6DA9"/>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Corpsdutexte3">
    <w:name w:val="Corps du texte (3)_"/>
    <w:link w:val="Corpsdutexte30"/>
    <w:rsid w:val="00FD6DA9"/>
    <w:rPr>
      <w:rFonts w:ascii="Microsoft Sans Serif" w:eastAsia="Microsoft Sans Serif" w:hAnsi="Microsoft Sans Serif" w:cs="Microsoft Sans Serif"/>
      <w:b/>
      <w:bCs/>
      <w:sz w:val="22"/>
      <w:szCs w:val="22"/>
      <w:shd w:val="clear" w:color="auto" w:fill="FFFFFF"/>
    </w:rPr>
  </w:style>
  <w:style w:type="character" w:customStyle="1" w:styleId="Corpsdutexte2Gras">
    <w:name w:val="Corps du texte (2) + Gras"/>
    <w:rsid w:val="00FD6DA9"/>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fr-FR" w:eastAsia="fr-FR" w:bidi="fr-FR"/>
    </w:rPr>
  </w:style>
  <w:style w:type="character" w:customStyle="1" w:styleId="Corpsdutexte20">
    <w:name w:val="Corps du texte (2)"/>
    <w:rsid w:val="00FD6DA9"/>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single"/>
      <w:lang w:val="fr-FR" w:eastAsia="fr-FR" w:bidi="fr-FR"/>
    </w:rPr>
  </w:style>
  <w:style w:type="character" w:customStyle="1" w:styleId="Titre10">
    <w:name w:val="Titre #1_"/>
    <w:link w:val="Titre11"/>
    <w:rsid w:val="00FD6DA9"/>
    <w:rPr>
      <w:rFonts w:ascii="Consolas" w:eastAsia="Consolas" w:hAnsi="Consolas" w:cs="Consolas"/>
      <w:b/>
      <w:bCs/>
      <w:w w:val="20"/>
      <w:sz w:val="24"/>
      <w:szCs w:val="24"/>
      <w:shd w:val="clear" w:color="auto" w:fill="FFFFFF"/>
    </w:rPr>
  </w:style>
  <w:style w:type="character" w:customStyle="1" w:styleId="Corpsdutexte5">
    <w:name w:val="Corps du texte (5)_"/>
    <w:link w:val="Corpsdutexte50"/>
    <w:rsid w:val="00FD6DA9"/>
    <w:rPr>
      <w:rFonts w:ascii="Franklin Gothic Demi" w:eastAsia="Franklin Gothic Demi" w:hAnsi="Franklin Gothic Demi" w:cs="Franklin Gothic Demi"/>
      <w:sz w:val="15"/>
      <w:szCs w:val="15"/>
      <w:shd w:val="clear" w:color="auto" w:fill="FFFFFF"/>
    </w:rPr>
  </w:style>
  <w:style w:type="character" w:customStyle="1" w:styleId="Corpsdutexte2Consolas12ptGraschelle20">
    <w:name w:val="Corps du texte (2) + Consolas;12 pt;Gras;Échelle 20%"/>
    <w:rsid w:val="00FD6DA9"/>
    <w:rPr>
      <w:rFonts w:ascii="Consolas" w:eastAsia="Consolas" w:hAnsi="Consolas" w:cs="Consolas"/>
      <w:b/>
      <w:bCs/>
      <w:i w:val="0"/>
      <w:iCs w:val="0"/>
      <w:smallCaps w:val="0"/>
      <w:strike w:val="0"/>
      <w:color w:val="000000"/>
      <w:spacing w:val="0"/>
      <w:w w:val="20"/>
      <w:position w:val="0"/>
      <w:sz w:val="24"/>
      <w:szCs w:val="24"/>
      <w:u w:val="none"/>
      <w:lang w:val="fr-FR" w:eastAsia="fr-FR" w:bidi="fr-FR"/>
    </w:rPr>
  </w:style>
  <w:style w:type="character" w:customStyle="1" w:styleId="Corpsdutexte6">
    <w:name w:val="Corps du texte (6)_"/>
    <w:link w:val="Corpsdutexte60"/>
    <w:rsid w:val="00FD6DA9"/>
    <w:rPr>
      <w:rFonts w:ascii="Franklin Gothic Demi" w:eastAsia="Franklin Gothic Demi" w:hAnsi="Franklin Gothic Demi" w:cs="Franklin Gothic Demi"/>
      <w:sz w:val="15"/>
      <w:szCs w:val="15"/>
      <w:shd w:val="clear" w:color="auto" w:fill="FFFFFF"/>
    </w:rPr>
  </w:style>
  <w:style w:type="character" w:customStyle="1" w:styleId="Corpsdutexte3NonGras">
    <w:name w:val="Corps du texte (3) + Non Gras"/>
    <w:rsid w:val="00FD6DA9"/>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fr-FR" w:eastAsia="fr-FR" w:bidi="fr-FR"/>
    </w:rPr>
  </w:style>
  <w:style w:type="character" w:customStyle="1" w:styleId="Corpsdutexte7">
    <w:name w:val="Corps du texte (7)_"/>
    <w:link w:val="Corpsdutexte70"/>
    <w:rsid w:val="00FD6DA9"/>
    <w:rPr>
      <w:rFonts w:ascii="Garamond" w:eastAsia="Garamond" w:hAnsi="Garamond" w:cs="Garamond"/>
      <w:sz w:val="21"/>
      <w:szCs w:val="21"/>
      <w:shd w:val="clear" w:color="auto" w:fill="FFFFFF"/>
    </w:rPr>
  </w:style>
  <w:style w:type="paragraph" w:customStyle="1" w:styleId="Corpsdutexte30">
    <w:name w:val="Corps du texte (3)"/>
    <w:basedOn w:val="Normal"/>
    <w:link w:val="Corpsdutexte3"/>
    <w:rsid w:val="00FD6DA9"/>
    <w:pPr>
      <w:widowControl w:val="0"/>
      <w:shd w:val="clear" w:color="auto" w:fill="FFFFFF"/>
      <w:spacing w:before="360" w:line="619" w:lineRule="exact"/>
    </w:pPr>
    <w:rPr>
      <w:rFonts w:ascii="Microsoft Sans Serif" w:eastAsia="Microsoft Sans Serif" w:hAnsi="Microsoft Sans Serif" w:cs="Microsoft Sans Serif"/>
      <w:b/>
      <w:bCs/>
      <w:sz w:val="22"/>
      <w:szCs w:val="22"/>
      <w:lang w:eastAsia="fr-CA"/>
    </w:rPr>
  </w:style>
  <w:style w:type="paragraph" w:customStyle="1" w:styleId="Titre11">
    <w:name w:val="Titre #1"/>
    <w:basedOn w:val="Normal"/>
    <w:link w:val="Titre10"/>
    <w:rsid w:val="00FD6DA9"/>
    <w:pPr>
      <w:widowControl w:val="0"/>
      <w:shd w:val="clear" w:color="auto" w:fill="FFFFFF"/>
      <w:spacing w:line="280" w:lineRule="exact"/>
      <w:jc w:val="right"/>
      <w:outlineLvl w:val="0"/>
    </w:pPr>
    <w:rPr>
      <w:rFonts w:ascii="Consolas" w:eastAsia="Consolas" w:hAnsi="Consolas" w:cs="Consolas"/>
      <w:b/>
      <w:bCs/>
      <w:w w:val="20"/>
      <w:szCs w:val="24"/>
      <w:lang w:eastAsia="fr-CA"/>
    </w:rPr>
  </w:style>
  <w:style w:type="paragraph" w:customStyle="1" w:styleId="Corpsdutexte50">
    <w:name w:val="Corps du texte (5)"/>
    <w:basedOn w:val="Normal"/>
    <w:link w:val="Corpsdutexte5"/>
    <w:rsid w:val="00FD6DA9"/>
    <w:pPr>
      <w:widowControl w:val="0"/>
      <w:shd w:val="clear" w:color="auto" w:fill="FFFFFF"/>
      <w:spacing w:line="170" w:lineRule="exact"/>
      <w:jc w:val="right"/>
    </w:pPr>
    <w:rPr>
      <w:rFonts w:ascii="Franklin Gothic Demi" w:eastAsia="Franklin Gothic Demi" w:hAnsi="Franklin Gothic Demi" w:cs="Franklin Gothic Demi"/>
      <w:sz w:val="15"/>
      <w:szCs w:val="15"/>
      <w:lang w:eastAsia="fr-CA"/>
    </w:rPr>
  </w:style>
  <w:style w:type="paragraph" w:customStyle="1" w:styleId="Corpsdutexte60">
    <w:name w:val="Corps du texte (6)"/>
    <w:basedOn w:val="Normal"/>
    <w:link w:val="Corpsdutexte6"/>
    <w:rsid w:val="00FD6DA9"/>
    <w:pPr>
      <w:widowControl w:val="0"/>
      <w:shd w:val="clear" w:color="auto" w:fill="FFFFFF"/>
      <w:spacing w:after="200" w:line="170" w:lineRule="exact"/>
      <w:jc w:val="right"/>
    </w:pPr>
    <w:rPr>
      <w:rFonts w:ascii="Franklin Gothic Demi" w:eastAsia="Franklin Gothic Demi" w:hAnsi="Franklin Gothic Demi" w:cs="Franklin Gothic Demi"/>
      <w:sz w:val="15"/>
      <w:szCs w:val="15"/>
      <w:lang w:eastAsia="fr-CA"/>
    </w:rPr>
  </w:style>
  <w:style w:type="paragraph" w:customStyle="1" w:styleId="Corpsdutexte70">
    <w:name w:val="Corps du texte (7)"/>
    <w:basedOn w:val="Normal"/>
    <w:link w:val="Corpsdutexte7"/>
    <w:rsid w:val="00FD6DA9"/>
    <w:pPr>
      <w:widowControl w:val="0"/>
      <w:shd w:val="clear" w:color="auto" w:fill="FFFFFF"/>
      <w:spacing w:line="394" w:lineRule="exact"/>
      <w:jc w:val="both"/>
    </w:pPr>
    <w:rPr>
      <w:rFonts w:ascii="Garamond" w:eastAsia="Garamond" w:hAnsi="Garamond" w:cs="Garamond"/>
      <w:sz w:val="21"/>
      <w:szCs w:val="21"/>
      <w:lang w:eastAsia="fr-CA"/>
    </w:rPr>
  </w:style>
  <w:style w:type="character" w:customStyle="1" w:styleId="Corpsdutexte2Italique">
    <w:name w:val="Corps du texte (2) + Italique"/>
    <w:rsid w:val="00FD6DA9"/>
    <w:rPr>
      <w:rFonts w:ascii="Arial" w:eastAsia="Arial" w:hAnsi="Arial" w:cs="Arial"/>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8">
    <w:name w:val="Corps du texte (8)_"/>
    <w:link w:val="Corpsdutexte80"/>
    <w:rsid w:val="00B65677"/>
    <w:rPr>
      <w:rFonts w:ascii="Garamond" w:eastAsia="Garamond" w:hAnsi="Garamond" w:cs="Garamond"/>
      <w:b/>
      <w:bCs/>
      <w:i/>
      <w:iCs/>
      <w:sz w:val="30"/>
      <w:szCs w:val="30"/>
      <w:shd w:val="clear" w:color="auto" w:fill="FFFFFF"/>
    </w:rPr>
  </w:style>
  <w:style w:type="paragraph" w:customStyle="1" w:styleId="Corpsdutexte80">
    <w:name w:val="Corps du texte (8)"/>
    <w:basedOn w:val="Normal"/>
    <w:link w:val="Corpsdutexte8"/>
    <w:rsid w:val="00B65677"/>
    <w:pPr>
      <w:widowControl w:val="0"/>
      <w:shd w:val="clear" w:color="auto" w:fill="FFFFFF"/>
      <w:spacing w:before="400" w:after="220" w:line="338" w:lineRule="exact"/>
    </w:pPr>
    <w:rPr>
      <w:rFonts w:ascii="Garamond" w:eastAsia="Garamond" w:hAnsi="Garamond" w:cs="Garamond"/>
      <w:b/>
      <w:bCs/>
      <w:i/>
      <w:iCs/>
      <w:sz w:val="30"/>
      <w:szCs w:val="30"/>
      <w:lang w:eastAsia="fr-CA"/>
    </w:rPr>
  </w:style>
  <w:style w:type="character" w:customStyle="1" w:styleId="Corpsdutexte2Exact">
    <w:name w:val="Corps du texte (2) Exact"/>
    <w:rsid w:val="00B65677"/>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canliisubsection">
    <w:name w:val="canlii_subsection"/>
    <w:rsid w:val="00324D31"/>
  </w:style>
  <w:style w:type="paragraph" w:styleId="Paragraphedeliste">
    <w:name w:val="List Paragraph"/>
    <w:basedOn w:val="Normal"/>
    <w:uiPriority w:val="34"/>
    <w:qFormat/>
    <w:rsid w:val="00B1344D"/>
    <w:pPr>
      <w:ind w:left="708"/>
    </w:pPr>
  </w:style>
  <w:style w:type="character" w:customStyle="1" w:styleId="label-section1">
    <w:name w:val="label-section1"/>
    <w:rsid w:val="00B1344D"/>
    <w:rPr>
      <w:rFonts w:ascii="Arial" w:hAnsi="Arial" w:cs="Arial" w:hint="default"/>
      <w:b/>
      <w:bCs/>
      <w:sz w:val="24"/>
      <w:szCs w:val="24"/>
    </w:rPr>
  </w:style>
  <w:style w:type="character" w:customStyle="1" w:styleId="texte-courant1">
    <w:name w:val="texte-courant1"/>
    <w:rsid w:val="00B1344D"/>
  </w:style>
  <w:style w:type="character" w:customStyle="1" w:styleId="canliisection">
    <w:name w:val="canlii_section"/>
    <w:rsid w:val="00B1344D"/>
  </w:style>
  <w:style w:type="character" w:customStyle="1" w:styleId="label-group6">
    <w:name w:val="label-group6"/>
    <w:rsid w:val="00B1344D"/>
  </w:style>
  <w:style w:type="character" w:customStyle="1" w:styleId="sectionlabel1">
    <w:name w:val="sectionlabel1"/>
    <w:rsid w:val="003A11C3"/>
    <w:rPr>
      <w:b/>
      <w:bCs/>
      <w:color w:val="000000"/>
    </w:rPr>
  </w:style>
  <w:style w:type="character" w:customStyle="1" w:styleId="canliisectionwithsubsection">
    <w:name w:val="canlii_section_with_subsection"/>
    <w:rsid w:val="003A11C3"/>
  </w:style>
  <w:style w:type="paragraph" w:customStyle="1" w:styleId="subsection1">
    <w:name w:val="subsection1"/>
    <w:basedOn w:val="Normal"/>
    <w:rsid w:val="003A11C3"/>
    <w:pPr>
      <w:spacing w:before="168" w:after="120"/>
    </w:pPr>
    <w:rPr>
      <w:rFonts w:ascii="Times New Roman" w:hAnsi="Times New Roman"/>
      <w:szCs w:val="24"/>
      <w:lang w:eastAsia="fr-CA"/>
    </w:rPr>
  </w:style>
  <w:style w:type="character" w:customStyle="1" w:styleId="lawlabel2">
    <w:name w:val="lawlabel2"/>
    <w:rsid w:val="003A11C3"/>
    <w:rPr>
      <w:b/>
      <w:bCs/>
      <w:color w:val="000000"/>
    </w:rPr>
  </w:style>
  <w:style w:type="paragraph" w:customStyle="1" w:styleId="paragraph1">
    <w:name w:val="paragraph1"/>
    <w:basedOn w:val="Normal"/>
    <w:rsid w:val="003A11C3"/>
    <w:pPr>
      <w:spacing w:before="168" w:after="120"/>
      <w:ind w:left="360"/>
    </w:pPr>
    <w:rPr>
      <w:rFonts w:ascii="Times New Roman" w:hAnsi="Times New Roman"/>
      <w:szCs w:val="24"/>
      <w:lang w:eastAsia="fr-CA"/>
    </w:rPr>
  </w:style>
  <w:style w:type="paragraph" w:customStyle="1" w:styleId="section1">
    <w:name w:val="section1"/>
    <w:basedOn w:val="Normal"/>
    <w:rsid w:val="003A11C3"/>
    <w:pPr>
      <w:spacing w:before="168" w:after="120"/>
    </w:pPr>
    <w:rPr>
      <w:rFonts w:ascii="Times New Roman" w:hAnsi="Times New Roman"/>
      <w:szCs w:val="24"/>
      <w:lang w:eastAsia="fr-CA"/>
    </w:rPr>
  </w:style>
  <w:style w:type="paragraph" w:customStyle="1" w:styleId="subparagraph1">
    <w:name w:val="subparagraph1"/>
    <w:basedOn w:val="Normal"/>
    <w:rsid w:val="003A11C3"/>
    <w:pPr>
      <w:spacing w:before="168" w:after="120"/>
      <w:ind w:left="720"/>
    </w:pPr>
    <w:rPr>
      <w:rFonts w:ascii="Times New Roman" w:hAnsi="Times New Roman"/>
      <w:szCs w:val="24"/>
      <w:lang w:eastAsia="fr-CA"/>
    </w:rPr>
  </w:style>
  <w:style w:type="paragraph" w:customStyle="1" w:styleId="section">
    <w:name w:val="section"/>
    <w:basedOn w:val="Normal"/>
    <w:rsid w:val="00F70C08"/>
    <w:pPr>
      <w:spacing w:before="168" w:after="120"/>
    </w:pPr>
    <w:rPr>
      <w:rFonts w:ascii="Times New Roman" w:hAnsi="Times New Roman"/>
      <w:szCs w:val="24"/>
      <w:lang w:eastAsia="fr-CA"/>
    </w:rPr>
  </w:style>
  <w:style w:type="character" w:customStyle="1" w:styleId="sectionlabel">
    <w:name w:val="sectionlabel"/>
    <w:rsid w:val="00F70C08"/>
    <w:rPr>
      <w:b/>
      <w:bCs/>
      <w:color w:val="000000"/>
    </w:rPr>
  </w:style>
  <w:style w:type="character" w:styleId="CitationHTML">
    <w:name w:val="HTML Cite"/>
    <w:uiPriority w:val="99"/>
    <w:semiHidden/>
    <w:unhideWhenUsed/>
    <w:rsid w:val="00F70C08"/>
    <w:rPr>
      <w:i/>
      <w:iCs/>
    </w:rPr>
  </w:style>
  <w:style w:type="paragraph" w:customStyle="1" w:styleId="subsection">
    <w:name w:val="subsection"/>
    <w:basedOn w:val="Normal"/>
    <w:rsid w:val="00F70C08"/>
    <w:pPr>
      <w:spacing w:before="168" w:after="120"/>
    </w:pPr>
    <w:rPr>
      <w:rFonts w:ascii="Times New Roman" w:hAnsi="Times New Roman"/>
      <w:szCs w:val="24"/>
      <w:lang w:eastAsia="fr-CA"/>
    </w:rPr>
  </w:style>
  <w:style w:type="paragraph" w:styleId="Textedebulles">
    <w:name w:val="Balloon Text"/>
    <w:basedOn w:val="Normal"/>
    <w:link w:val="TextedebullesCar"/>
    <w:uiPriority w:val="99"/>
    <w:semiHidden/>
    <w:unhideWhenUsed/>
    <w:rsid w:val="00176A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6A79"/>
    <w:rPr>
      <w:rFonts w:ascii="Segoe UI" w:hAnsi="Segoe UI" w:cs="Segoe UI"/>
      <w:sz w:val="18"/>
      <w:szCs w:val="18"/>
      <w:lang w:eastAsia="fr-FR"/>
    </w:rPr>
  </w:style>
  <w:style w:type="character" w:customStyle="1" w:styleId="Corpsdutexte210ptNonGrasItalique">
    <w:name w:val="Corps du texte (2) + 10 pt;Non Gras;Italique"/>
    <w:rsid w:val="000570B6"/>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Corpsdutexte4Exact">
    <w:name w:val="Corps du texte (4) Exact"/>
    <w:link w:val="Corpsdutexte4"/>
    <w:rsid w:val="000570B6"/>
    <w:rPr>
      <w:rFonts w:ascii="Franklin Gothic Medium" w:eastAsia="Franklin Gothic Medium" w:hAnsi="Franklin Gothic Medium" w:cs="Franklin Gothic Medium"/>
      <w:sz w:val="64"/>
      <w:szCs w:val="64"/>
      <w:shd w:val="clear" w:color="auto" w:fill="FFFFFF"/>
    </w:rPr>
  </w:style>
  <w:style w:type="paragraph" w:customStyle="1" w:styleId="Corpsdutexte4">
    <w:name w:val="Corps du texte (4)"/>
    <w:basedOn w:val="Normal"/>
    <w:link w:val="Corpsdutexte4Exact"/>
    <w:rsid w:val="000570B6"/>
    <w:pPr>
      <w:widowControl w:val="0"/>
      <w:shd w:val="clear" w:color="auto" w:fill="FFFFFF"/>
      <w:spacing w:line="726" w:lineRule="exact"/>
    </w:pPr>
    <w:rPr>
      <w:rFonts w:ascii="Franklin Gothic Medium" w:eastAsia="Franklin Gothic Medium" w:hAnsi="Franklin Gothic Medium" w:cs="Franklin Gothic Medium"/>
      <w:sz w:val="64"/>
      <w:szCs w:val="64"/>
      <w:lang w:eastAsia="fr-CA"/>
    </w:rPr>
  </w:style>
  <w:style w:type="character" w:customStyle="1" w:styleId="En-tteoupieddepage">
    <w:name w:val="En-tête ou pied de page_"/>
    <w:rsid w:val="00C94578"/>
    <w:rPr>
      <w:rFonts w:ascii="Arial" w:eastAsia="Arial" w:hAnsi="Arial" w:cs="Arial"/>
      <w:b/>
      <w:bCs/>
      <w:i w:val="0"/>
      <w:iCs w:val="0"/>
      <w:smallCaps w:val="0"/>
      <w:strike w:val="0"/>
      <w:sz w:val="21"/>
      <w:szCs w:val="21"/>
      <w:u w:val="none"/>
    </w:rPr>
  </w:style>
  <w:style w:type="character" w:customStyle="1" w:styleId="En-tteoupieddepage0">
    <w:name w:val="En-tête ou pied de page"/>
    <w:rsid w:val="00C94578"/>
    <w:rPr>
      <w:rFonts w:ascii="Arial" w:eastAsia="Arial" w:hAnsi="Arial" w:cs="Arial"/>
      <w:b/>
      <w:bCs/>
      <w:i w:val="0"/>
      <w:iCs w:val="0"/>
      <w:smallCaps w:val="0"/>
      <w:strike w:val="0"/>
      <w:color w:val="000000"/>
      <w:spacing w:val="0"/>
      <w:w w:val="100"/>
      <w:position w:val="0"/>
      <w:sz w:val="21"/>
      <w:szCs w:val="21"/>
      <w:u w:val="none"/>
      <w:lang w:val="fr-FR" w:eastAsia="fr-FR" w:bidi="fr-FR"/>
    </w:rPr>
  </w:style>
  <w:style w:type="character" w:customStyle="1" w:styleId="Titre30">
    <w:name w:val="Titre #3_"/>
    <w:link w:val="Titre31"/>
    <w:rsid w:val="00816A75"/>
    <w:rPr>
      <w:rFonts w:ascii="Arial" w:eastAsia="Arial" w:hAnsi="Arial" w:cs="Arial"/>
      <w:b/>
      <w:bCs/>
      <w:sz w:val="21"/>
      <w:szCs w:val="21"/>
      <w:shd w:val="clear" w:color="auto" w:fill="FFFFFF"/>
    </w:rPr>
  </w:style>
  <w:style w:type="paragraph" w:customStyle="1" w:styleId="Titre31">
    <w:name w:val="Titre #3"/>
    <w:basedOn w:val="Normal"/>
    <w:link w:val="Titre30"/>
    <w:rsid w:val="00816A75"/>
    <w:pPr>
      <w:widowControl w:val="0"/>
      <w:shd w:val="clear" w:color="auto" w:fill="FFFFFF"/>
      <w:spacing w:before="500" w:after="240" w:line="234" w:lineRule="exact"/>
      <w:ind w:hanging="820"/>
      <w:jc w:val="both"/>
      <w:outlineLvl w:val="2"/>
    </w:pPr>
    <w:rPr>
      <w:rFonts w:eastAsia="Arial" w:cs="Arial"/>
      <w:b/>
      <w:bCs/>
      <w:sz w:val="21"/>
      <w:szCs w:val="21"/>
      <w:lang w:eastAsia="fr-CA"/>
    </w:rPr>
  </w:style>
  <w:style w:type="character" w:customStyle="1" w:styleId="En-tteoupieddepageArial12ptGras">
    <w:name w:val="En-tête ou pied de page + Arial;12 pt;Gras"/>
    <w:rsid w:val="00816A75"/>
    <w:rPr>
      <w:rFonts w:ascii="Arial" w:eastAsia="Arial" w:hAnsi="Arial" w:cs="Arial"/>
      <w:b/>
      <w:bCs/>
      <w:i w:val="0"/>
      <w:iCs w:val="0"/>
      <w:smallCaps w:val="0"/>
      <w:strike w:val="0"/>
      <w:color w:val="000000"/>
      <w:spacing w:val="0"/>
      <w:w w:val="100"/>
      <w:position w:val="0"/>
      <w:sz w:val="24"/>
      <w:szCs w:val="24"/>
      <w:u w:val="none"/>
      <w:lang w:val="fr-FR" w:eastAsia="fr-FR" w:bidi="fr-FR"/>
    </w:rPr>
  </w:style>
  <w:style w:type="character" w:customStyle="1" w:styleId="Corpsdutexte10">
    <w:name w:val="Corps du texte (10)_"/>
    <w:link w:val="Corpsdutexte100"/>
    <w:rsid w:val="003E61F4"/>
    <w:rPr>
      <w:rFonts w:ascii="Arial Unicode MS" w:eastAsia="Arial Unicode MS" w:hAnsi="Arial Unicode MS" w:cs="Arial Unicode MS"/>
      <w:sz w:val="24"/>
      <w:szCs w:val="24"/>
      <w:shd w:val="clear" w:color="auto" w:fill="FFFFFF"/>
    </w:rPr>
  </w:style>
  <w:style w:type="paragraph" w:customStyle="1" w:styleId="Corpsdutexte100">
    <w:name w:val="Corps du texte (10)"/>
    <w:basedOn w:val="Normal"/>
    <w:link w:val="Corpsdutexte10"/>
    <w:rsid w:val="003E61F4"/>
    <w:pPr>
      <w:widowControl w:val="0"/>
      <w:shd w:val="clear" w:color="auto" w:fill="FFFFFF"/>
      <w:spacing w:after="120" w:line="278" w:lineRule="exact"/>
      <w:jc w:val="both"/>
    </w:pPr>
    <w:rPr>
      <w:rFonts w:ascii="Arial Unicode MS" w:eastAsia="Arial Unicode MS" w:hAnsi="Arial Unicode MS" w:cs="Arial Unicode MS"/>
      <w:szCs w:val="24"/>
      <w:lang w:eastAsia="fr-CA"/>
    </w:rPr>
  </w:style>
  <w:style w:type="paragraph" w:customStyle="1" w:styleId="1">
    <w:name w:val="1"/>
    <w:basedOn w:val="Normal"/>
    <w:rsid w:val="00B267ED"/>
    <w:pPr>
      <w:autoSpaceDE w:val="0"/>
      <w:autoSpaceDN w:val="0"/>
      <w:ind w:hanging="720"/>
    </w:pPr>
    <w:rPr>
      <w:rFonts w:ascii="Times New Roman" w:hAnsi="Times New Roman"/>
      <w:szCs w:val="24"/>
      <w:lang w:eastAsia="fr-CA"/>
    </w:rPr>
  </w:style>
  <w:style w:type="character" w:customStyle="1" w:styleId="NotedebasdepageCar">
    <w:name w:val="Note de bas de page Car"/>
    <w:basedOn w:val="Policepardfaut"/>
    <w:link w:val="Notedebasdepage"/>
    <w:uiPriority w:val="99"/>
    <w:rsid w:val="001D18DF"/>
    <w:rPr>
      <w:rFonts w:ascii="Arial" w:hAnsi="Arial"/>
      <w:lang w:eastAsia="fr-FR"/>
    </w:rPr>
  </w:style>
  <w:style w:type="paragraph" w:customStyle="1" w:styleId="MTBodyDoubleIndent">
    <w:name w:val="MTBodyDoubleIndent"/>
    <w:basedOn w:val="Normal"/>
    <w:link w:val="MTBodyDoubleIndentCar"/>
    <w:rsid w:val="00DF4E65"/>
    <w:pPr>
      <w:spacing w:after="240"/>
      <w:ind w:left="1440" w:right="1440"/>
      <w:jc w:val="both"/>
    </w:pPr>
    <w:rPr>
      <w:rFonts w:ascii="Times New Roman" w:hAnsi="Times New Roman"/>
      <w:sz w:val="22"/>
      <w:lang w:eastAsia="en-US"/>
    </w:rPr>
  </w:style>
  <w:style w:type="character" w:customStyle="1" w:styleId="MTBodyDoubleIndentCar">
    <w:name w:val="MTBodyDoubleIndent Car"/>
    <w:link w:val="MTBodyDoubleIndent"/>
    <w:rsid w:val="00DF4E65"/>
    <w:rPr>
      <w:sz w:val="22"/>
      <w:lang w:eastAsia="en-US"/>
    </w:rPr>
  </w:style>
  <w:style w:type="character" w:customStyle="1" w:styleId="normaltextrun">
    <w:name w:val="normaltextrun"/>
    <w:basedOn w:val="Policepardfaut"/>
    <w:rsid w:val="00DF4E65"/>
  </w:style>
  <w:style w:type="paragraph" w:styleId="Citation">
    <w:name w:val="Quote"/>
    <w:basedOn w:val="Normal"/>
    <w:next w:val="Normal"/>
    <w:link w:val="CitationCar"/>
    <w:uiPriority w:val="29"/>
    <w:qFormat/>
    <w:rsid w:val="00DF4E6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DF4E65"/>
    <w:rPr>
      <w:rFonts w:ascii="Arial" w:hAnsi="Arial"/>
      <w:i/>
      <w:iCs/>
      <w:color w:val="404040" w:themeColor="text1" w:themeTint="BF"/>
      <w:sz w:val="24"/>
      <w:lang w:eastAsia="fr-FR"/>
    </w:rPr>
  </w:style>
  <w:style w:type="paragraph" w:customStyle="1" w:styleId="Texte">
    <w:name w:val="Texte"/>
    <w:basedOn w:val="Normal"/>
    <w:link w:val="TexteCar"/>
    <w:qFormat/>
    <w:rsid w:val="00DF4E65"/>
    <w:pPr>
      <w:spacing w:after="240" w:line="360" w:lineRule="auto"/>
      <w:jc w:val="both"/>
    </w:pPr>
    <w:rPr>
      <w:rFonts w:ascii="Times New Roman" w:hAnsi="Times New Roman"/>
    </w:rPr>
  </w:style>
  <w:style w:type="character" w:customStyle="1" w:styleId="TexteCar">
    <w:name w:val="Texte Car"/>
    <w:link w:val="Texte"/>
    <w:rsid w:val="00DF4E65"/>
    <w:rPr>
      <w:sz w:val="24"/>
      <w:lang w:eastAsia="fr-FR"/>
    </w:rPr>
  </w:style>
  <w:style w:type="paragraph" w:customStyle="1" w:styleId="Fincit">
    <w:name w:val="Fin cit."/>
    <w:basedOn w:val="Citation"/>
    <w:next w:val="Texte"/>
    <w:uiPriority w:val="29"/>
    <w:qFormat/>
    <w:rsid w:val="00DF4E65"/>
    <w:pPr>
      <w:spacing w:before="0" w:after="360"/>
      <w:ind w:left="567" w:right="590"/>
      <w:jc w:val="both"/>
    </w:pPr>
    <w:rPr>
      <w:rFonts w:ascii="Times New Roman" w:hAnsi="Times New Roman"/>
      <w:i w:val="0"/>
      <w:iCs w:val="0"/>
      <w:color w:val="auto"/>
      <w:sz w:val="22"/>
    </w:rPr>
  </w:style>
  <w:style w:type="character" w:styleId="Lienvisit">
    <w:name w:val="FollowedHyperlink"/>
    <w:basedOn w:val="Policepardfaut"/>
    <w:uiPriority w:val="99"/>
    <w:semiHidden/>
    <w:unhideWhenUsed/>
    <w:rsid w:val="00DF4E65"/>
    <w:rPr>
      <w:color w:val="954F72" w:themeColor="followedHyperlink"/>
      <w:u w:val="single"/>
    </w:rPr>
  </w:style>
  <w:style w:type="character" w:styleId="Marquedecommentaire">
    <w:name w:val="annotation reference"/>
    <w:basedOn w:val="Policepardfaut"/>
    <w:uiPriority w:val="99"/>
    <w:semiHidden/>
    <w:unhideWhenUsed/>
    <w:rsid w:val="00DF4E65"/>
    <w:rPr>
      <w:sz w:val="16"/>
      <w:szCs w:val="16"/>
    </w:rPr>
  </w:style>
  <w:style w:type="paragraph" w:styleId="Commentaire">
    <w:name w:val="annotation text"/>
    <w:basedOn w:val="Normal"/>
    <w:link w:val="CommentaireCar"/>
    <w:uiPriority w:val="99"/>
    <w:unhideWhenUsed/>
    <w:rsid w:val="00DF4E65"/>
    <w:rPr>
      <w:sz w:val="20"/>
    </w:rPr>
  </w:style>
  <w:style w:type="character" w:customStyle="1" w:styleId="CommentaireCar">
    <w:name w:val="Commentaire Car"/>
    <w:basedOn w:val="Policepardfaut"/>
    <w:link w:val="Commentaire"/>
    <w:uiPriority w:val="99"/>
    <w:rsid w:val="00DF4E65"/>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DF4E65"/>
    <w:rPr>
      <w:b/>
      <w:bCs/>
    </w:rPr>
  </w:style>
  <w:style w:type="character" w:customStyle="1" w:styleId="ObjetducommentaireCar">
    <w:name w:val="Objet du commentaire Car"/>
    <w:basedOn w:val="CommentaireCar"/>
    <w:link w:val="Objetducommentaire"/>
    <w:uiPriority w:val="99"/>
    <w:semiHidden/>
    <w:rsid w:val="00DF4E65"/>
    <w:rPr>
      <w:rFonts w:ascii="Arial" w:hAnsi="Arial"/>
      <w:b/>
      <w:bCs/>
      <w:lang w:eastAsia="fr-FR"/>
    </w:rPr>
  </w:style>
  <w:style w:type="paragraph" w:styleId="Rvision">
    <w:name w:val="Revision"/>
    <w:hidden/>
    <w:uiPriority w:val="99"/>
    <w:semiHidden/>
    <w:rsid w:val="00DF4E65"/>
    <w:rPr>
      <w:rFonts w:ascii="Arial" w:hAnsi="Arial"/>
      <w:sz w:val="24"/>
      <w:lang w:eastAsia="fr-FR"/>
    </w:rPr>
  </w:style>
  <w:style w:type="table" w:styleId="Grilledutableau">
    <w:name w:val="Table Grid"/>
    <w:basedOn w:val="TableauNormal"/>
    <w:uiPriority w:val="59"/>
    <w:rsid w:val="00DF4E6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DF4E65"/>
    <w:pPr>
      <w:spacing w:before="100" w:beforeAutospacing="1" w:after="100" w:afterAutospacing="1"/>
    </w:pPr>
    <w:rPr>
      <w:rFonts w:ascii="Times New Roman" w:hAnsi="Times New Roman"/>
      <w:szCs w:val="24"/>
      <w:lang w:eastAsia="fr-CA"/>
    </w:rPr>
  </w:style>
  <w:style w:type="paragraph" w:customStyle="1" w:styleId="page">
    <w:name w:val="page"/>
    <w:basedOn w:val="Normal"/>
    <w:rsid w:val="00DF4E65"/>
    <w:pPr>
      <w:spacing w:before="100" w:beforeAutospacing="1" w:after="100" w:afterAutospacing="1"/>
    </w:pPr>
    <w:rPr>
      <w:rFonts w:ascii="Times New Roman" w:hAnsi="Times New Roman"/>
      <w:szCs w:val="24"/>
      <w:lang w:eastAsia="fr-CA"/>
    </w:rPr>
  </w:style>
  <w:style w:type="character" w:styleId="Mentionnonrsolue">
    <w:name w:val="Unresolved Mention"/>
    <w:basedOn w:val="Policepardfaut"/>
    <w:uiPriority w:val="99"/>
    <w:semiHidden/>
    <w:unhideWhenUsed/>
    <w:rsid w:val="00DF4E65"/>
    <w:rPr>
      <w:color w:val="605E5C"/>
      <w:shd w:val="clear" w:color="auto" w:fill="E1DFDD"/>
    </w:rPr>
  </w:style>
  <w:style w:type="paragraph" w:styleId="PrformatHTML">
    <w:name w:val="HTML Preformatted"/>
    <w:basedOn w:val="Normal"/>
    <w:link w:val="PrformatHTMLCar"/>
    <w:uiPriority w:val="99"/>
    <w:semiHidden/>
    <w:unhideWhenUsed/>
    <w:rsid w:val="00D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CA"/>
    </w:rPr>
  </w:style>
  <w:style w:type="character" w:customStyle="1" w:styleId="PrformatHTMLCar">
    <w:name w:val="Préformaté HTML Car"/>
    <w:basedOn w:val="Policepardfaut"/>
    <w:link w:val="PrformatHTML"/>
    <w:uiPriority w:val="99"/>
    <w:semiHidden/>
    <w:rsid w:val="00DF4E6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824">
      <w:bodyDiv w:val="1"/>
      <w:marLeft w:val="0"/>
      <w:marRight w:val="0"/>
      <w:marTop w:val="0"/>
      <w:marBottom w:val="0"/>
      <w:divBdr>
        <w:top w:val="none" w:sz="0" w:space="0" w:color="auto"/>
        <w:left w:val="none" w:sz="0" w:space="0" w:color="auto"/>
        <w:bottom w:val="none" w:sz="0" w:space="0" w:color="auto"/>
        <w:right w:val="none" w:sz="0" w:space="0" w:color="auto"/>
      </w:divBdr>
      <w:divsChild>
        <w:div w:id="1205827082">
          <w:marLeft w:val="0"/>
          <w:marRight w:val="0"/>
          <w:marTop w:val="0"/>
          <w:marBottom w:val="0"/>
          <w:divBdr>
            <w:top w:val="none" w:sz="0" w:space="0" w:color="auto"/>
            <w:left w:val="none" w:sz="0" w:space="0" w:color="auto"/>
            <w:bottom w:val="none" w:sz="0" w:space="0" w:color="auto"/>
            <w:right w:val="none" w:sz="0" w:space="0" w:color="auto"/>
          </w:divBdr>
          <w:divsChild>
            <w:div w:id="416831156">
              <w:marLeft w:val="0"/>
              <w:marRight w:val="0"/>
              <w:marTop w:val="0"/>
              <w:marBottom w:val="0"/>
              <w:divBdr>
                <w:top w:val="none" w:sz="0" w:space="0" w:color="auto"/>
                <w:left w:val="none" w:sz="0" w:space="0" w:color="auto"/>
                <w:bottom w:val="none" w:sz="0" w:space="0" w:color="auto"/>
                <w:right w:val="none" w:sz="0" w:space="0" w:color="auto"/>
              </w:divBdr>
              <w:divsChild>
                <w:div w:id="20293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59235">
      <w:bodyDiv w:val="1"/>
      <w:marLeft w:val="0"/>
      <w:marRight w:val="0"/>
      <w:marTop w:val="0"/>
      <w:marBottom w:val="0"/>
      <w:divBdr>
        <w:top w:val="none" w:sz="0" w:space="0" w:color="auto"/>
        <w:left w:val="none" w:sz="0" w:space="0" w:color="auto"/>
        <w:bottom w:val="none" w:sz="0" w:space="0" w:color="auto"/>
        <w:right w:val="none" w:sz="0" w:space="0" w:color="auto"/>
      </w:divBdr>
      <w:divsChild>
        <w:div w:id="213198784">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sChild>
                <w:div w:id="54161417">
                  <w:marLeft w:val="0"/>
                  <w:marRight w:val="0"/>
                  <w:marTop w:val="0"/>
                  <w:marBottom w:val="0"/>
                  <w:divBdr>
                    <w:top w:val="none" w:sz="0" w:space="0" w:color="auto"/>
                    <w:left w:val="none" w:sz="0" w:space="0" w:color="auto"/>
                    <w:bottom w:val="none" w:sz="0" w:space="0" w:color="auto"/>
                    <w:right w:val="none" w:sz="0" w:space="0" w:color="auto"/>
                  </w:divBdr>
                  <w:divsChild>
                    <w:div w:id="2118138374">
                      <w:marLeft w:val="0"/>
                      <w:marRight w:val="0"/>
                      <w:marTop w:val="0"/>
                      <w:marBottom w:val="0"/>
                      <w:divBdr>
                        <w:top w:val="none" w:sz="0" w:space="0" w:color="auto"/>
                        <w:left w:val="none" w:sz="0" w:space="0" w:color="auto"/>
                        <w:bottom w:val="none" w:sz="0" w:space="0" w:color="auto"/>
                        <w:right w:val="none" w:sz="0" w:space="0" w:color="auto"/>
                      </w:divBdr>
                      <w:divsChild>
                        <w:div w:id="1913660779">
                          <w:marLeft w:val="0"/>
                          <w:marRight w:val="0"/>
                          <w:marTop w:val="0"/>
                          <w:marBottom w:val="0"/>
                          <w:divBdr>
                            <w:top w:val="none" w:sz="0" w:space="0" w:color="auto"/>
                            <w:left w:val="none" w:sz="0" w:space="0" w:color="auto"/>
                            <w:bottom w:val="none" w:sz="0" w:space="0" w:color="auto"/>
                            <w:right w:val="none" w:sz="0" w:space="0" w:color="auto"/>
                          </w:divBdr>
                          <w:divsChild>
                            <w:div w:id="1620070155">
                              <w:marLeft w:val="0"/>
                              <w:marRight w:val="0"/>
                              <w:marTop w:val="0"/>
                              <w:marBottom w:val="0"/>
                              <w:divBdr>
                                <w:top w:val="none" w:sz="0" w:space="0" w:color="auto"/>
                                <w:left w:val="none" w:sz="0" w:space="0" w:color="auto"/>
                                <w:bottom w:val="none" w:sz="0" w:space="0" w:color="auto"/>
                                <w:right w:val="none" w:sz="0" w:space="0" w:color="auto"/>
                              </w:divBdr>
                              <w:divsChild>
                                <w:div w:id="1022167060">
                                  <w:marLeft w:val="0"/>
                                  <w:marRight w:val="0"/>
                                  <w:marTop w:val="0"/>
                                  <w:marBottom w:val="0"/>
                                  <w:divBdr>
                                    <w:top w:val="none" w:sz="0" w:space="0" w:color="auto"/>
                                    <w:left w:val="none" w:sz="0" w:space="0" w:color="auto"/>
                                    <w:bottom w:val="none" w:sz="0" w:space="0" w:color="auto"/>
                                    <w:right w:val="none" w:sz="0" w:space="0" w:color="auto"/>
                                  </w:divBdr>
                                  <w:divsChild>
                                    <w:div w:id="915280852">
                                      <w:marLeft w:val="0"/>
                                      <w:marRight w:val="0"/>
                                      <w:marTop w:val="0"/>
                                      <w:marBottom w:val="0"/>
                                      <w:divBdr>
                                        <w:top w:val="none" w:sz="0" w:space="0" w:color="auto"/>
                                        <w:left w:val="none" w:sz="0" w:space="0" w:color="auto"/>
                                        <w:bottom w:val="none" w:sz="0" w:space="0" w:color="auto"/>
                                        <w:right w:val="none" w:sz="0" w:space="0" w:color="auto"/>
                                      </w:divBdr>
                                      <w:divsChild>
                                        <w:div w:id="156727806">
                                          <w:marLeft w:val="0"/>
                                          <w:marRight w:val="0"/>
                                          <w:marTop w:val="0"/>
                                          <w:marBottom w:val="0"/>
                                          <w:divBdr>
                                            <w:top w:val="none" w:sz="0" w:space="0" w:color="auto"/>
                                            <w:left w:val="none" w:sz="0" w:space="0" w:color="auto"/>
                                            <w:bottom w:val="none" w:sz="0" w:space="0" w:color="auto"/>
                                            <w:right w:val="none" w:sz="0" w:space="0" w:color="auto"/>
                                          </w:divBdr>
                                          <w:divsChild>
                                            <w:div w:id="94325338">
                                              <w:marLeft w:val="0"/>
                                              <w:marRight w:val="0"/>
                                              <w:marTop w:val="219"/>
                                              <w:marBottom w:val="0"/>
                                              <w:divBdr>
                                                <w:top w:val="none" w:sz="0" w:space="0" w:color="auto"/>
                                                <w:left w:val="none" w:sz="0" w:space="0" w:color="auto"/>
                                                <w:bottom w:val="none" w:sz="0" w:space="0" w:color="auto"/>
                                                <w:right w:val="none" w:sz="0" w:space="0" w:color="auto"/>
                                              </w:divBdr>
                                              <w:divsChild>
                                                <w:div w:id="253132371">
                                                  <w:marLeft w:val="0"/>
                                                  <w:marRight w:val="0"/>
                                                  <w:marTop w:val="260"/>
                                                  <w:marBottom w:val="240"/>
                                                  <w:divBdr>
                                                    <w:top w:val="none" w:sz="0" w:space="0" w:color="auto"/>
                                                    <w:left w:val="none" w:sz="0" w:space="0" w:color="auto"/>
                                                    <w:bottom w:val="none" w:sz="0" w:space="0" w:color="auto"/>
                                                    <w:right w:val="none" w:sz="0" w:space="0" w:color="auto"/>
                                                  </w:divBdr>
                                                </w:div>
                                                <w:div w:id="1519924898">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106884">
      <w:bodyDiv w:val="1"/>
      <w:marLeft w:val="0"/>
      <w:marRight w:val="0"/>
      <w:marTop w:val="0"/>
      <w:marBottom w:val="0"/>
      <w:divBdr>
        <w:top w:val="none" w:sz="0" w:space="0" w:color="auto"/>
        <w:left w:val="none" w:sz="0" w:space="0" w:color="auto"/>
        <w:bottom w:val="none" w:sz="0" w:space="0" w:color="auto"/>
        <w:right w:val="none" w:sz="0" w:space="0" w:color="auto"/>
      </w:divBdr>
      <w:divsChild>
        <w:div w:id="965231549">
          <w:marLeft w:val="0"/>
          <w:marRight w:val="0"/>
          <w:marTop w:val="0"/>
          <w:marBottom w:val="0"/>
          <w:divBdr>
            <w:top w:val="none" w:sz="0" w:space="0" w:color="auto"/>
            <w:left w:val="none" w:sz="0" w:space="0" w:color="auto"/>
            <w:bottom w:val="none" w:sz="0" w:space="0" w:color="auto"/>
            <w:right w:val="none" w:sz="0" w:space="0" w:color="auto"/>
          </w:divBdr>
          <w:divsChild>
            <w:div w:id="1581914012">
              <w:marLeft w:val="0"/>
              <w:marRight w:val="0"/>
              <w:marTop w:val="0"/>
              <w:marBottom w:val="0"/>
              <w:divBdr>
                <w:top w:val="none" w:sz="0" w:space="0" w:color="auto"/>
                <w:left w:val="none" w:sz="0" w:space="0" w:color="auto"/>
                <w:bottom w:val="none" w:sz="0" w:space="0" w:color="auto"/>
                <w:right w:val="none" w:sz="0" w:space="0" w:color="auto"/>
              </w:divBdr>
              <w:divsChild>
                <w:div w:id="302348792">
                  <w:marLeft w:val="0"/>
                  <w:marRight w:val="0"/>
                  <w:marTop w:val="0"/>
                  <w:marBottom w:val="0"/>
                  <w:divBdr>
                    <w:top w:val="none" w:sz="0" w:space="0" w:color="auto"/>
                    <w:left w:val="none" w:sz="0" w:space="0" w:color="auto"/>
                    <w:bottom w:val="none" w:sz="0" w:space="0" w:color="auto"/>
                    <w:right w:val="none" w:sz="0" w:space="0" w:color="auto"/>
                  </w:divBdr>
                  <w:divsChild>
                    <w:div w:id="345597339">
                      <w:marLeft w:val="0"/>
                      <w:marRight w:val="0"/>
                      <w:marTop w:val="0"/>
                      <w:marBottom w:val="0"/>
                      <w:divBdr>
                        <w:top w:val="none" w:sz="0" w:space="0" w:color="auto"/>
                        <w:left w:val="none" w:sz="0" w:space="0" w:color="auto"/>
                        <w:bottom w:val="none" w:sz="0" w:space="0" w:color="auto"/>
                        <w:right w:val="none" w:sz="0" w:space="0" w:color="auto"/>
                      </w:divBdr>
                      <w:divsChild>
                        <w:div w:id="114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84962">
      <w:bodyDiv w:val="1"/>
      <w:marLeft w:val="0"/>
      <w:marRight w:val="0"/>
      <w:marTop w:val="0"/>
      <w:marBottom w:val="0"/>
      <w:divBdr>
        <w:top w:val="none" w:sz="0" w:space="0" w:color="auto"/>
        <w:left w:val="none" w:sz="0" w:space="0" w:color="auto"/>
        <w:bottom w:val="none" w:sz="0" w:space="0" w:color="auto"/>
        <w:right w:val="none" w:sz="0" w:space="0" w:color="auto"/>
      </w:divBdr>
    </w:div>
    <w:div w:id="1371418285">
      <w:bodyDiv w:val="1"/>
      <w:marLeft w:val="0"/>
      <w:marRight w:val="0"/>
      <w:marTop w:val="0"/>
      <w:marBottom w:val="0"/>
      <w:divBdr>
        <w:top w:val="none" w:sz="0" w:space="0" w:color="auto"/>
        <w:left w:val="none" w:sz="0" w:space="0" w:color="auto"/>
        <w:bottom w:val="none" w:sz="0" w:space="0" w:color="auto"/>
        <w:right w:val="none" w:sz="0" w:space="0" w:color="auto"/>
      </w:divBdr>
      <w:divsChild>
        <w:div w:id="2033408519">
          <w:marLeft w:val="0"/>
          <w:marRight w:val="0"/>
          <w:marTop w:val="0"/>
          <w:marBottom w:val="0"/>
          <w:divBdr>
            <w:top w:val="none" w:sz="0" w:space="0" w:color="auto"/>
            <w:left w:val="none" w:sz="0" w:space="0" w:color="auto"/>
            <w:bottom w:val="none" w:sz="0" w:space="0" w:color="auto"/>
            <w:right w:val="none" w:sz="0" w:space="0" w:color="auto"/>
          </w:divBdr>
          <w:divsChild>
            <w:div w:id="1555432098">
              <w:marLeft w:val="0"/>
              <w:marRight w:val="0"/>
              <w:marTop w:val="0"/>
              <w:marBottom w:val="0"/>
              <w:divBdr>
                <w:top w:val="none" w:sz="0" w:space="0" w:color="auto"/>
                <w:left w:val="none" w:sz="0" w:space="0" w:color="auto"/>
                <w:bottom w:val="none" w:sz="0" w:space="0" w:color="auto"/>
                <w:right w:val="none" w:sz="0" w:space="0" w:color="auto"/>
              </w:divBdr>
              <w:divsChild>
                <w:div w:id="278151522">
                  <w:marLeft w:val="0"/>
                  <w:marRight w:val="0"/>
                  <w:marTop w:val="0"/>
                  <w:marBottom w:val="0"/>
                  <w:divBdr>
                    <w:top w:val="none" w:sz="0" w:space="0" w:color="auto"/>
                    <w:left w:val="none" w:sz="0" w:space="0" w:color="auto"/>
                    <w:bottom w:val="none" w:sz="0" w:space="0" w:color="auto"/>
                    <w:right w:val="none" w:sz="0" w:space="0" w:color="auto"/>
                  </w:divBdr>
                  <w:divsChild>
                    <w:div w:id="669917010">
                      <w:marLeft w:val="0"/>
                      <w:marRight w:val="0"/>
                      <w:marTop w:val="0"/>
                      <w:marBottom w:val="0"/>
                      <w:divBdr>
                        <w:top w:val="none" w:sz="0" w:space="0" w:color="auto"/>
                        <w:left w:val="none" w:sz="0" w:space="0" w:color="auto"/>
                        <w:bottom w:val="none" w:sz="0" w:space="0" w:color="auto"/>
                        <w:right w:val="none" w:sz="0" w:space="0" w:color="auto"/>
                      </w:divBdr>
                      <w:divsChild>
                        <w:div w:id="716315140">
                          <w:marLeft w:val="0"/>
                          <w:marRight w:val="0"/>
                          <w:marTop w:val="0"/>
                          <w:marBottom w:val="0"/>
                          <w:divBdr>
                            <w:top w:val="none" w:sz="0" w:space="0" w:color="auto"/>
                            <w:left w:val="none" w:sz="0" w:space="0" w:color="auto"/>
                            <w:bottom w:val="none" w:sz="0" w:space="0" w:color="auto"/>
                            <w:right w:val="none" w:sz="0" w:space="0" w:color="auto"/>
                          </w:divBdr>
                          <w:divsChild>
                            <w:div w:id="2078701314">
                              <w:marLeft w:val="0"/>
                              <w:marRight w:val="0"/>
                              <w:marTop w:val="0"/>
                              <w:marBottom w:val="0"/>
                              <w:divBdr>
                                <w:top w:val="none" w:sz="0" w:space="0" w:color="auto"/>
                                <w:left w:val="none" w:sz="0" w:space="0" w:color="auto"/>
                                <w:bottom w:val="none" w:sz="0" w:space="0" w:color="auto"/>
                                <w:right w:val="none" w:sz="0" w:space="0" w:color="auto"/>
                              </w:divBdr>
                              <w:divsChild>
                                <w:div w:id="2089187069">
                                  <w:marLeft w:val="0"/>
                                  <w:marRight w:val="0"/>
                                  <w:marTop w:val="0"/>
                                  <w:marBottom w:val="0"/>
                                  <w:divBdr>
                                    <w:top w:val="none" w:sz="0" w:space="0" w:color="auto"/>
                                    <w:left w:val="none" w:sz="0" w:space="0" w:color="auto"/>
                                    <w:bottom w:val="none" w:sz="0" w:space="0" w:color="auto"/>
                                    <w:right w:val="none" w:sz="0" w:space="0" w:color="auto"/>
                                  </w:divBdr>
                                  <w:divsChild>
                                    <w:div w:id="1577782710">
                                      <w:marLeft w:val="0"/>
                                      <w:marRight w:val="0"/>
                                      <w:marTop w:val="0"/>
                                      <w:marBottom w:val="0"/>
                                      <w:divBdr>
                                        <w:top w:val="none" w:sz="0" w:space="0" w:color="auto"/>
                                        <w:left w:val="none" w:sz="0" w:space="0" w:color="auto"/>
                                        <w:bottom w:val="none" w:sz="0" w:space="0" w:color="auto"/>
                                        <w:right w:val="none" w:sz="0" w:space="0" w:color="auto"/>
                                      </w:divBdr>
                                      <w:divsChild>
                                        <w:div w:id="446507984">
                                          <w:marLeft w:val="0"/>
                                          <w:marRight w:val="0"/>
                                          <w:marTop w:val="0"/>
                                          <w:marBottom w:val="0"/>
                                          <w:divBdr>
                                            <w:top w:val="none" w:sz="0" w:space="0" w:color="auto"/>
                                            <w:left w:val="none" w:sz="0" w:space="0" w:color="auto"/>
                                            <w:bottom w:val="none" w:sz="0" w:space="0" w:color="auto"/>
                                            <w:right w:val="none" w:sz="0" w:space="0" w:color="auto"/>
                                          </w:divBdr>
                                          <w:divsChild>
                                            <w:div w:id="1464470416">
                                              <w:marLeft w:val="0"/>
                                              <w:marRight w:val="0"/>
                                              <w:marTop w:val="0"/>
                                              <w:marBottom w:val="0"/>
                                              <w:divBdr>
                                                <w:top w:val="none" w:sz="0" w:space="0" w:color="auto"/>
                                                <w:left w:val="none" w:sz="0" w:space="0" w:color="auto"/>
                                                <w:bottom w:val="none" w:sz="0" w:space="0" w:color="auto"/>
                                                <w:right w:val="none" w:sz="0" w:space="0" w:color="auto"/>
                                              </w:divBdr>
                                              <w:divsChild>
                                                <w:div w:id="870386028">
                                                  <w:marLeft w:val="0"/>
                                                  <w:marRight w:val="0"/>
                                                  <w:marTop w:val="280"/>
                                                  <w:marBottom w:val="0"/>
                                                  <w:divBdr>
                                                    <w:top w:val="none" w:sz="0" w:space="0" w:color="auto"/>
                                                    <w:left w:val="none" w:sz="0" w:space="0" w:color="auto"/>
                                                    <w:bottom w:val="none" w:sz="0" w:space="0" w:color="auto"/>
                                                    <w:right w:val="none" w:sz="0" w:space="0" w:color="auto"/>
                                                  </w:divBdr>
                                                </w:div>
                                                <w:div w:id="1593273240">
                                                  <w:marLeft w:val="0"/>
                                                  <w:marRight w:val="0"/>
                                                  <w:marTop w:val="219"/>
                                                  <w:marBottom w:val="0"/>
                                                  <w:divBdr>
                                                    <w:top w:val="none" w:sz="0" w:space="0" w:color="auto"/>
                                                    <w:left w:val="none" w:sz="0" w:space="0" w:color="auto"/>
                                                    <w:bottom w:val="none" w:sz="0" w:space="0" w:color="auto"/>
                                                    <w:right w:val="none" w:sz="0" w:space="0" w:color="auto"/>
                                                  </w:divBdr>
                                                  <w:divsChild>
                                                    <w:div w:id="62603381">
                                                      <w:marLeft w:val="0"/>
                                                      <w:marRight w:val="0"/>
                                                      <w:marTop w:val="260"/>
                                                      <w:marBottom w:val="240"/>
                                                      <w:divBdr>
                                                        <w:top w:val="none" w:sz="0" w:space="0" w:color="auto"/>
                                                        <w:left w:val="none" w:sz="0" w:space="0" w:color="auto"/>
                                                        <w:bottom w:val="none" w:sz="0" w:space="0" w:color="auto"/>
                                                        <w:right w:val="none" w:sz="0" w:space="0" w:color="auto"/>
                                                      </w:divBdr>
                                                    </w:div>
                                                    <w:div w:id="1493790905">
                                                      <w:marLeft w:val="0"/>
                                                      <w:marRight w:val="0"/>
                                                      <w:marTop w:val="260"/>
                                                      <w:marBottom w:val="240"/>
                                                      <w:divBdr>
                                                        <w:top w:val="none" w:sz="0" w:space="0" w:color="auto"/>
                                                        <w:left w:val="none" w:sz="0" w:space="0" w:color="auto"/>
                                                        <w:bottom w:val="none" w:sz="0" w:space="0" w:color="auto"/>
                                                        <w:right w:val="none" w:sz="0" w:space="0" w:color="auto"/>
                                                      </w:divBdr>
                                                    </w:div>
                                                    <w:div w:id="519007152">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897304">
      <w:bodyDiv w:val="1"/>
      <w:marLeft w:val="0"/>
      <w:marRight w:val="0"/>
      <w:marTop w:val="0"/>
      <w:marBottom w:val="0"/>
      <w:divBdr>
        <w:top w:val="none" w:sz="0" w:space="0" w:color="auto"/>
        <w:left w:val="none" w:sz="0" w:space="0" w:color="auto"/>
        <w:bottom w:val="none" w:sz="0" w:space="0" w:color="auto"/>
        <w:right w:val="none" w:sz="0" w:space="0" w:color="auto"/>
      </w:divBdr>
      <w:divsChild>
        <w:div w:id="319890924">
          <w:marLeft w:val="0"/>
          <w:marRight w:val="0"/>
          <w:marTop w:val="0"/>
          <w:marBottom w:val="0"/>
          <w:divBdr>
            <w:top w:val="none" w:sz="0" w:space="0" w:color="auto"/>
            <w:left w:val="none" w:sz="0" w:space="0" w:color="auto"/>
            <w:bottom w:val="none" w:sz="0" w:space="0" w:color="auto"/>
            <w:right w:val="none" w:sz="0" w:space="0" w:color="auto"/>
          </w:divBdr>
          <w:divsChild>
            <w:div w:id="1597707806">
              <w:marLeft w:val="0"/>
              <w:marRight w:val="0"/>
              <w:marTop w:val="0"/>
              <w:marBottom w:val="0"/>
              <w:divBdr>
                <w:top w:val="none" w:sz="0" w:space="0" w:color="auto"/>
                <w:left w:val="none" w:sz="0" w:space="0" w:color="auto"/>
                <w:bottom w:val="none" w:sz="0" w:space="0" w:color="auto"/>
                <w:right w:val="none" w:sz="0" w:space="0" w:color="auto"/>
              </w:divBdr>
              <w:divsChild>
                <w:div w:id="977412908">
                  <w:marLeft w:val="0"/>
                  <w:marRight w:val="0"/>
                  <w:marTop w:val="0"/>
                  <w:marBottom w:val="0"/>
                  <w:divBdr>
                    <w:top w:val="none" w:sz="0" w:space="0" w:color="auto"/>
                    <w:left w:val="none" w:sz="0" w:space="0" w:color="auto"/>
                    <w:bottom w:val="none" w:sz="0" w:space="0" w:color="auto"/>
                    <w:right w:val="none" w:sz="0" w:space="0" w:color="auto"/>
                  </w:divBdr>
                  <w:divsChild>
                    <w:div w:id="1210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6426">
      <w:bodyDiv w:val="1"/>
      <w:marLeft w:val="0"/>
      <w:marRight w:val="0"/>
      <w:marTop w:val="0"/>
      <w:marBottom w:val="0"/>
      <w:divBdr>
        <w:top w:val="none" w:sz="0" w:space="0" w:color="auto"/>
        <w:left w:val="none" w:sz="0" w:space="0" w:color="auto"/>
        <w:bottom w:val="none" w:sz="0" w:space="0" w:color="auto"/>
        <w:right w:val="none" w:sz="0" w:space="0" w:color="auto"/>
      </w:divBdr>
      <w:divsChild>
        <w:div w:id="1195996497">
          <w:marLeft w:val="0"/>
          <w:marRight w:val="0"/>
          <w:marTop w:val="0"/>
          <w:marBottom w:val="0"/>
          <w:divBdr>
            <w:top w:val="none" w:sz="0" w:space="0" w:color="auto"/>
            <w:left w:val="none" w:sz="0" w:space="0" w:color="auto"/>
            <w:bottom w:val="none" w:sz="0" w:space="0" w:color="auto"/>
            <w:right w:val="none" w:sz="0" w:space="0" w:color="auto"/>
          </w:divBdr>
          <w:divsChild>
            <w:div w:id="817234012">
              <w:marLeft w:val="0"/>
              <w:marRight w:val="0"/>
              <w:marTop w:val="0"/>
              <w:marBottom w:val="0"/>
              <w:divBdr>
                <w:top w:val="none" w:sz="0" w:space="0" w:color="auto"/>
                <w:left w:val="none" w:sz="0" w:space="0" w:color="auto"/>
                <w:bottom w:val="none" w:sz="0" w:space="0" w:color="auto"/>
                <w:right w:val="none" w:sz="0" w:space="0" w:color="auto"/>
              </w:divBdr>
              <w:divsChild>
                <w:div w:id="176425856">
                  <w:marLeft w:val="0"/>
                  <w:marRight w:val="0"/>
                  <w:marTop w:val="0"/>
                  <w:marBottom w:val="0"/>
                  <w:divBdr>
                    <w:top w:val="none" w:sz="0" w:space="0" w:color="auto"/>
                    <w:left w:val="none" w:sz="0" w:space="0" w:color="auto"/>
                    <w:bottom w:val="none" w:sz="0" w:space="0" w:color="auto"/>
                    <w:right w:val="none" w:sz="0" w:space="0" w:color="auto"/>
                  </w:divBdr>
                  <w:divsChild>
                    <w:div w:id="346055340">
                      <w:marLeft w:val="0"/>
                      <w:marRight w:val="0"/>
                      <w:marTop w:val="0"/>
                      <w:marBottom w:val="0"/>
                      <w:divBdr>
                        <w:top w:val="none" w:sz="0" w:space="0" w:color="auto"/>
                        <w:left w:val="none" w:sz="0" w:space="0" w:color="auto"/>
                        <w:bottom w:val="none" w:sz="0" w:space="0" w:color="auto"/>
                        <w:right w:val="none" w:sz="0" w:space="0" w:color="auto"/>
                      </w:divBdr>
                      <w:divsChild>
                        <w:div w:id="643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661807941">
      <w:bodyDiv w:val="1"/>
      <w:marLeft w:val="0"/>
      <w:marRight w:val="0"/>
      <w:marTop w:val="0"/>
      <w:marBottom w:val="0"/>
      <w:divBdr>
        <w:top w:val="none" w:sz="0" w:space="0" w:color="auto"/>
        <w:left w:val="none" w:sz="0" w:space="0" w:color="auto"/>
        <w:bottom w:val="none" w:sz="0" w:space="0" w:color="auto"/>
        <w:right w:val="none" w:sz="0" w:space="0" w:color="auto"/>
      </w:divBdr>
      <w:divsChild>
        <w:div w:id="451095087">
          <w:marLeft w:val="0"/>
          <w:marRight w:val="0"/>
          <w:marTop w:val="0"/>
          <w:marBottom w:val="0"/>
          <w:divBdr>
            <w:top w:val="none" w:sz="0" w:space="0" w:color="auto"/>
            <w:left w:val="none" w:sz="0" w:space="0" w:color="auto"/>
            <w:bottom w:val="none" w:sz="0" w:space="0" w:color="auto"/>
            <w:right w:val="none" w:sz="0" w:space="0" w:color="auto"/>
          </w:divBdr>
          <w:divsChild>
            <w:div w:id="1218972123">
              <w:marLeft w:val="0"/>
              <w:marRight w:val="0"/>
              <w:marTop w:val="0"/>
              <w:marBottom w:val="0"/>
              <w:divBdr>
                <w:top w:val="none" w:sz="0" w:space="0" w:color="auto"/>
                <w:left w:val="none" w:sz="0" w:space="0" w:color="auto"/>
                <w:bottom w:val="none" w:sz="0" w:space="0" w:color="auto"/>
                <w:right w:val="none" w:sz="0" w:space="0" w:color="auto"/>
              </w:divBdr>
              <w:divsChild>
                <w:div w:id="19091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8509">
      <w:bodyDiv w:val="1"/>
      <w:marLeft w:val="0"/>
      <w:marRight w:val="0"/>
      <w:marTop w:val="0"/>
      <w:marBottom w:val="0"/>
      <w:divBdr>
        <w:top w:val="none" w:sz="0" w:space="0" w:color="auto"/>
        <w:left w:val="none" w:sz="0" w:space="0" w:color="auto"/>
        <w:bottom w:val="none" w:sz="0" w:space="0" w:color="auto"/>
        <w:right w:val="none" w:sz="0" w:space="0" w:color="auto"/>
      </w:divBdr>
      <w:divsChild>
        <w:div w:id="1978877820">
          <w:marLeft w:val="0"/>
          <w:marRight w:val="0"/>
          <w:marTop w:val="0"/>
          <w:marBottom w:val="0"/>
          <w:divBdr>
            <w:top w:val="none" w:sz="0" w:space="0" w:color="auto"/>
            <w:left w:val="none" w:sz="0" w:space="0" w:color="auto"/>
            <w:bottom w:val="none" w:sz="0" w:space="0" w:color="auto"/>
            <w:right w:val="none" w:sz="0" w:space="0" w:color="auto"/>
          </w:divBdr>
          <w:divsChild>
            <w:div w:id="1020011469">
              <w:marLeft w:val="-225"/>
              <w:marRight w:val="-150"/>
              <w:marTop w:val="0"/>
              <w:marBottom w:val="0"/>
              <w:divBdr>
                <w:top w:val="none" w:sz="0" w:space="0" w:color="auto"/>
                <w:left w:val="none" w:sz="0" w:space="0" w:color="auto"/>
                <w:bottom w:val="none" w:sz="0" w:space="0" w:color="auto"/>
                <w:right w:val="none" w:sz="0" w:space="0" w:color="auto"/>
              </w:divBdr>
              <w:divsChild>
                <w:div w:id="2076126953">
                  <w:marLeft w:val="0"/>
                  <w:marRight w:val="0"/>
                  <w:marTop w:val="0"/>
                  <w:marBottom w:val="0"/>
                  <w:divBdr>
                    <w:top w:val="none" w:sz="0" w:space="0" w:color="auto"/>
                    <w:left w:val="none" w:sz="0" w:space="0" w:color="auto"/>
                    <w:bottom w:val="none" w:sz="0" w:space="0" w:color="auto"/>
                    <w:right w:val="none" w:sz="0" w:space="0" w:color="auto"/>
                  </w:divBdr>
                  <w:divsChild>
                    <w:div w:id="260376857">
                      <w:marLeft w:val="0"/>
                      <w:marRight w:val="0"/>
                      <w:marTop w:val="0"/>
                      <w:marBottom w:val="255"/>
                      <w:divBdr>
                        <w:top w:val="none" w:sz="0" w:space="0" w:color="auto"/>
                        <w:left w:val="none" w:sz="0" w:space="0" w:color="auto"/>
                        <w:bottom w:val="none" w:sz="0" w:space="0" w:color="auto"/>
                        <w:right w:val="none" w:sz="0" w:space="0" w:color="auto"/>
                      </w:divBdr>
                      <w:divsChild>
                        <w:div w:id="2029216008">
                          <w:marLeft w:val="0"/>
                          <w:marRight w:val="0"/>
                          <w:marTop w:val="0"/>
                          <w:marBottom w:val="0"/>
                          <w:divBdr>
                            <w:top w:val="none" w:sz="0" w:space="0" w:color="auto"/>
                            <w:left w:val="none" w:sz="0" w:space="0" w:color="auto"/>
                            <w:bottom w:val="none" w:sz="0" w:space="0" w:color="auto"/>
                            <w:right w:val="none" w:sz="0" w:space="0" w:color="auto"/>
                          </w:divBdr>
                          <w:divsChild>
                            <w:div w:id="867645267">
                              <w:marLeft w:val="0"/>
                              <w:marRight w:val="0"/>
                              <w:marTop w:val="0"/>
                              <w:marBottom w:val="255"/>
                              <w:divBdr>
                                <w:top w:val="none" w:sz="0" w:space="0" w:color="auto"/>
                                <w:left w:val="none" w:sz="0" w:space="0" w:color="auto"/>
                                <w:bottom w:val="none" w:sz="0" w:space="0" w:color="auto"/>
                                <w:right w:val="none" w:sz="0" w:space="0" w:color="auto"/>
                              </w:divBdr>
                              <w:divsChild>
                                <w:div w:id="880022944">
                                  <w:marLeft w:val="0"/>
                                  <w:marRight w:val="0"/>
                                  <w:marTop w:val="0"/>
                                  <w:marBottom w:val="0"/>
                                  <w:divBdr>
                                    <w:top w:val="none" w:sz="0" w:space="0" w:color="auto"/>
                                    <w:left w:val="none" w:sz="0" w:space="0" w:color="auto"/>
                                    <w:bottom w:val="none" w:sz="0" w:space="0" w:color="auto"/>
                                    <w:right w:val="none" w:sz="0" w:space="0" w:color="auto"/>
                                  </w:divBdr>
                                  <w:divsChild>
                                    <w:div w:id="1032389510">
                                      <w:marLeft w:val="0"/>
                                      <w:marRight w:val="0"/>
                                      <w:marTop w:val="0"/>
                                      <w:marBottom w:val="0"/>
                                      <w:divBdr>
                                        <w:top w:val="none" w:sz="0" w:space="0" w:color="auto"/>
                                        <w:left w:val="none" w:sz="0" w:space="0" w:color="auto"/>
                                        <w:bottom w:val="none" w:sz="0" w:space="0" w:color="auto"/>
                                        <w:right w:val="none" w:sz="0" w:space="0" w:color="auto"/>
                                      </w:divBdr>
                                      <w:divsChild>
                                        <w:div w:id="385374222">
                                          <w:marLeft w:val="0"/>
                                          <w:marRight w:val="0"/>
                                          <w:marTop w:val="0"/>
                                          <w:marBottom w:val="0"/>
                                          <w:divBdr>
                                            <w:top w:val="none" w:sz="0" w:space="0" w:color="auto"/>
                                            <w:left w:val="none" w:sz="0" w:space="0" w:color="auto"/>
                                            <w:bottom w:val="none" w:sz="0" w:space="0" w:color="auto"/>
                                            <w:right w:val="none" w:sz="0" w:space="0" w:color="auto"/>
                                          </w:divBdr>
                                          <w:divsChild>
                                            <w:div w:id="1807770331">
                                              <w:marLeft w:val="0"/>
                                              <w:marRight w:val="0"/>
                                              <w:marTop w:val="0"/>
                                              <w:marBottom w:val="0"/>
                                              <w:divBdr>
                                                <w:top w:val="none" w:sz="0" w:space="0" w:color="auto"/>
                                                <w:left w:val="none" w:sz="0" w:space="0" w:color="auto"/>
                                                <w:bottom w:val="none" w:sz="0" w:space="0" w:color="auto"/>
                                                <w:right w:val="none" w:sz="0" w:space="0" w:color="auto"/>
                                              </w:divBdr>
                                              <w:divsChild>
                                                <w:div w:id="746926777">
                                                  <w:marLeft w:val="0"/>
                                                  <w:marRight w:val="0"/>
                                                  <w:marTop w:val="0"/>
                                                  <w:marBottom w:val="0"/>
                                                  <w:divBdr>
                                                    <w:top w:val="none" w:sz="0" w:space="0" w:color="auto"/>
                                                    <w:left w:val="none" w:sz="0" w:space="0" w:color="auto"/>
                                                    <w:bottom w:val="none" w:sz="0" w:space="0" w:color="auto"/>
                                                    <w:right w:val="none" w:sz="0" w:space="0" w:color="auto"/>
                                                  </w:divBdr>
                                                  <w:divsChild>
                                                    <w:div w:id="31344739">
                                                      <w:marLeft w:val="0"/>
                                                      <w:marRight w:val="0"/>
                                                      <w:marTop w:val="0"/>
                                                      <w:marBottom w:val="0"/>
                                                      <w:divBdr>
                                                        <w:top w:val="none" w:sz="0" w:space="0" w:color="auto"/>
                                                        <w:left w:val="none" w:sz="0" w:space="0" w:color="auto"/>
                                                        <w:bottom w:val="none" w:sz="0" w:space="0" w:color="auto"/>
                                                        <w:right w:val="none" w:sz="0" w:space="0" w:color="auto"/>
                                                      </w:divBdr>
                                                      <w:divsChild>
                                                        <w:div w:id="2100758702">
                                                          <w:marLeft w:val="0"/>
                                                          <w:marRight w:val="0"/>
                                                          <w:marTop w:val="0"/>
                                                          <w:marBottom w:val="0"/>
                                                          <w:divBdr>
                                                            <w:top w:val="none" w:sz="0" w:space="0" w:color="auto"/>
                                                            <w:left w:val="none" w:sz="0" w:space="0" w:color="auto"/>
                                                            <w:bottom w:val="none" w:sz="0" w:space="0" w:color="auto"/>
                                                            <w:right w:val="none" w:sz="0" w:space="0" w:color="auto"/>
                                                          </w:divBdr>
                                                          <w:divsChild>
                                                            <w:div w:id="1489324584">
                                                              <w:marLeft w:val="0"/>
                                                              <w:marRight w:val="0"/>
                                                              <w:marTop w:val="0"/>
                                                              <w:marBottom w:val="0"/>
                                                              <w:divBdr>
                                                                <w:top w:val="none" w:sz="0" w:space="0" w:color="auto"/>
                                                                <w:left w:val="none" w:sz="0" w:space="0" w:color="auto"/>
                                                                <w:bottom w:val="none" w:sz="0" w:space="0" w:color="auto"/>
                                                                <w:right w:val="none" w:sz="0" w:space="0" w:color="auto"/>
                                                              </w:divBdr>
                                                              <w:divsChild>
                                                                <w:div w:id="1972706989">
                                                                  <w:marLeft w:val="0"/>
                                                                  <w:marRight w:val="0"/>
                                                                  <w:marTop w:val="219"/>
                                                                  <w:marBottom w:val="0"/>
                                                                  <w:divBdr>
                                                                    <w:top w:val="none" w:sz="0" w:space="0" w:color="auto"/>
                                                                    <w:left w:val="none" w:sz="0" w:space="0" w:color="auto"/>
                                                                    <w:bottom w:val="none" w:sz="0" w:space="0" w:color="auto"/>
                                                                    <w:right w:val="none" w:sz="0" w:space="0" w:color="auto"/>
                                                                  </w:divBdr>
                                                                  <w:divsChild>
                                                                    <w:div w:id="1040712926">
                                                                      <w:marLeft w:val="0"/>
                                                                      <w:marRight w:val="0"/>
                                                                      <w:marTop w:val="260"/>
                                                                      <w:marBottom w:val="240"/>
                                                                      <w:divBdr>
                                                                        <w:top w:val="none" w:sz="0" w:space="0" w:color="auto"/>
                                                                        <w:left w:val="none" w:sz="0" w:space="0" w:color="auto"/>
                                                                        <w:bottom w:val="none" w:sz="0" w:space="0" w:color="auto"/>
                                                                        <w:right w:val="none" w:sz="0" w:space="0" w:color="auto"/>
                                                                      </w:divBdr>
                                                                    </w:div>
                                                                    <w:div w:id="964047598">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50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anlii.org/fr/ca/csc/doc/2013/2013csc73/2013csc73.html?resultId=ab745b2725494b3781ccfad4a217bb80&amp;searchId=2026-01-21T16:25:22:856/a588db1a73b4417ea1b40bf8ff99deb2" TargetMode="External"/><Relationship Id="rId7" Type="http://schemas.openxmlformats.org/officeDocument/2006/relationships/hyperlink" Target="http://www.mckellar.com/non-pecuniary-damages-upper-%20%20limits" TargetMode="External"/><Relationship Id="rId2" Type="http://schemas.openxmlformats.org/officeDocument/2006/relationships/hyperlink" Target="https://www.canlii.org/fr/ca/legis/lois/lrc-1985-c-c-47/derniere/lrc-1985-c-c-47.html" TargetMode="External"/><Relationship Id="rId1" Type="http://schemas.openxmlformats.org/officeDocument/2006/relationships/hyperlink" Target="https://www.canlii.org/fr/ca/csc/doc/2008/2008csc48/2008csc48.html?resultId=930a0099fd724f30ade4e8c48553e8e1&amp;searchId=2026-02-23T18:55:10:462/4ce23cb6cfb240edbb22c7676b0a0e02&amp;searchUrlHash=AAAAAQAecy5uLiBhbnTDqWPDqWRlbnRzIGp1ZGljaWFpcmVzAAAAAAE" TargetMode="External"/><Relationship Id="rId6" Type="http://schemas.openxmlformats.org/officeDocument/2006/relationships/hyperlink" Target="https://www.canlii.org/fr/ca/csc/doc/2020/2020csc9/2020csc9.html" TargetMode="External"/><Relationship Id="rId5" Type="http://schemas.openxmlformats.org/officeDocument/2006/relationships/hyperlink" Target="https://www.canlii.org/fr/ca/csc/doc/2019/2019csc35/2019csc35.html" TargetMode="External"/><Relationship Id="rId4" Type="http://schemas.openxmlformats.org/officeDocument/2006/relationships/hyperlink" Target="https://www.canlii.org/fr/ca/csc/doc/2019/2019csc35/2019csc3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uteur_x0020_du_x0020_document xmlns="ddd9db8a-241d-4149-a0d3-7618663a926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7318432890B74C8D8BC34B5353B372" ma:contentTypeVersion="2" ma:contentTypeDescription="Crée un document." ma:contentTypeScope="" ma:versionID="6e0052a9091211f73c24cc39bc861b60">
  <xsd:schema xmlns:xsd="http://www.w3.org/2001/XMLSchema" xmlns:xs="http://www.w3.org/2001/XMLSchema" xmlns:p="http://schemas.microsoft.com/office/2006/metadata/properties" xmlns:ns1="http://schemas.microsoft.com/sharepoint/v3" xmlns:ns2="ddd9db8a-241d-4149-a0d3-7618663a9260" targetNamespace="http://schemas.microsoft.com/office/2006/metadata/properties" ma:root="true" ma:fieldsID="52b8b4e4f19fd2fbc811c37b64dbca3c" ns1:_="" ns2:_="">
    <xsd:import namespace="http://schemas.microsoft.com/sharepoint/v3"/>
    <xsd:import namespace="ddd9db8a-241d-4149-a0d3-7618663a9260"/>
    <xsd:element name="properties">
      <xsd:complexType>
        <xsd:sequence>
          <xsd:element name="documentManagement">
            <xsd:complexType>
              <xsd:all>
                <xsd:element ref="ns1:PublishingStartDate" minOccurs="0"/>
                <xsd:element ref="ns1:PublishingExpirationDate" minOccurs="0"/>
                <xsd:element ref="ns2:Auteur_x0020_du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9db8a-241d-4149-a0d3-7618663a9260" elementFormDefault="qualified">
    <xsd:import namespace="http://schemas.microsoft.com/office/2006/documentManagement/types"/>
    <xsd:import namespace="http://schemas.microsoft.com/office/infopath/2007/PartnerControls"/>
    <xsd:element name="Auteur_x0020_du_x0020_document" ma:index="10" nillable="true" ma:displayName="Auteur du document" ma:description="Auteur principal" ma:internalName="Auteur_x0020_du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121A2-9C3E-4AF9-BD37-FDA465889F14}">
  <ds:schemaRefs>
    <ds:schemaRef ds:uri="http://schemas.openxmlformats.org/officeDocument/2006/bibliography"/>
  </ds:schemaRefs>
</ds:datastoreItem>
</file>

<file path=customXml/itemProps2.xml><?xml version="1.0" encoding="utf-8"?>
<ds:datastoreItem xmlns:ds="http://schemas.openxmlformats.org/officeDocument/2006/customXml" ds:itemID="{124B1385-B317-4A73-AB5B-447180BDB870}">
  <ds:schemaRefs>
    <ds:schemaRef ds:uri="http://schemas.microsoft.com/office/2006/metadata/properties"/>
    <ds:schemaRef ds:uri="http://schemas.microsoft.com/office/infopath/2007/PartnerControls"/>
    <ds:schemaRef ds:uri="ddd9db8a-241d-4149-a0d3-7618663a9260"/>
    <ds:schemaRef ds:uri="http://schemas.microsoft.com/sharepoint/v3"/>
  </ds:schemaRefs>
</ds:datastoreItem>
</file>

<file path=customXml/itemProps3.xml><?xml version="1.0" encoding="utf-8"?>
<ds:datastoreItem xmlns:ds="http://schemas.openxmlformats.org/officeDocument/2006/customXml" ds:itemID="{C36D3F2B-15EA-492A-8B48-2CF10FE3B1AB}">
  <ds:schemaRefs>
    <ds:schemaRef ds:uri="http://schemas.microsoft.com/sharepoint/v3/contenttype/forms"/>
  </ds:schemaRefs>
</ds:datastoreItem>
</file>

<file path=customXml/itemProps4.xml><?xml version="1.0" encoding="utf-8"?>
<ds:datastoreItem xmlns:ds="http://schemas.openxmlformats.org/officeDocument/2006/customXml" ds:itemID="{2C02BE72-5CAA-4D62-A721-D6FB07247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9db8a-241d-4149-a0d3-7618663a9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44</Pages>
  <Words>15286</Words>
  <Characters>78726</Characters>
  <Application>Microsoft Office Word</Application>
  <DocSecurity>0</DocSecurity>
  <Lines>656</Lines>
  <Paragraphs>187</Paragraphs>
  <ScaleCrop>false</ScaleCrop>
  <HeadingPairs>
    <vt:vector size="2" baseType="variant">
      <vt:variant>
        <vt:lpstr>Titre</vt:lpstr>
      </vt:variant>
      <vt:variant>
        <vt:i4>1</vt:i4>
      </vt:variant>
    </vt:vector>
  </HeadingPairs>
  <TitlesOfParts>
    <vt:vector size="1" baseType="lpstr">
      <vt:lpstr>Gabarit EDJ</vt:lpstr>
    </vt:vector>
  </TitlesOfParts>
  <Manager>Stéphane Renauld</Manager>
  <Company>SOQUIJ</Company>
  <LinksUpToDate>false</LinksUpToDate>
  <CharactersWithSpaces>93825</CharactersWithSpaces>
  <SharedDoc>false</SharedDoc>
  <HLinks>
    <vt:vector size="42" baseType="variant">
      <vt:variant>
        <vt:i4>1835061</vt:i4>
      </vt:variant>
      <vt:variant>
        <vt:i4>89</vt:i4>
      </vt:variant>
      <vt:variant>
        <vt:i4>0</vt:i4>
      </vt:variant>
      <vt:variant>
        <vt:i4>5</vt:i4>
      </vt:variant>
      <vt:variant>
        <vt:lpwstr/>
      </vt:variant>
      <vt:variant>
        <vt:lpwstr>_Toc430945549</vt:lpwstr>
      </vt:variant>
      <vt:variant>
        <vt:i4>1835061</vt:i4>
      </vt:variant>
      <vt:variant>
        <vt:i4>83</vt:i4>
      </vt:variant>
      <vt:variant>
        <vt:i4>0</vt:i4>
      </vt:variant>
      <vt:variant>
        <vt:i4>5</vt:i4>
      </vt:variant>
      <vt:variant>
        <vt:lpwstr/>
      </vt:variant>
      <vt:variant>
        <vt:lpwstr>_Toc430945548</vt:lpwstr>
      </vt:variant>
      <vt:variant>
        <vt:i4>1835061</vt:i4>
      </vt:variant>
      <vt:variant>
        <vt:i4>77</vt:i4>
      </vt:variant>
      <vt:variant>
        <vt:i4>0</vt:i4>
      </vt:variant>
      <vt:variant>
        <vt:i4>5</vt:i4>
      </vt:variant>
      <vt:variant>
        <vt:lpwstr/>
      </vt:variant>
      <vt:variant>
        <vt:lpwstr>_Toc430945547</vt:lpwstr>
      </vt:variant>
      <vt:variant>
        <vt:i4>1835061</vt:i4>
      </vt:variant>
      <vt:variant>
        <vt:i4>71</vt:i4>
      </vt:variant>
      <vt:variant>
        <vt:i4>0</vt:i4>
      </vt:variant>
      <vt:variant>
        <vt:i4>5</vt:i4>
      </vt:variant>
      <vt:variant>
        <vt:lpwstr/>
      </vt:variant>
      <vt:variant>
        <vt:lpwstr>_Toc430945546</vt:lpwstr>
      </vt:variant>
      <vt:variant>
        <vt:i4>1835061</vt:i4>
      </vt:variant>
      <vt:variant>
        <vt:i4>65</vt:i4>
      </vt:variant>
      <vt:variant>
        <vt:i4>0</vt:i4>
      </vt:variant>
      <vt:variant>
        <vt:i4>5</vt:i4>
      </vt:variant>
      <vt:variant>
        <vt:lpwstr/>
      </vt:variant>
      <vt:variant>
        <vt:lpwstr>_Toc430945545</vt:lpwstr>
      </vt:variant>
      <vt:variant>
        <vt:i4>1835061</vt:i4>
      </vt:variant>
      <vt:variant>
        <vt:i4>59</vt:i4>
      </vt:variant>
      <vt:variant>
        <vt:i4>0</vt:i4>
      </vt:variant>
      <vt:variant>
        <vt:i4>5</vt:i4>
      </vt:variant>
      <vt:variant>
        <vt:lpwstr/>
      </vt:variant>
      <vt:variant>
        <vt:lpwstr>_Toc430945544</vt:lpwstr>
      </vt:variant>
      <vt:variant>
        <vt:i4>1835061</vt:i4>
      </vt:variant>
      <vt:variant>
        <vt:i4>53</vt:i4>
      </vt:variant>
      <vt:variant>
        <vt:i4>0</vt:i4>
      </vt:variant>
      <vt:variant>
        <vt:i4>5</vt:i4>
      </vt:variant>
      <vt:variant>
        <vt:lpwstr/>
      </vt:variant>
      <vt:variant>
        <vt:lpwstr>_Toc430945543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EDJ</dc:title>
  <dc:subject/>
  <dc:creator>Nathalie Hévey</dc:creator>
  <cp:keywords/>
  <cp:lastModifiedBy>Deschênes, Gabrielle</cp:lastModifiedBy>
  <cp:revision>7</cp:revision>
  <cp:lastPrinted>2026-04-14T15:56:00Z</cp:lastPrinted>
  <dcterms:created xsi:type="dcterms:W3CDTF">2026-04-14T15:57:00Z</dcterms:created>
  <dcterms:modified xsi:type="dcterms:W3CDTF">2026-04-16T15:08:00Z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12/06/2014</vt:lpwstr>
  </property>
  <property fmtid="{D5CDD505-2E9C-101B-9397-08002B2CF9AE}" pid="3" name="Soquij_Version">
    <vt:lpwstr>1.7</vt:lpwstr>
  </property>
  <property fmtid="{D5CDD505-2E9C-101B-9397-08002B2CF9AE}" pid="4" name="Soquij_ModifiePar">
    <vt:lpwstr>carjoh</vt:lpwstr>
  </property>
  <property fmtid="{D5CDD505-2E9C-101B-9397-08002B2CF9AE}" pid="5" name="Soquij_Modele">
    <vt:lpwstr>edj</vt:lpwstr>
  </property>
  <property fmtid="{D5CDD505-2E9C-101B-9397-08002B2CF9AE}" pid="6" name="Soquij_Cour">
    <vt:lpwstr>CS</vt:lpwstr>
  </property>
  <property fmtid="{D5CDD505-2E9C-101B-9397-08002B2CF9AE}" pid="7" name="Soquij_Langue">
    <vt:lpwstr>Fra</vt:lpwstr>
  </property>
  <property fmtid="{D5CDD505-2E9C-101B-9397-08002B2CF9AE}" pid="8" name="ContentTypeId">
    <vt:lpwstr>0x010100777318432890B74C8D8BC34B5353B372</vt:lpwstr>
  </property>
</Properties>
</file>