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5" w:type="dxa"/>
        <w:tblLayout w:type="fixed"/>
        <w:tblCellMar>
          <w:left w:w="70" w:type="dxa"/>
          <w:right w:w="70" w:type="dxa"/>
        </w:tblCellMar>
        <w:tblLook w:val="0000" w:firstRow="0" w:lastRow="0" w:firstColumn="0" w:lastColumn="0" w:noHBand="0" w:noVBand="0"/>
      </w:tblPr>
      <w:tblGrid>
        <w:gridCol w:w="1036"/>
        <w:gridCol w:w="69"/>
        <w:gridCol w:w="520"/>
        <w:gridCol w:w="1575"/>
        <w:gridCol w:w="1826"/>
        <w:gridCol w:w="2059"/>
        <w:gridCol w:w="2420"/>
      </w:tblGrid>
      <w:tr w:rsidR="00A34AC5" w14:paraId="05D25E9F" w14:textId="77777777">
        <w:trPr>
          <w:trHeight w:val="360"/>
        </w:trPr>
        <w:tc>
          <w:tcPr>
            <w:tcW w:w="7085" w:type="dxa"/>
            <w:gridSpan w:val="6"/>
          </w:tcPr>
          <w:p w14:paraId="4F9F818D" w14:textId="2A89982F" w:rsidR="00EF7578" w:rsidRPr="0042225A" w:rsidRDefault="0042225A" w:rsidP="0042225A">
            <w:pPr>
              <w:pStyle w:val="zSoquijdatRepertorie"/>
              <w:rPr>
                <w:rFonts w:cs="Arial"/>
              </w:rPr>
            </w:pPr>
            <w:r>
              <w:rPr>
                <w:rFonts w:cs="Arial"/>
              </w:rPr>
              <w:t>Barreau du Québec c. Roy</w:t>
            </w:r>
          </w:p>
        </w:tc>
        <w:tc>
          <w:tcPr>
            <w:tcW w:w="2420" w:type="dxa"/>
          </w:tcPr>
          <w:p w14:paraId="3539CF4C" w14:textId="20616A57" w:rsidR="00EF7578" w:rsidRPr="00947002" w:rsidRDefault="00947002" w:rsidP="00947002">
            <w:pPr>
              <w:pStyle w:val="zSoquijdatRefNeutre"/>
              <w:jc w:val="right"/>
              <w:rPr>
                <w:rFonts w:cs="Arial"/>
              </w:rPr>
            </w:pPr>
            <w:r w:rsidRPr="00947002">
              <w:rPr>
                <w:rFonts w:cs="Arial"/>
              </w:rPr>
              <w:t>2026 QCCS 922</w:t>
            </w:r>
          </w:p>
        </w:tc>
      </w:tr>
      <w:tr w:rsidR="00A34AC5" w14:paraId="646A4C30" w14:textId="77777777">
        <w:trPr>
          <w:trHeight w:val="900"/>
        </w:trPr>
        <w:tc>
          <w:tcPr>
            <w:tcW w:w="9505" w:type="dxa"/>
            <w:gridSpan w:val="7"/>
            <w:vAlign w:val="bottom"/>
          </w:tcPr>
          <w:p w14:paraId="72849C3A" w14:textId="77777777" w:rsidR="00EF7578" w:rsidRDefault="00893AC8" w:rsidP="008A1100">
            <w:pPr>
              <w:pStyle w:val="zSoquijlblCour"/>
            </w:pPr>
            <w:r>
              <w:t xml:space="preserve">COUR </w:t>
            </w:r>
            <w:r w:rsidR="0005657C">
              <w:t>SUPÉRIEURE</w:t>
            </w:r>
          </w:p>
        </w:tc>
      </w:tr>
      <w:tr w:rsidR="00A34AC5" w14:paraId="72BB07A2" w14:textId="77777777">
        <w:trPr>
          <w:trHeight w:val="540"/>
        </w:trPr>
        <w:tc>
          <w:tcPr>
            <w:tcW w:w="9505" w:type="dxa"/>
            <w:gridSpan w:val="7"/>
          </w:tcPr>
          <w:p w14:paraId="5CF9B5A9" w14:textId="77777777" w:rsidR="00EF7578" w:rsidRDefault="00EF7578" w:rsidP="008A1100">
            <w:pPr>
              <w:pStyle w:val="zSoquijdatDivision"/>
            </w:pPr>
          </w:p>
        </w:tc>
      </w:tr>
      <w:tr w:rsidR="00A34AC5" w14:paraId="5E7E1EFE" w14:textId="77777777">
        <w:tc>
          <w:tcPr>
            <w:tcW w:w="9505" w:type="dxa"/>
            <w:gridSpan w:val="7"/>
          </w:tcPr>
          <w:p w14:paraId="0C20B9A1" w14:textId="77777777" w:rsidR="00EF7578" w:rsidRDefault="00893AC8" w:rsidP="008A1100">
            <w:pPr>
              <w:pStyle w:val="zSoquijlblPays"/>
            </w:pPr>
            <w:r>
              <w:t>CANADA</w:t>
            </w:r>
          </w:p>
        </w:tc>
      </w:tr>
      <w:tr w:rsidR="00A34AC5" w14:paraId="3B8E8DAA" w14:textId="77777777">
        <w:tc>
          <w:tcPr>
            <w:tcW w:w="9505" w:type="dxa"/>
            <w:gridSpan w:val="7"/>
          </w:tcPr>
          <w:p w14:paraId="2777D762" w14:textId="77777777" w:rsidR="00EF7578" w:rsidRDefault="00893AC8" w:rsidP="008A1100">
            <w:pPr>
              <w:pStyle w:val="zSoquijlblProvince"/>
            </w:pPr>
            <w:r>
              <w:t>PROVINCE DE QUÉBEC</w:t>
            </w:r>
          </w:p>
        </w:tc>
      </w:tr>
      <w:tr w:rsidR="00A34AC5" w14:paraId="5AF27C2A" w14:textId="77777777">
        <w:tblPrEx>
          <w:tblCellMar>
            <w:left w:w="0" w:type="dxa"/>
            <w:right w:w="0" w:type="dxa"/>
          </w:tblCellMar>
        </w:tblPrEx>
        <w:trPr>
          <w:cantSplit/>
        </w:trPr>
        <w:tc>
          <w:tcPr>
            <w:tcW w:w="1625" w:type="dxa"/>
            <w:gridSpan w:val="3"/>
          </w:tcPr>
          <w:p w14:paraId="66DD7C09" w14:textId="77777777" w:rsidR="00EF7578" w:rsidRDefault="00893AC8" w:rsidP="008A1100">
            <w:pPr>
              <w:pStyle w:val="zSoquijlblGreffe"/>
            </w:pPr>
            <w:r>
              <w:t>DISTRICT DE</w:t>
            </w:r>
          </w:p>
        </w:tc>
        <w:tc>
          <w:tcPr>
            <w:tcW w:w="7880" w:type="dxa"/>
            <w:gridSpan w:val="4"/>
          </w:tcPr>
          <w:p w14:paraId="59EC57D5" w14:textId="77777777" w:rsidR="00EF7578" w:rsidRDefault="00893AC8" w:rsidP="008A1100">
            <w:pPr>
              <w:pStyle w:val="zSoquijdatGreffe"/>
            </w:pPr>
            <w:r>
              <w:t>MONTRÉAL</w:t>
            </w:r>
          </w:p>
        </w:tc>
      </w:tr>
      <w:tr w:rsidR="00A34AC5" w14:paraId="3D8BBA0F" w14:textId="77777777">
        <w:trPr>
          <w:trHeight w:val="540"/>
        </w:trPr>
        <w:tc>
          <w:tcPr>
            <w:tcW w:w="9505" w:type="dxa"/>
            <w:gridSpan w:val="7"/>
          </w:tcPr>
          <w:p w14:paraId="239245C7" w14:textId="77777777" w:rsidR="00EF7578" w:rsidRDefault="00893AC8" w:rsidP="008A1100">
            <w:pPr>
              <w:pStyle w:val="zSoquijlblNomChambre"/>
            </w:pPr>
            <w:r w:rsidRPr="00C87F7A">
              <w:t xml:space="preserve">« Chambre </w:t>
            </w:r>
            <w:r>
              <w:t>civile</w:t>
            </w:r>
            <w:r w:rsidRPr="00C87F7A">
              <w:t> »</w:t>
            </w:r>
          </w:p>
        </w:tc>
      </w:tr>
      <w:tr w:rsidR="00A34AC5" w14:paraId="2977A4F4" w14:textId="77777777">
        <w:tc>
          <w:tcPr>
            <w:tcW w:w="1105" w:type="dxa"/>
            <w:gridSpan w:val="2"/>
          </w:tcPr>
          <w:p w14:paraId="346DB854" w14:textId="77777777" w:rsidR="00EF7578" w:rsidRDefault="00893AC8" w:rsidP="008A1100">
            <w:pPr>
              <w:pStyle w:val="zSoquijlblNoDossier"/>
            </w:pPr>
            <w:r>
              <w:t>N° :</w:t>
            </w:r>
          </w:p>
        </w:tc>
        <w:tc>
          <w:tcPr>
            <w:tcW w:w="8400" w:type="dxa"/>
            <w:gridSpan w:val="5"/>
          </w:tcPr>
          <w:p w14:paraId="7045310D" w14:textId="77777777" w:rsidR="00EF7578" w:rsidRDefault="00893AC8" w:rsidP="008A1100">
            <w:pPr>
              <w:pStyle w:val="zSoquijdatNoDossier"/>
            </w:pPr>
            <w:r>
              <w:t>500-17-110174-193</w:t>
            </w:r>
          </w:p>
        </w:tc>
      </w:tr>
      <w:tr w:rsidR="00A34AC5" w14:paraId="4AC1C446" w14:textId="77777777">
        <w:tblPrEx>
          <w:tblCellMar>
            <w:left w:w="0" w:type="dxa"/>
            <w:right w:w="0" w:type="dxa"/>
          </w:tblCellMar>
        </w:tblPrEx>
        <w:trPr>
          <w:cantSplit/>
        </w:trPr>
        <w:tc>
          <w:tcPr>
            <w:tcW w:w="1105" w:type="dxa"/>
            <w:gridSpan w:val="2"/>
          </w:tcPr>
          <w:p w14:paraId="6DFFE766" w14:textId="77777777" w:rsidR="00EF7578" w:rsidRDefault="00EF7578" w:rsidP="008A1100">
            <w:pPr>
              <w:pStyle w:val="zSoquijlblGreffe"/>
            </w:pPr>
          </w:p>
        </w:tc>
        <w:tc>
          <w:tcPr>
            <w:tcW w:w="8400" w:type="dxa"/>
            <w:gridSpan w:val="5"/>
          </w:tcPr>
          <w:p w14:paraId="0D5D2E31" w14:textId="77777777" w:rsidR="00EF7578" w:rsidRDefault="00EF7578" w:rsidP="008A1100">
            <w:pPr>
              <w:pStyle w:val="zSoquijdatNoDossierAnt"/>
            </w:pPr>
          </w:p>
        </w:tc>
      </w:tr>
      <w:tr w:rsidR="00A34AC5" w14:paraId="65A0443F" w14:textId="77777777">
        <w:trPr>
          <w:cantSplit/>
          <w:trHeight w:val="235"/>
        </w:trPr>
        <w:tc>
          <w:tcPr>
            <w:tcW w:w="9505" w:type="dxa"/>
            <w:gridSpan w:val="7"/>
          </w:tcPr>
          <w:p w14:paraId="06938D4C" w14:textId="77777777" w:rsidR="00EF7578" w:rsidRDefault="00EF7578" w:rsidP="008A1100"/>
        </w:tc>
      </w:tr>
      <w:tr w:rsidR="00A34AC5" w14:paraId="11E87BFF" w14:textId="77777777">
        <w:tc>
          <w:tcPr>
            <w:tcW w:w="1036" w:type="dxa"/>
          </w:tcPr>
          <w:p w14:paraId="50670219" w14:textId="77777777" w:rsidR="00EF7578" w:rsidRDefault="00893AC8" w:rsidP="008A1100">
            <w:pPr>
              <w:pStyle w:val="zSoquijlblDateJugement"/>
            </w:pPr>
            <w:r>
              <w:t>DATE :</w:t>
            </w:r>
          </w:p>
        </w:tc>
        <w:tc>
          <w:tcPr>
            <w:tcW w:w="8469" w:type="dxa"/>
            <w:gridSpan w:val="6"/>
          </w:tcPr>
          <w:p w14:paraId="1AC8516D" w14:textId="77777777" w:rsidR="00EF7578" w:rsidRPr="005567C4" w:rsidRDefault="00893AC8" w:rsidP="008A1100">
            <w:pPr>
              <w:pStyle w:val="zSoquijdatDateJugement"/>
            </w:pPr>
            <w:r w:rsidRPr="005567C4">
              <w:t>18 mars 2026</w:t>
            </w:r>
          </w:p>
        </w:tc>
      </w:tr>
      <w:tr w:rsidR="00A34AC5" w14:paraId="036CF629" w14:textId="77777777">
        <w:tc>
          <w:tcPr>
            <w:tcW w:w="9505" w:type="dxa"/>
            <w:gridSpan w:val="7"/>
          </w:tcPr>
          <w:p w14:paraId="1EE99E5C" w14:textId="77777777" w:rsidR="00EF7578" w:rsidRDefault="00893AC8" w:rsidP="008A1100">
            <w:pPr>
              <w:ind w:left="14" w:right="-67"/>
            </w:pPr>
            <w:r>
              <w:t>______________________________________________________________________</w:t>
            </w:r>
          </w:p>
        </w:tc>
      </w:tr>
      <w:tr w:rsidR="00A34AC5" w14:paraId="6620CF5C" w14:textId="77777777">
        <w:tc>
          <w:tcPr>
            <w:tcW w:w="9505" w:type="dxa"/>
            <w:gridSpan w:val="7"/>
          </w:tcPr>
          <w:p w14:paraId="062C21FE" w14:textId="77777777" w:rsidR="00EF7578" w:rsidRDefault="00EF7578" w:rsidP="008A1100"/>
        </w:tc>
      </w:tr>
      <w:tr w:rsidR="00A34AC5" w14:paraId="3322F867" w14:textId="77777777">
        <w:tblPrEx>
          <w:tblCellMar>
            <w:left w:w="0" w:type="dxa"/>
            <w:right w:w="0" w:type="dxa"/>
          </w:tblCellMar>
        </w:tblPrEx>
        <w:tc>
          <w:tcPr>
            <w:tcW w:w="3200" w:type="dxa"/>
            <w:gridSpan w:val="4"/>
          </w:tcPr>
          <w:p w14:paraId="13BFDE35" w14:textId="77777777" w:rsidR="00EF7578" w:rsidRDefault="00893AC8" w:rsidP="008A1100">
            <w:pPr>
              <w:pStyle w:val="zSoquijlblJuge"/>
            </w:pPr>
            <w:r>
              <w:t>SOUS LA PRÉSIDENCE DE</w:t>
            </w:r>
          </w:p>
        </w:tc>
        <w:tc>
          <w:tcPr>
            <w:tcW w:w="1826" w:type="dxa"/>
          </w:tcPr>
          <w:p w14:paraId="42BC4C4E" w14:textId="77777777" w:rsidR="00EF7578" w:rsidRDefault="00893AC8" w:rsidP="008A1100">
            <w:pPr>
              <w:pStyle w:val="zSoquijdatQteJuge"/>
            </w:pPr>
            <w:r>
              <w:t>L’HONORABLE</w:t>
            </w:r>
          </w:p>
        </w:tc>
        <w:tc>
          <w:tcPr>
            <w:tcW w:w="4479" w:type="dxa"/>
            <w:gridSpan w:val="2"/>
          </w:tcPr>
          <w:p w14:paraId="4CC816E4" w14:textId="77777777" w:rsidR="00EF7578" w:rsidRDefault="00893AC8" w:rsidP="008A1100">
            <w:pPr>
              <w:pStyle w:val="zSoquijdatJuge"/>
            </w:pPr>
            <w:r>
              <w:t>ENRICO FORLINI, J.C.</w:t>
            </w:r>
            <w:r w:rsidR="0005657C">
              <w:t>S</w:t>
            </w:r>
            <w:r>
              <w:t>.</w:t>
            </w:r>
          </w:p>
        </w:tc>
      </w:tr>
      <w:tr w:rsidR="00A34AC5" w14:paraId="2630391E" w14:textId="77777777">
        <w:tc>
          <w:tcPr>
            <w:tcW w:w="9505" w:type="dxa"/>
            <w:gridSpan w:val="7"/>
          </w:tcPr>
          <w:p w14:paraId="5FA05D82" w14:textId="77777777" w:rsidR="00EF7578" w:rsidRDefault="00893AC8" w:rsidP="008A1100">
            <w:pPr>
              <w:ind w:left="14" w:right="-67"/>
            </w:pPr>
            <w:r>
              <w:t>______________________________________________________________________</w:t>
            </w:r>
          </w:p>
        </w:tc>
      </w:tr>
      <w:tr w:rsidR="00A34AC5" w14:paraId="1CC907C1" w14:textId="77777777">
        <w:tc>
          <w:tcPr>
            <w:tcW w:w="9505" w:type="dxa"/>
            <w:gridSpan w:val="7"/>
          </w:tcPr>
          <w:p w14:paraId="230BF52A" w14:textId="77777777" w:rsidR="00EF7578" w:rsidRDefault="00EF7578" w:rsidP="008A1100">
            <w:pPr>
              <w:pStyle w:val="zSoquijlblTitrePartie"/>
            </w:pPr>
          </w:p>
        </w:tc>
      </w:tr>
      <w:tr w:rsidR="00A34AC5" w14:paraId="652565C8" w14:textId="77777777">
        <w:tc>
          <w:tcPr>
            <w:tcW w:w="9505" w:type="dxa"/>
            <w:gridSpan w:val="7"/>
          </w:tcPr>
          <w:p w14:paraId="673B3321" w14:textId="77777777" w:rsidR="00EF7578" w:rsidRDefault="00EF7578" w:rsidP="008A1100"/>
        </w:tc>
      </w:tr>
      <w:tr w:rsidR="00A34AC5" w14:paraId="3A0BBFAA" w14:textId="77777777">
        <w:tc>
          <w:tcPr>
            <w:tcW w:w="9505" w:type="dxa"/>
            <w:gridSpan w:val="7"/>
          </w:tcPr>
          <w:p w14:paraId="66BE9FF7" w14:textId="77777777" w:rsidR="00EF7578" w:rsidRDefault="00893AC8" w:rsidP="008A1100">
            <w:pPr>
              <w:pStyle w:val="zSoquijdatNomPartieDem"/>
            </w:pPr>
            <w:r>
              <w:t>BARREAU DU QUÉBEC</w:t>
            </w:r>
          </w:p>
        </w:tc>
      </w:tr>
      <w:tr w:rsidR="00A34AC5" w14:paraId="69951221" w14:textId="77777777">
        <w:tc>
          <w:tcPr>
            <w:tcW w:w="9505" w:type="dxa"/>
            <w:gridSpan w:val="7"/>
          </w:tcPr>
          <w:p w14:paraId="6FC4BD0A" w14:textId="77777777" w:rsidR="00EF7578" w:rsidRDefault="00893AC8" w:rsidP="008A1100">
            <w:pPr>
              <w:pStyle w:val="zSoquijdatQtePartieDem"/>
            </w:pPr>
            <w:r>
              <w:t>Demandeur</w:t>
            </w:r>
          </w:p>
        </w:tc>
      </w:tr>
      <w:tr w:rsidR="00A34AC5" w14:paraId="7B6A4606" w14:textId="77777777">
        <w:tc>
          <w:tcPr>
            <w:tcW w:w="9505" w:type="dxa"/>
            <w:gridSpan w:val="7"/>
          </w:tcPr>
          <w:p w14:paraId="16E5729A" w14:textId="77777777" w:rsidR="00EF7578" w:rsidRDefault="00893AC8" w:rsidP="008A1100">
            <w:pPr>
              <w:pStyle w:val="zSoquijlblLienParties"/>
            </w:pPr>
            <w:r>
              <w:t>c.</w:t>
            </w:r>
          </w:p>
        </w:tc>
      </w:tr>
      <w:tr w:rsidR="00A34AC5" w14:paraId="13E9D6AE" w14:textId="77777777">
        <w:tc>
          <w:tcPr>
            <w:tcW w:w="9505" w:type="dxa"/>
            <w:gridSpan w:val="7"/>
          </w:tcPr>
          <w:p w14:paraId="370D4A58" w14:textId="77777777" w:rsidR="00EF7578" w:rsidRDefault="00893AC8" w:rsidP="008A1100">
            <w:pPr>
              <w:pStyle w:val="zSoquijdatNomPartieDef"/>
            </w:pPr>
            <w:r>
              <w:t>MARIO ROY</w:t>
            </w:r>
          </w:p>
        </w:tc>
      </w:tr>
      <w:tr w:rsidR="00A34AC5" w14:paraId="2C76E03C" w14:textId="77777777">
        <w:tc>
          <w:tcPr>
            <w:tcW w:w="9505" w:type="dxa"/>
            <w:gridSpan w:val="7"/>
          </w:tcPr>
          <w:p w14:paraId="0CDD9A58" w14:textId="77777777" w:rsidR="00E44F34" w:rsidRDefault="00893AC8" w:rsidP="008A1100">
            <w:pPr>
              <w:pStyle w:val="zSoquijlblLienParties"/>
            </w:pPr>
            <w:r>
              <w:t>et</w:t>
            </w:r>
          </w:p>
        </w:tc>
      </w:tr>
      <w:tr w:rsidR="00A34AC5" w14:paraId="7C60DDA2" w14:textId="77777777">
        <w:tc>
          <w:tcPr>
            <w:tcW w:w="9505" w:type="dxa"/>
            <w:gridSpan w:val="7"/>
          </w:tcPr>
          <w:p w14:paraId="67853576" w14:textId="77777777" w:rsidR="00E44F34" w:rsidRDefault="00893AC8" w:rsidP="008A1100">
            <w:pPr>
              <w:pStyle w:val="zSoquijdatNomPartieDef"/>
            </w:pPr>
            <w:r>
              <w:t>L’UNITÉ CITOYENNE D’ENQUÊTE ANTI-CORRUPTION</w:t>
            </w:r>
          </w:p>
        </w:tc>
      </w:tr>
      <w:tr w:rsidR="00A34AC5" w14:paraId="0EF293E8" w14:textId="77777777">
        <w:tc>
          <w:tcPr>
            <w:tcW w:w="9505" w:type="dxa"/>
            <w:gridSpan w:val="7"/>
          </w:tcPr>
          <w:p w14:paraId="2B239407" w14:textId="77777777" w:rsidR="00EF7578" w:rsidRDefault="00893AC8" w:rsidP="008A1100">
            <w:pPr>
              <w:pStyle w:val="zSoquijdatQtePartieDef"/>
            </w:pPr>
            <w:r>
              <w:t>Défendeurs</w:t>
            </w:r>
          </w:p>
        </w:tc>
      </w:tr>
      <w:tr w:rsidR="00A34AC5" w14:paraId="08C096A0" w14:textId="77777777">
        <w:tc>
          <w:tcPr>
            <w:tcW w:w="9505" w:type="dxa"/>
            <w:gridSpan w:val="7"/>
          </w:tcPr>
          <w:p w14:paraId="0B20EA13" w14:textId="77777777" w:rsidR="00E44F34" w:rsidRDefault="00893AC8" w:rsidP="008A1100">
            <w:pPr>
              <w:pStyle w:val="zSoquijlblLienParties"/>
            </w:pPr>
            <w:r>
              <w:t>et</w:t>
            </w:r>
          </w:p>
        </w:tc>
      </w:tr>
      <w:tr w:rsidR="00A34AC5" w14:paraId="5FC27401" w14:textId="77777777">
        <w:tc>
          <w:tcPr>
            <w:tcW w:w="9505" w:type="dxa"/>
            <w:gridSpan w:val="7"/>
          </w:tcPr>
          <w:p w14:paraId="5F5F22AF" w14:textId="77777777" w:rsidR="00E44F34" w:rsidRDefault="00893AC8" w:rsidP="008A1100">
            <w:pPr>
              <w:pStyle w:val="zSoquijdatNomPartieDef"/>
            </w:pPr>
            <w:r>
              <w:t>PROCUREUR GÉNÉRAL DU QUÉBEC</w:t>
            </w:r>
          </w:p>
        </w:tc>
      </w:tr>
      <w:tr w:rsidR="00A34AC5" w14:paraId="2C8E1D7B" w14:textId="77777777">
        <w:tc>
          <w:tcPr>
            <w:tcW w:w="9505" w:type="dxa"/>
            <w:gridSpan w:val="7"/>
          </w:tcPr>
          <w:p w14:paraId="41E941CD" w14:textId="77777777" w:rsidR="00E44F34" w:rsidRDefault="00893AC8" w:rsidP="008A1100">
            <w:pPr>
              <w:pStyle w:val="zSoquijdatQtePartieDef"/>
            </w:pPr>
            <w:r>
              <w:t>Mis en cause</w:t>
            </w:r>
          </w:p>
        </w:tc>
      </w:tr>
      <w:tr w:rsidR="00A34AC5" w14:paraId="219F50B6" w14:textId="77777777">
        <w:tc>
          <w:tcPr>
            <w:tcW w:w="9505" w:type="dxa"/>
            <w:gridSpan w:val="7"/>
          </w:tcPr>
          <w:p w14:paraId="630DC083" w14:textId="77777777" w:rsidR="00EF7578" w:rsidRDefault="00EF7578" w:rsidP="008A1100">
            <w:pPr>
              <w:ind w:left="14" w:right="-95"/>
            </w:pPr>
          </w:p>
        </w:tc>
      </w:tr>
      <w:tr w:rsidR="00A34AC5" w14:paraId="1DE9E531" w14:textId="77777777">
        <w:tc>
          <w:tcPr>
            <w:tcW w:w="9505" w:type="dxa"/>
            <w:gridSpan w:val="7"/>
          </w:tcPr>
          <w:p w14:paraId="77E817E7" w14:textId="77777777" w:rsidR="00EF7578" w:rsidRDefault="00893AC8" w:rsidP="008A1100">
            <w:pPr>
              <w:ind w:left="14" w:right="-95"/>
            </w:pPr>
            <w:r>
              <w:t>______________________________________________________________________</w:t>
            </w:r>
          </w:p>
        </w:tc>
      </w:tr>
      <w:tr w:rsidR="00A34AC5" w14:paraId="736EE22A" w14:textId="77777777">
        <w:tc>
          <w:tcPr>
            <w:tcW w:w="9505" w:type="dxa"/>
            <w:gridSpan w:val="7"/>
          </w:tcPr>
          <w:p w14:paraId="310A4E69" w14:textId="77777777" w:rsidR="00EF7578" w:rsidRDefault="00EF7578" w:rsidP="008A1100">
            <w:pPr>
              <w:jc w:val="center"/>
            </w:pPr>
          </w:p>
        </w:tc>
      </w:tr>
      <w:tr w:rsidR="00A34AC5" w14:paraId="6B20B221" w14:textId="77777777">
        <w:tc>
          <w:tcPr>
            <w:tcW w:w="9505" w:type="dxa"/>
            <w:gridSpan w:val="7"/>
          </w:tcPr>
          <w:p w14:paraId="7FE76528" w14:textId="77777777" w:rsidR="008D557E" w:rsidRPr="004213DA" w:rsidRDefault="00893AC8" w:rsidP="008A1100">
            <w:pPr>
              <w:pStyle w:val="zSoquijlblTypeDocument"/>
              <w:rPr>
                <w:b/>
              </w:rPr>
            </w:pPr>
            <w:r w:rsidRPr="004213DA">
              <w:rPr>
                <w:b/>
              </w:rPr>
              <w:t>JUGEMENT</w:t>
            </w:r>
          </w:p>
        </w:tc>
      </w:tr>
      <w:tr w:rsidR="00A34AC5" w14:paraId="26506FEF" w14:textId="77777777">
        <w:tc>
          <w:tcPr>
            <w:tcW w:w="9505" w:type="dxa"/>
            <w:gridSpan w:val="7"/>
          </w:tcPr>
          <w:p w14:paraId="605E8CE7" w14:textId="77777777" w:rsidR="00EF7578" w:rsidRDefault="00893AC8" w:rsidP="008A1100">
            <w:pPr>
              <w:ind w:left="14" w:right="-70"/>
            </w:pPr>
            <w:r>
              <w:t>______________________________________________________________________</w:t>
            </w:r>
          </w:p>
        </w:tc>
      </w:tr>
      <w:tr w:rsidR="00A34AC5" w14:paraId="77E61115" w14:textId="77777777">
        <w:tc>
          <w:tcPr>
            <w:tcW w:w="9505" w:type="dxa"/>
            <w:gridSpan w:val="7"/>
          </w:tcPr>
          <w:p w14:paraId="76E2DA85" w14:textId="77777777" w:rsidR="00EF7578" w:rsidRDefault="00EF7578" w:rsidP="008A1100"/>
        </w:tc>
      </w:tr>
    </w:tbl>
    <w:p w14:paraId="502A3AB4" w14:textId="77777777" w:rsidR="00072545" w:rsidRDefault="00072545" w:rsidP="008A1100">
      <w:pPr>
        <w:pStyle w:val="Titre1"/>
      </w:pPr>
    </w:p>
    <w:p w14:paraId="7F1AF0C4" w14:textId="77777777" w:rsidR="00072545" w:rsidRDefault="00893AC8" w:rsidP="008A1100">
      <w:pPr>
        <w:rPr>
          <w:b/>
          <w:kern w:val="28"/>
          <w:u w:val="single"/>
        </w:rPr>
      </w:pPr>
      <w:r>
        <w:br w:type="page"/>
      </w:r>
    </w:p>
    <w:sdt>
      <w:sdtPr>
        <w:rPr>
          <w:rFonts w:ascii="Arial" w:eastAsia="Times New Roman" w:hAnsi="Arial" w:cs="Times New Roman"/>
          <w:color w:val="auto"/>
          <w:sz w:val="24"/>
          <w:szCs w:val="20"/>
          <w:u w:val="none"/>
          <w:lang w:eastAsia="fr-FR"/>
        </w:rPr>
        <w:id w:val="-550222906"/>
        <w:docPartObj>
          <w:docPartGallery w:val="Table of Contents"/>
          <w:docPartUnique/>
        </w:docPartObj>
      </w:sdtPr>
      <w:sdtEndPr>
        <w:rPr>
          <w:b/>
        </w:rPr>
      </w:sdtEndPr>
      <w:sdtContent>
        <w:p w14:paraId="47938630" w14:textId="77777777" w:rsidR="00072545" w:rsidRPr="005567C4" w:rsidRDefault="00893AC8" w:rsidP="008A1100">
          <w:pPr>
            <w:pStyle w:val="En-ttedetabledesmatires"/>
            <w:spacing w:line="240" w:lineRule="auto"/>
            <w:rPr>
              <w:rFonts w:ascii="Arial" w:hAnsi="Arial" w:cs="Arial"/>
              <w:color w:val="auto"/>
            </w:rPr>
          </w:pPr>
          <w:r w:rsidRPr="005567C4">
            <w:rPr>
              <w:rFonts w:ascii="Arial" w:hAnsi="Arial" w:cs="Arial"/>
              <w:color w:val="auto"/>
            </w:rPr>
            <w:t>Table des matières</w:t>
          </w:r>
        </w:p>
        <w:p w14:paraId="018FCA5D" w14:textId="77777777" w:rsidR="00A34AC5" w:rsidRDefault="00893AC8">
          <w:pPr>
            <w:pStyle w:val="TM1"/>
            <w:tabs>
              <w:tab w:val="right" w:leader="dot" w:pos="9352"/>
            </w:tabs>
            <w:rPr>
              <w:rFonts w:asciiTheme="minorHAnsi" w:hAnsiTheme="minorHAnsi"/>
              <w:noProof/>
              <w:sz w:val="22"/>
            </w:rPr>
          </w:pPr>
          <w:r w:rsidRPr="002772BB">
            <w:rPr>
              <w:rStyle w:val="Hyperlien"/>
              <w:color w:val="auto"/>
              <w:u w:val="none"/>
            </w:rPr>
            <w:t>APERÇU</w:t>
          </w:r>
          <w:r>
            <w:tab/>
            <w:t>4</w:t>
          </w:r>
        </w:p>
        <w:p w14:paraId="04530CFC" w14:textId="77777777" w:rsidR="00A34AC5" w:rsidRDefault="00893AC8">
          <w:pPr>
            <w:pStyle w:val="TM1"/>
            <w:tabs>
              <w:tab w:val="right" w:leader="dot" w:pos="9352"/>
            </w:tabs>
            <w:rPr>
              <w:rFonts w:asciiTheme="minorHAnsi" w:hAnsiTheme="minorHAnsi"/>
              <w:noProof/>
              <w:sz w:val="22"/>
            </w:rPr>
          </w:pPr>
          <w:r w:rsidRPr="00F05BB7">
            <w:rPr>
              <w:rStyle w:val="Hyperlien"/>
              <w:color w:val="auto"/>
              <w:u w:val="none"/>
            </w:rPr>
            <w:t>CONTEXTE</w:t>
          </w:r>
          <w:r>
            <w:tab/>
            <w:t>6</w:t>
          </w:r>
        </w:p>
        <w:p w14:paraId="0125BFB2" w14:textId="77777777" w:rsidR="00A34AC5" w:rsidRDefault="00893AC8">
          <w:pPr>
            <w:pStyle w:val="TM1"/>
            <w:tabs>
              <w:tab w:val="right" w:leader="dot" w:pos="9352"/>
            </w:tabs>
            <w:rPr>
              <w:rFonts w:asciiTheme="minorHAnsi" w:hAnsiTheme="minorHAnsi"/>
              <w:noProof/>
              <w:sz w:val="22"/>
            </w:rPr>
          </w:pPr>
          <w:r w:rsidRPr="00DB54FA">
            <w:rPr>
              <w:rStyle w:val="Hyperlien"/>
              <w:color w:val="auto"/>
              <w:u w:val="none"/>
            </w:rPr>
            <w:t>ANAL</w:t>
          </w:r>
          <w:r w:rsidR="00251D88" w:rsidRPr="00DB54FA">
            <w:rPr>
              <w:rStyle w:val="Hyperlien"/>
              <w:bCs/>
              <w:color w:val="auto"/>
              <w:u w:val="none"/>
            </w:rPr>
            <w:t>YSE</w:t>
          </w:r>
          <w:r>
            <w:tab/>
            <w:t>10</w:t>
          </w:r>
        </w:p>
        <w:p w14:paraId="2037CBB7" w14:textId="77777777" w:rsidR="00A34AC5" w:rsidRDefault="00893AC8">
          <w:pPr>
            <w:pStyle w:val="TM2"/>
            <w:rPr>
              <w:rFonts w:asciiTheme="minorHAnsi" w:hAnsiTheme="minorHAnsi"/>
              <w:sz w:val="22"/>
            </w:rPr>
          </w:pPr>
          <w:r>
            <w:rPr>
              <w:rStyle w:val="Hyperlien"/>
              <w:color w:val="auto"/>
              <w:u w:val="none"/>
            </w:rPr>
            <w:t>1.</w:t>
          </w:r>
          <w:r>
            <w:rPr>
              <w:rFonts w:asciiTheme="minorHAnsi" w:hAnsiTheme="minorHAnsi"/>
              <w:sz w:val="22"/>
            </w:rPr>
            <w:tab/>
          </w:r>
          <w:r w:rsidRPr="00187217">
            <w:rPr>
              <w:rStyle w:val="Hyperlien"/>
              <w:color w:val="auto"/>
              <w:u w:val="none"/>
            </w:rPr>
            <w:t>L</w:t>
          </w:r>
          <w:r w:rsidR="00BE15D6">
            <w:rPr>
              <w:rStyle w:val="Hyperlien"/>
              <w:color w:val="auto"/>
              <w:u w:val="none"/>
            </w:rPr>
            <w:t>e</w:t>
          </w:r>
          <w:r w:rsidRPr="00187217">
            <w:rPr>
              <w:rStyle w:val="Hyperlien"/>
              <w:color w:val="auto"/>
              <w:u w:val="none"/>
            </w:rPr>
            <w:t xml:space="preserve"> Barreau a-t-il prouvé que Mario Roy ou l’Unité </w:t>
          </w:r>
          <w:r w:rsidR="007D6473">
            <w:rPr>
              <w:rStyle w:val="Hyperlien"/>
              <w:color w:val="auto"/>
              <w:u w:val="none"/>
            </w:rPr>
            <w:t>posent</w:t>
          </w:r>
          <w:r w:rsidRPr="00187217">
            <w:rPr>
              <w:rStyle w:val="Hyperlien"/>
              <w:color w:val="auto"/>
              <w:u w:val="none"/>
            </w:rPr>
            <w:t xml:space="preserve"> des actes qui sont du ressort exclusif de l’avocat au sens de l’article 128 de la </w:t>
          </w:r>
          <w:r w:rsidRPr="00187217">
            <w:rPr>
              <w:rStyle w:val="Hyperlien"/>
              <w:iCs/>
              <w:color w:val="auto"/>
              <w:u w:val="none"/>
            </w:rPr>
            <w:t>Loi sur le Barreau</w:t>
          </w:r>
          <w:r w:rsidRPr="00187217">
            <w:rPr>
              <w:rStyle w:val="Hyperlien"/>
              <w:color w:val="auto"/>
              <w:u w:val="none"/>
            </w:rPr>
            <w:t>?</w:t>
          </w:r>
          <w:r>
            <w:tab/>
            <w:t>10</w:t>
          </w:r>
        </w:p>
        <w:p w14:paraId="178F00F4" w14:textId="77777777" w:rsidR="00A34AC5" w:rsidRDefault="00893AC8">
          <w:pPr>
            <w:pStyle w:val="TM3"/>
            <w:rPr>
              <w:rFonts w:asciiTheme="minorHAnsi" w:hAnsiTheme="minorHAnsi"/>
              <w:sz w:val="22"/>
            </w:rPr>
          </w:pPr>
          <w:r>
            <w:rPr>
              <w:rStyle w:val="Hyperlien"/>
              <w:color w:val="auto"/>
              <w:u w:val="none"/>
            </w:rPr>
            <w:t>1.1</w:t>
          </w:r>
          <w:r>
            <w:rPr>
              <w:rFonts w:asciiTheme="minorHAnsi" w:hAnsiTheme="minorHAnsi"/>
              <w:sz w:val="22"/>
            </w:rPr>
            <w:tab/>
          </w:r>
          <w:r w:rsidRPr="00162982">
            <w:rPr>
              <w:rStyle w:val="Hyperlien"/>
              <w:color w:val="auto"/>
              <w:u w:val="none"/>
            </w:rPr>
            <w:t>Cadre juridique</w:t>
          </w:r>
          <w:r>
            <w:tab/>
            <w:t>10</w:t>
          </w:r>
        </w:p>
        <w:p w14:paraId="64245982" w14:textId="77777777" w:rsidR="00A34AC5" w:rsidRDefault="00893AC8">
          <w:pPr>
            <w:pStyle w:val="TM3"/>
            <w:rPr>
              <w:rFonts w:asciiTheme="minorHAnsi" w:hAnsiTheme="minorHAnsi"/>
              <w:sz w:val="22"/>
            </w:rPr>
          </w:pPr>
          <w:r>
            <w:rPr>
              <w:rStyle w:val="Hyperlien"/>
              <w:color w:val="auto"/>
              <w:u w:val="none"/>
            </w:rPr>
            <w:t>1.2</w:t>
          </w:r>
          <w:r>
            <w:rPr>
              <w:rFonts w:asciiTheme="minorHAnsi" w:hAnsiTheme="minorHAnsi"/>
              <w:sz w:val="22"/>
            </w:rPr>
            <w:tab/>
          </w:r>
          <w:r w:rsidRPr="00DF3CA8">
            <w:rPr>
              <w:rStyle w:val="Hyperlien"/>
              <w:color w:val="auto"/>
              <w:u w:val="none"/>
            </w:rPr>
            <w:t>Application aux faits en l’espèce</w:t>
          </w:r>
          <w:r>
            <w:tab/>
            <w:t>13</w:t>
          </w:r>
        </w:p>
        <w:p w14:paraId="618AAFA5" w14:textId="77777777" w:rsidR="00A34AC5" w:rsidRDefault="00893AC8">
          <w:pPr>
            <w:pStyle w:val="TM2"/>
            <w:rPr>
              <w:rFonts w:asciiTheme="minorHAnsi" w:hAnsiTheme="minorHAnsi"/>
              <w:sz w:val="22"/>
            </w:rPr>
          </w:pPr>
          <w:r>
            <w:rPr>
              <w:rStyle w:val="Hyperlien"/>
              <w:iCs/>
              <w:color w:val="auto"/>
              <w:u w:val="none"/>
            </w:rPr>
            <w:t>2.</w:t>
          </w:r>
          <w:r>
            <w:rPr>
              <w:rFonts w:asciiTheme="minorHAnsi" w:hAnsiTheme="minorHAnsi"/>
              <w:iCs/>
              <w:sz w:val="22"/>
            </w:rPr>
            <w:tab/>
          </w:r>
          <w:r w:rsidRPr="00E87BF4">
            <w:rPr>
              <w:rStyle w:val="Hyperlien"/>
              <w:color w:val="auto"/>
              <w:u w:val="none"/>
            </w:rPr>
            <w:t xml:space="preserve">Dans l’affirmative, </w:t>
          </w:r>
          <w:r w:rsidR="00C84B4D">
            <w:rPr>
              <w:rStyle w:val="Hyperlien"/>
              <w:color w:val="auto"/>
              <w:u w:val="none"/>
            </w:rPr>
            <w:t>l’</w:t>
          </w:r>
          <w:r w:rsidRPr="00E87BF4">
            <w:rPr>
              <w:rStyle w:val="Hyperlien"/>
              <w:color w:val="auto"/>
              <w:u w:val="none"/>
            </w:rPr>
            <w:t>article 4</w:t>
          </w:r>
          <w:r w:rsidR="00C84B4D">
            <w:rPr>
              <w:rStyle w:val="Hyperlien"/>
              <w:color w:val="auto"/>
              <w:u w:val="none"/>
            </w:rPr>
            <w:t xml:space="preserve">2 </w:t>
          </w:r>
          <w:r w:rsidRPr="00E87BF4">
            <w:rPr>
              <w:rStyle w:val="Hyperlien"/>
              <w:color w:val="auto"/>
              <w:u w:val="none"/>
            </w:rPr>
            <w:t>de la Loi sur la protection de la jeunesse</w:t>
          </w:r>
          <w:r w:rsidR="00C84B4D">
            <w:rPr>
              <w:rStyle w:val="Hyperlien"/>
              <w:color w:val="auto"/>
              <w:u w:val="none"/>
            </w:rPr>
            <w:t xml:space="preserve"> autorise-</w:t>
          </w:r>
          <w:r w:rsidR="00E9722B">
            <w:rPr>
              <w:rStyle w:val="Hyperlien"/>
              <w:color w:val="auto"/>
              <w:u w:val="none"/>
            </w:rPr>
            <w:t>t-</w:t>
          </w:r>
          <w:r w:rsidR="00C84B4D">
            <w:rPr>
              <w:rStyle w:val="Hyperlien"/>
              <w:color w:val="auto"/>
              <w:u w:val="none"/>
            </w:rPr>
            <w:t xml:space="preserve">il </w:t>
          </w:r>
          <w:r w:rsidR="002769F3">
            <w:rPr>
              <w:rStyle w:val="Hyperlien"/>
              <w:iCs/>
              <w:color w:val="auto"/>
              <w:u w:val="none"/>
            </w:rPr>
            <w:t>M.</w:t>
          </w:r>
          <w:r w:rsidR="00790AB1">
            <w:rPr>
              <w:rStyle w:val="Hyperlien"/>
              <w:iCs/>
              <w:color w:val="auto"/>
              <w:u w:val="none"/>
            </w:rPr>
            <w:t xml:space="preserve"> Roy </w:t>
          </w:r>
          <w:r w:rsidR="00E9722B">
            <w:rPr>
              <w:rStyle w:val="Hyperlien"/>
              <w:color w:val="auto"/>
              <w:u w:val="none"/>
            </w:rPr>
            <w:t>à</w:t>
          </w:r>
          <w:r w:rsidR="002769F3">
            <w:rPr>
              <w:rStyle w:val="Hyperlien"/>
              <w:iCs/>
              <w:color w:val="auto"/>
              <w:u w:val="none"/>
            </w:rPr>
            <w:t xml:space="preserve"> </w:t>
          </w:r>
          <w:r w:rsidR="00D62A11">
            <w:rPr>
              <w:rStyle w:val="Hyperlien"/>
              <w:iCs/>
              <w:color w:val="auto"/>
              <w:u w:val="none"/>
            </w:rPr>
            <w:t xml:space="preserve">rédiger des </w:t>
          </w:r>
          <w:r w:rsidR="00DE6F3C">
            <w:rPr>
              <w:rStyle w:val="Hyperlien"/>
              <w:color w:val="auto"/>
              <w:u w:val="none"/>
            </w:rPr>
            <w:t>requêtes</w:t>
          </w:r>
          <w:r w:rsidR="00D62A11">
            <w:rPr>
              <w:rStyle w:val="Hyperlien"/>
              <w:iCs/>
              <w:color w:val="auto"/>
              <w:u w:val="none"/>
            </w:rPr>
            <w:t xml:space="preserve"> et </w:t>
          </w:r>
          <w:r w:rsidR="0021592E" w:rsidRPr="0021592E">
            <w:rPr>
              <w:rStyle w:val="Hyperlien"/>
              <w:iCs/>
              <w:color w:val="auto"/>
              <w:u w:val="none"/>
            </w:rPr>
            <w:t xml:space="preserve">à </w:t>
          </w:r>
          <w:r w:rsidR="00D62A11">
            <w:rPr>
              <w:rStyle w:val="Hyperlien"/>
              <w:iCs/>
              <w:color w:val="auto"/>
              <w:u w:val="none"/>
            </w:rPr>
            <w:t xml:space="preserve">donner des </w:t>
          </w:r>
          <w:r w:rsidR="003C46C5">
            <w:rPr>
              <w:rStyle w:val="Hyperlien"/>
              <w:color w:val="auto"/>
              <w:u w:val="none"/>
            </w:rPr>
            <w:t xml:space="preserve">avis </w:t>
          </w:r>
          <w:r w:rsidR="00DE6F3C">
            <w:rPr>
              <w:rStyle w:val="Hyperlien"/>
              <w:color w:val="auto"/>
              <w:u w:val="none"/>
            </w:rPr>
            <w:t>juridiques</w:t>
          </w:r>
          <w:r w:rsidR="00D62A11">
            <w:rPr>
              <w:rStyle w:val="Hyperlien"/>
              <w:iCs/>
              <w:color w:val="auto"/>
              <w:u w:val="none"/>
            </w:rPr>
            <w:t xml:space="preserve"> dans le </w:t>
          </w:r>
          <w:r w:rsidR="0021592E" w:rsidRPr="0021592E">
            <w:rPr>
              <w:rStyle w:val="Hyperlien"/>
              <w:iCs/>
              <w:color w:val="auto"/>
              <w:u w:val="none"/>
            </w:rPr>
            <w:t>cadre</w:t>
          </w:r>
          <w:r w:rsidR="007B6A2E">
            <w:rPr>
              <w:rStyle w:val="Hyperlien"/>
              <w:color w:val="auto"/>
              <w:u w:val="none"/>
            </w:rPr>
            <w:t xml:space="preserve"> de dossiers de</w:t>
          </w:r>
          <w:r w:rsidR="00D62A11">
            <w:rPr>
              <w:rStyle w:val="Hyperlien"/>
              <w:iCs/>
              <w:color w:val="auto"/>
              <w:u w:val="none"/>
            </w:rPr>
            <w:t xml:space="preserve"> protection de la jeunesse</w:t>
          </w:r>
          <w:r w:rsidRPr="00E87BF4">
            <w:rPr>
              <w:rStyle w:val="Hyperlien"/>
              <w:iCs/>
              <w:color w:val="auto"/>
              <w:u w:val="none"/>
            </w:rPr>
            <w:t>?</w:t>
          </w:r>
          <w:r w:rsidR="00C35A15">
            <w:rPr>
              <w:rStyle w:val="Hyperlien"/>
              <w:iCs/>
              <w:color w:val="auto"/>
              <w:u w:val="none"/>
            </w:rPr>
            <w:t xml:space="preserve"> </w:t>
          </w:r>
          <w:r w:rsidR="0021592E" w:rsidRPr="0021592E">
            <w:rPr>
              <w:rStyle w:val="Hyperlien"/>
              <w:iCs/>
              <w:color w:val="auto"/>
              <w:u w:val="none"/>
            </w:rPr>
            <w:t>Par ailleurs, l’article</w:t>
          </w:r>
          <w:r w:rsidR="00CF4462">
            <w:rPr>
              <w:rStyle w:val="Hyperlien"/>
              <w:iCs/>
              <w:color w:val="auto"/>
              <w:u w:val="none"/>
            </w:rPr>
            <w:t xml:space="preserve"> 43 de cette </w:t>
          </w:r>
          <w:r w:rsidR="004814AF">
            <w:rPr>
              <w:rStyle w:val="Hyperlien"/>
              <w:iCs/>
              <w:color w:val="auto"/>
              <w:u w:val="none"/>
            </w:rPr>
            <w:t>L</w:t>
          </w:r>
          <w:r w:rsidR="0021592E" w:rsidRPr="0021592E">
            <w:rPr>
              <w:rStyle w:val="Hyperlien"/>
              <w:iCs/>
              <w:color w:val="auto"/>
              <w:u w:val="none"/>
            </w:rPr>
            <w:t>oi confère-t-il aux défendeurs une immunité contre toute poursuite</w:t>
          </w:r>
          <w:r w:rsidR="00CF4462">
            <w:rPr>
              <w:rStyle w:val="Hyperlien"/>
              <w:iCs/>
              <w:color w:val="auto"/>
              <w:u w:val="none"/>
            </w:rPr>
            <w:t>?</w:t>
          </w:r>
          <w:r>
            <w:tab/>
            <w:t>19</w:t>
          </w:r>
        </w:p>
        <w:p w14:paraId="2081462D" w14:textId="77777777" w:rsidR="00A34AC5" w:rsidRDefault="00893AC8">
          <w:pPr>
            <w:pStyle w:val="TM3"/>
            <w:rPr>
              <w:rFonts w:asciiTheme="minorHAnsi" w:hAnsiTheme="minorHAnsi"/>
              <w:sz w:val="22"/>
            </w:rPr>
          </w:pPr>
          <w:r>
            <w:rPr>
              <w:rStyle w:val="Hyperlien"/>
              <w:color w:val="auto"/>
              <w:u w:val="none"/>
            </w:rPr>
            <w:t>2.1</w:t>
          </w:r>
          <w:r>
            <w:rPr>
              <w:rFonts w:asciiTheme="minorHAnsi" w:hAnsiTheme="minorHAnsi"/>
              <w:sz w:val="22"/>
            </w:rPr>
            <w:tab/>
          </w:r>
          <w:r w:rsidRPr="0061193D">
            <w:rPr>
              <w:rStyle w:val="Hyperlien"/>
              <w:color w:val="auto"/>
              <w:u w:val="none"/>
            </w:rPr>
            <w:t>Position des parties</w:t>
          </w:r>
          <w:r>
            <w:tab/>
            <w:t>19</w:t>
          </w:r>
        </w:p>
        <w:p w14:paraId="1A6E0225" w14:textId="77777777" w:rsidR="00A34AC5" w:rsidRDefault="00893AC8">
          <w:pPr>
            <w:pStyle w:val="TM3"/>
            <w:rPr>
              <w:rFonts w:asciiTheme="minorHAnsi" w:hAnsiTheme="minorHAnsi"/>
              <w:sz w:val="22"/>
            </w:rPr>
          </w:pPr>
          <w:r>
            <w:rPr>
              <w:rStyle w:val="Hyperlien"/>
              <w:color w:val="auto"/>
              <w:u w:val="none"/>
            </w:rPr>
            <w:t>2.2</w:t>
          </w:r>
          <w:r>
            <w:rPr>
              <w:rFonts w:asciiTheme="minorHAnsi" w:hAnsiTheme="minorHAnsi"/>
              <w:sz w:val="22"/>
            </w:rPr>
            <w:tab/>
          </w:r>
          <w:r w:rsidRPr="00023B78">
            <w:rPr>
              <w:rStyle w:val="Hyperlien"/>
              <w:color w:val="auto"/>
              <w:u w:val="none"/>
            </w:rPr>
            <w:t>Cadre juridique</w:t>
          </w:r>
          <w:r>
            <w:tab/>
            <w:t>20</w:t>
          </w:r>
        </w:p>
        <w:p w14:paraId="0954F819" w14:textId="77777777" w:rsidR="00A34AC5" w:rsidRDefault="00893AC8">
          <w:pPr>
            <w:pStyle w:val="TM3"/>
            <w:rPr>
              <w:rFonts w:asciiTheme="minorHAnsi" w:hAnsiTheme="minorHAnsi"/>
              <w:sz w:val="22"/>
            </w:rPr>
          </w:pPr>
          <w:r>
            <w:rPr>
              <w:rStyle w:val="Hyperlien"/>
              <w:color w:val="auto"/>
              <w:u w:val="none"/>
            </w:rPr>
            <w:t>2.3</w:t>
          </w:r>
          <w:r>
            <w:rPr>
              <w:rFonts w:asciiTheme="minorHAnsi" w:hAnsiTheme="minorHAnsi"/>
              <w:sz w:val="22"/>
            </w:rPr>
            <w:tab/>
          </w:r>
          <w:r w:rsidRPr="00A10F0D">
            <w:rPr>
              <w:rStyle w:val="Hyperlien"/>
              <w:color w:val="auto"/>
              <w:u w:val="none"/>
            </w:rPr>
            <w:t>Application aux faits</w:t>
          </w:r>
          <w:r>
            <w:tab/>
            <w:t>23</w:t>
          </w:r>
        </w:p>
        <w:p w14:paraId="1BBE8278" w14:textId="77777777" w:rsidR="00A34AC5" w:rsidRDefault="00893AC8">
          <w:pPr>
            <w:pStyle w:val="TM2"/>
            <w:rPr>
              <w:rFonts w:asciiTheme="minorHAnsi" w:hAnsiTheme="minorHAnsi"/>
              <w:sz w:val="22"/>
            </w:rPr>
          </w:pPr>
          <w:r>
            <w:rPr>
              <w:rStyle w:val="Hyperlien"/>
              <w:color w:val="auto"/>
              <w:u w:val="none"/>
            </w:rPr>
            <w:t>3.</w:t>
          </w:r>
          <w:r>
            <w:rPr>
              <w:rFonts w:asciiTheme="minorHAnsi" w:hAnsiTheme="minorHAnsi"/>
              <w:sz w:val="22"/>
            </w:rPr>
            <w:tab/>
          </w:r>
          <w:r w:rsidRPr="00B47313">
            <w:rPr>
              <w:rStyle w:val="Hyperlien"/>
              <w:color w:val="auto"/>
              <w:u w:val="none"/>
            </w:rPr>
            <w:t xml:space="preserve">Le </w:t>
          </w:r>
          <w:r w:rsidR="002B79E1">
            <w:rPr>
              <w:rStyle w:val="Hyperlien"/>
              <w:color w:val="auto"/>
              <w:u w:val="none"/>
            </w:rPr>
            <w:t>M</w:t>
          </w:r>
          <w:r w:rsidRPr="00B47313">
            <w:rPr>
              <w:rStyle w:val="Hyperlien"/>
              <w:color w:val="auto"/>
              <w:u w:val="none"/>
            </w:rPr>
            <w:t>oyen de défense fondé sur l’autorisation préalable est-il bien fondé et dans la négative, est-il abusif</w:t>
          </w:r>
          <w:r w:rsidR="00FC2C48">
            <w:rPr>
              <w:rStyle w:val="Hyperlien"/>
              <w:color w:val="auto"/>
              <w:u w:val="none"/>
            </w:rPr>
            <w:t>?</w:t>
          </w:r>
          <w:r>
            <w:tab/>
            <w:t>30</w:t>
          </w:r>
        </w:p>
        <w:p w14:paraId="769FEF96" w14:textId="77777777" w:rsidR="00A34AC5" w:rsidRDefault="00893AC8">
          <w:pPr>
            <w:pStyle w:val="TM3"/>
            <w:rPr>
              <w:rFonts w:asciiTheme="minorHAnsi" w:hAnsiTheme="minorHAnsi"/>
              <w:sz w:val="22"/>
            </w:rPr>
          </w:pPr>
          <w:r>
            <w:rPr>
              <w:rStyle w:val="Hyperlien"/>
              <w:color w:val="auto"/>
              <w:u w:val="none"/>
            </w:rPr>
            <w:t>3.1</w:t>
          </w:r>
          <w:r>
            <w:rPr>
              <w:rFonts w:asciiTheme="minorHAnsi" w:hAnsiTheme="minorHAnsi"/>
              <w:sz w:val="22"/>
            </w:rPr>
            <w:tab/>
          </w:r>
          <w:r w:rsidR="00267DAC" w:rsidRPr="00451A3E">
            <w:rPr>
              <w:rStyle w:val="Hyperlien"/>
              <w:color w:val="auto"/>
              <w:u w:val="none"/>
            </w:rPr>
            <w:t>Position des parties</w:t>
          </w:r>
          <w:r>
            <w:tab/>
            <w:t>30</w:t>
          </w:r>
        </w:p>
        <w:p w14:paraId="70B73DF5" w14:textId="77777777" w:rsidR="00A34AC5" w:rsidRDefault="00893AC8">
          <w:pPr>
            <w:pStyle w:val="TM3"/>
            <w:rPr>
              <w:rFonts w:asciiTheme="minorHAnsi" w:hAnsiTheme="minorHAnsi"/>
              <w:sz w:val="22"/>
            </w:rPr>
          </w:pPr>
          <w:r>
            <w:rPr>
              <w:rStyle w:val="Hyperlien"/>
              <w:color w:val="auto"/>
              <w:u w:val="none"/>
            </w:rPr>
            <w:t>3.2</w:t>
          </w:r>
          <w:r>
            <w:rPr>
              <w:rFonts w:asciiTheme="minorHAnsi" w:hAnsiTheme="minorHAnsi"/>
              <w:sz w:val="22"/>
            </w:rPr>
            <w:tab/>
          </w:r>
          <w:r w:rsidRPr="00304DEC">
            <w:rPr>
              <w:rStyle w:val="Hyperlien"/>
              <w:color w:val="auto"/>
              <w:u w:val="none"/>
            </w:rPr>
            <w:t>Application aux faits</w:t>
          </w:r>
          <w:r>
            <w:tab/>
            <w:t>30</w:t>
          </w:r>
        </w:p>
        <w:p w14:paraId="40D0D292" w14:textId="77777777" w:rsidR="00A34AC5" w:rsidRDefault="00893AC8">
          <w:pPr>
            <w:pStyle w:val="TM2"/>
            <w:rPr>
              <w:rFonts w:asciiTheme="minorHAnsi" w:hAnsiTheme="minorHAnsi"/>
              <w:sz w:val="22"/>
            </w:rPr>
          </w:pPr>
          <w:r>
            <w:rPr>
              <w:rStyle w:val="Hyperlien"/>
              <w:color w:val="auto"/>
              <w:u w:val="none"/>
            </w:rPr>
            <w:t>4.</w:t>
          </w:r>
          <w:r>
            <w:rPr>
              <w:rFonts w:asciiTheme="minorHAnsi" w:hAnsiTheme="minorHAnsi"/>
              <w:sz w:val="22"/>
            </w:rPr>
            <w:tab/>
          </w:r>
          <w:r w:rsidRPr="00DC2EF0">
            <w:rPr>
              <w:rStyle w:val="Hyperlien"/>
              <w:color w:val="auto"/>
              <w:u w:val="none"/>
            </w:rPr>
            <w:t xml:space="preserve">Les défendeurs </w:t>
          </w:r>
          <w:r w:rsidR="00DF7348">
            <w:rPr>
              <w:rStyle w:val="Hyperlien"/>
              <w:color w:val="auto"/>
              <w:u w:val="none"/>
            </w:rPr>
            <w:t>ont-ils commis</w:t>
          </w:r>
          <w:r w:rsidRPr="00DC2EF0">
            <w:rPr>
              <w:rStyle w:val="Hyperlien"/>
              <w:color w:val="auto"/>
              <w:u w:val="none"/>
            </w:rPr>
            <w:t xml:space="preserve"> une faute </w:t>
          </w:r>
          <w:r w:rsidR="00362892">
            <w:rPr>
              <w:rStyle w:val="Hyperlien"/>
              <w:color w:val="auto"/>
              <w:u w:val="none"/>
            </w:rPr>
            <w:t>civile parce qu’ils ont publié</w:t>
          </w:r>
          <w:r w:rsidRPr="00DC2EF0">
            <w:rPr>
              <w:rStyle w:val="Hyperlien"/>
              <w:color w:val="auto"/>
              <w:u w:val="none"/>
            </w:rPr>
            <w:t xml:space="preserve"> sur les réseaux sociaux des écrits ou vidéos diffamatoires à l’égard du Barreau</w:t>
          </w:r>
          <w:r w:rsidR="00DC2EF0" w:rsidRPr="00DC2EF0">
            <w:rPr>
              <w:rStyle w:val="Hyperlien"/>
              <w:color w:val="auto"/>
              <w:u w:val="none"/>
            </w:rPr>
            <w:t xml:space="preserve"> ou de ses employés, représentants et dirigeants</w:t>
          </w:r>
          <w:r w:rsidRPr="00DC2EF0">
            <w:rPr>
              <w:rStyle w:val="Hyperlien"/>
              <w:color w:val="auto"/>
              <w:u w:val="none"/>
            </w:rPr>
            <w:t>?</w:t>
          </w:r>
          <w:r>
            <w:tab/>
            <w:t>40</w:t>
          </w:r>
        </w:p>
        <w:p w14:paraId="262AFA8A" w14:textId="77777777" w:rsidR="00A34AC5" w:rsidRDefault="00893AC8">
          <w:pPr>
            <w:pStyle w:val="TM3"/>
            <w:rPr>
              <w:rFonts w:asciiTheme="minorHAnsi" w:hAnsiTheme="minorHAnsi"/>
              <w:sz w:val="22"/>
            </w:rPr>
          </w:pPr>
          <w:r>
            <w:rPr>
              <w:rStyle w:val="Hyperlien"/>
              <w:color w:val="auto"/>
              <w:u w:val="none"/>
            </w:rPr>
            <w:t>4.1</w:t>
          </w:r>
          <w:r>
            <w:rPr>
              <w:rFonts w:asciiTheme="minorHAnsi" w:hAnsiTheme="minorHAnsi"/>
              <w:sz w:val="22"/>
            </w:rPr>
            <w:tab/>
          </w:r>
          <w:r w:rsidRPr="00C87F7A">
            <w:rPr>
              <w:rStyle w:val="Hyperlien"/>
              <w:color w:val="auto"/>
              <w:u w:val="none"/>
            </w:rPr>
            <w:t>Cadre juridique</w:t>
          </w:r>
          <w:r>
            <w:tab/>
            <w:t>40</w:t>
          </w:r>
        </w:p>
        <w:p w14:paraId="59DA4F41" w14:textId="77777777" w:rsidR="00A34AC5" w:rsidRDefault="00893AC8">
          <w:pPr>
            <w:pStyle w:val="TM3"/>
            <w:rPr>
              <w:rFonts w:asciiTheme="minorHAnsi" w:hAnsiTheme="minorHAnsi"/>
              <w:sz w:val="22"/>
            </w:rPr>
          </w:pPr>
          <w:r>
            <w:rPr>
              <w:rStyle w:val="Hyperlien"/>
              <w:color w:val="auto"/>
              <w:u w:val="none"/>
            </w:rPr>
            <w:t>4.2</w:t>
          </w:r>
          <w:r>
            <w:rPr>
              <w:rFonts w:asciiTheme="minorHAnsi" w:hAnsiTheme="minorHAnsi"/>
              <w:sz w:val="22"/>
            </w:rPr>
            <w:tab/>
          </w:r>
          <w:r w:rsidRPr="00E921FC">
            <w:rPr>
              <w:rStyle w:val="Hyperlien"/>
              <w:color w:val="auto"/>
              <w:u w:val="none"/>
            </w:rPr>
            <w:t>Application aux faits</w:t>
          </w:r>
          <w:r>
            <w:tab/>
            <w:t>41</w:t>
          </w:r>
        </w:p>
        <w:p w14:paraId="271F69A0" w14:textId="77777777" w:rsidR="00A34AC5" w:rsidRDefault="00893AC8">
          <w:pPr>
            <w:pStyle w:val="TM2"/>
            <w:rPr>
              <w:rFonts w:asciiTheme="minorHAnsi" w:hAnsiTheme="minorHAnsi"/>
              <w:sz w:val="22"/>
            </w:rPr>
          </w:pPr>
          <w:r>
            <w:rPr>
              <w:rStyle w:val="Hyperlien"/>
              <w:color w:val="auto"/>
              <w:u w:val="none"/>
            </w:rPr>
            <w:t>5.</w:t>
          </w:r>
          <w:r>
            <w:rPr>
              <w:rFonts w:asciiTheme="minorHAnsi" w:hAnsiTheme="minorHAnsi"/>
              <w:sz w:val="22"/>
            </w:rPr>
            <w:tab/>
          </w:r>
          <w:r w:rsidRPr="00E45009">
            <w:rPr>
              <w:rStyle w:val="Hyperlien"/>
              <w:color w:val="auto"/>
              <w:u w:val="none"/>
            </w:rPr>
            <w:t>L</w:t>
          </w:r>
          <w:r w:rsidR="009364A9" w:rsidRPr="00E45009">
            <w:rPr>
              <w:rStyle w:val="Hyperlien"/>
              <w:color w:val="auto"/>
              <w:u w:val="none"/>
            </w:rPr>
            <w:t xml:space="preserve">’article </w:t>
          </w:r>
          <w:r w:rsidRPr="00E45009">
            <w:rPr>
              <w:rStyle w:val="Hyperlien"/>
              <w:color w:val="auto"/>
              <w:u w:val="none"/>
            </w:rPr>
            <w:t>128</w:t>
          </w:r>
          <w:r w:rsidR="00134938">
            <w:rPr>
              <w:rStyle w:val="Hyperlien"/>
              <w:color w:val="auto"/>
              <w:u w:val="none"/>
            </w:rPr>
            <w:t>.</w:t>
          </w:r>
          <w:r w:rsidRPr="00E45009">
            <w:rPr>
              <w:rStyle w:val="Hyperlien"/>
              <w:color w:val="auto"/>
              <w:u w:val="none"/>
            </w:rPr>
            <w:t xml:space="preserve">1b) de la </w:t>
          </w:r>
          <w:r w:rsidRPr="00E45009">
            <w:rPr>
              <w:rStyle w:val="Hyperlien"/>
              <w:iCs/>
              <w:color w:val="auto"/>
              <w:u w:val="none"/>
            </w:rPr>
            <w:t>Loi sur le Barreau</w:t>
          </w:r>
          <w:r w:rsidRPr="00E45009">
            <w:rPr>
              <w:rStyle w:val="Hyperlien"/>
              <w:color w:val="auto"/>
              <w:u w:val="none"/>
            </w:rPr>
            <w:t xml:space="preserve"> et l’article 87 alinéa 3 du </w:t>
          </w:r>
          <w:r w:rsidRPr="00E45009">
            <w:rPr>
              <w:rStyle w:val="Hyperlien"/>
              <w:iCs/>
              <w:color w:val="auto"/>
              <w:u w:val="none"/>
            </w:rPr>
            <w:t>Code de procédure civile</w:t>
          </w:r>
          <w:r w:rsidRPr="00E45009">
            <w:rPr>
              <w:rStyle w:val="Hyperlien"/>
              <w:color w:val="auto"/>
              <w:u w:val="none"/>
            </w:rPr>
            <w:t xml:space="preserve"> sont-</w:t>
          </w:r>
          <w:r w:rsidR="00134938">
            <w:rPr>
              <w:rStyle w:val="Hyperlien"/>
              <w:color w:val="auto"/>
              <w:u w:val="none"/>
            </w:rPr>
            <w:t>ils</w:t>
          </w:r>
          <w:r w:rsidRPr="00E45009">
            <w:rPr>
              <w:rStyle w:val="Hyperlien"/>
              <w:color w:val="auto"/>
              <w:u w:val="none"/>
            </w:rPr>
            <w:t xml:space="preserve"> invalides parce qu’</w:t>
          </w:r>
          <w:r w:rsidR="00134938">
            <w:rPr>
              <w:rStyle w:val="Hyperlien"/>
              <w:color w:val="auto"/>
              <w:u w:val="none"/>
            </w:rPr>
            <w:t>ils</w:t>
          </w:r>
          <w:r w:rsidRPr="00E45009">
            <w:rPr>
              <w:rStyle w:val="Hyperlien"/>
              <w:color w:val="auto"/>
              <w:u w:val="none"/>
            </w:rPr>
            <w:t xml:space="preserve"> dérogent aux articles 2, 3, 37.1 de la </w:t>
          </w:r>
          <w:r w:rsidRPr="00E45009">
            <w:rPr>
              <w:rStyle w:val="Hyperlien"/>
              <w:iCs/>
              <w:color w:val="auto"/>
              <w:u w:val="none"/>
            </w:rPr>
            <w:t>Charte des droits et libertés de la personne</w:t>
          </w:r>
          <w:r w:rsidR="003D3189">
            <w:rPr>
              <w:rStyle w:val="Hyperlien"/>
              <w:color w:val="auto"/>
              <w:u w:val="none"/>
            </w:rPr>
            <w:t xml:space="preserve"> </w:t>
          </w:r>
          <w:r w:rsidR="003D3189">
            <w:rPr>
              <w:rStyle w:val="Hyperlien"/>
              <w:iCs/>
              <w:color w:val="auto"/>
              <w:u w:val="none"/>
            </w:rPr>
            <w:t>ou l’article 192 du Code de procédure pénale</w:t>
          </w:r>
          <w:r w:rsidRPr="00E45009">
            <w:rPr>
              <w:rStyle w:val="Hyperlien"/>
              <w:color w:val="auto"/>
              <w:u w:val="none"/>
            </w:rPr>
            <w:t>?</w:t>
          </w:r>
          <w:r>
            <w:tab/>
            <w:t>48</w:t>
          </w:r>
        </w:p>
        <w:p w14:paraId="7B23E002" w14:textId="77777777" w:rsidR="00A34AC5" w:rsidRDefault="00893AC8">
          <w:pPr>
            <w:pStyle w:val="TM3"/>
            <w:rPr>
              <w:rFonts w:asciiTheme="minorHAnsi" w:hAnsiTheme="minorHAnsi"/>
              <w:sz w:val="22"/>
            </w:rPr>
          </w:pPr>
          <w:r>
            <w:rPr>
              <w:rStyle w:val="Hyperlien"/>
              <w:color w:val="auto"/>
              <w:u w:val="none"/>
            </w:rPr>
            <w:t>5.1</w:t>
          </w:r>
          <w:r>
            <w:rPr>
              <w:rFonts w:asciiTheme="minorHAnsi" w:hAnsiTheme="minorHAnsi"/>
              <w:sz w:val="22"/>
            </w:rPr>
            <w:tab/>
          </w:r>
          <w:r>
            <w:rPr>
              <w:rStyle w:val="Hyperlien"/>
              <w:color w:val="auto"/>
              <w:u w:val="none"/>
            </w:rPr>
            <w:t>Position des parties</w:t>
          </w:r>
          <w:r>
            <w:tab/>
            <w:t>48</w:t>
          </w:r>
        </w:p>
        <w:p w14:paraId="2A55B878" w14:textId="77777777" w:rsidR="00A34AC5" w:rsidRDefault="00893AC8">
          <w:pPr>
            <w:pStyle w:val="TM3"/>
            <w:rPr>
              <w:rFonts w:asciiTheme="minorHAnsi" w:hAnsiTheme="minorHAnsi"/>
              <w:sz w:val="22"/>
            </w:rPr>
          </w:pPr>
          <w:r>
            <w:rPr>
              <w:rStyle w:val="Hyperlien"/>
              <w:color w:val="auto"/>
              <w:u w:val="none"/>
            </w:rPr>
            <w:t>5.2</w:t>
          </w:r>
          <w:r>
            <w:rPr>
              <w:rFonts w:asciiTheme="minorHAnsi" w:hAnsiTheme="minorHAnsi"/>
              <w:sz w:val="22"/>
            </w:rPr>
            <w:tab/>
          </w:r>
          <w:r w:rsidRPr="00DC0354">
            <w:rPr>
              <w:rStyle w:val="Hyperlien"/>
              <w:color w:val="auto"/>
              <w:u w:val="none"/>
            </w:rPr>
            <w:t>Cadre juridique</w:t>
          </w:r>
          <w:r>
            <w:tab/>
            <w:t>49</w:t>
          </w:r>
        </w:p>
        <w:p w14:paraId="3592A44B" w14:textId="77777777" w:rsidR="00A34AC5" w:rsidRDefault="00893AC8">
          <w:pPr>
            <w:pStyle w:val="TM3"/>
            <w:rPr>
              <w:rFonts w:asciiTheme="minorHAnsi" w:hAnsiTheme="minorHAnsi"/>
              <w:sz w:val="22"/>
            </w:rPr>
          </w:pPr>
          <w:r>
            <w:rPr>
              <w:rStyle w:val="Hyperlien"/>
              <w:color w:val="auto"/>
              <w:u w:val="none"/>
            </w:rPr>
            <w:t>5.3</w:t>
          </w:r>
          <w:r>
            <w:rPr>
              <w:rFonts w:asciiTheme="minorHAnsi" w:hAnsiTheme="minorHAnsi"/>
              <w:sz w:val="22"/>
            </w:rPr>
            <w:tab/>
          </w:r>
          <w:r w:rsidR="007764E9" w:rsidRPr="00DC0354">
            <w:rPr>
              <w:rStyle w:val="Hyperlien"/>
              <w:color w:val="auto"/>
              <w:u w:val="none"/>
            </w:rPr>
            <w:t>Application aux faits</w:t>
          </w:r>
          <w:r>
            <w:tab/>
            <w:t>51</w:t>
          </w:r>
        </w:p>
        <w:p w14:paraId="55B59CC6" w14:textId="77777777" w:rsidR="00A34AC5" w:rsidRDefault="00893AC8">
          <w:pPr>
            <w:pStyle w:val="TM2"/>
            <w:rPr>
              <w:rFonts w:asciiTheme="minorHAnsi" w:hAnsiTheme="minorHAnsi"/>
              <w:sz w:val="22"/>
            </w:rPr>
          </w:pPr>
          <w:r>
            <w:rPr>
              <w:rStyle w:val="Hyperlien"/>
              <w:color w:val="auto"/>
              <w:u w:val="none"/>
            </w:rPr>
            <w:t>6.</w:t>
          </w:r>
          <w:r>
            <w:rPr>
              <w:rFonts w:asciiTheme="minorHAnsi" w:hAnsiTheme="minorHAnsi"/>
              <w:sz w:val="22"/>
            </w:rPr>
            <w:tab/>
          </w:r>
          <w:r w:rsidRPr="00C87F7A">
            <w:rPr>
              <w:rStyle w:val="Hyperlien"/>
              <w:color w:val="auto"/>
              <w:u w:val="none"/>
            </w:rPr>
            <w:t>Quel sont les remèdes appropriés?</w:t>
          </w:r>
          <w:r>
            <w:tab/>
            <w:t>52</w:t>
          </w:r>
        </w:p>
        <w:p w14:paraId="334C355E" w14:textId="77777777" w:rsidR="00A34AC5" w:rsidRDefault="00893AC8">
          <w:pPr>
            <w:pStyle w:val="TM3"/>
            <w:rPr>
              <w:rFonts w:asciiTheme="minorHAnsi" w:hAnsiTheme="minorHAnsi"/>
              <w:sz w:val="22"/>
            </w:rPr>
          </w:pPr>
          <w:r>
            <w:rPr>
              <w:rStyle w:val="Hyperlien"/>
              <w:color w:val="auto"/>
              <w:u w:val="none"/>
            </w:rPr>
            <w:t>6.1</w:t>
          </w:r>
          <w:r>
            <w:rPr>
              <w:rFonts w:asciiTheme="minorHAnsi" w:hAnsiTheme="minorHAnsi"/>
              <w:sz w:val="22"/>
            </w:rPr>
            <w:tab/>
          </w:r>
          <w:r>
            <w:rPr>
              <w:rStyle w:val="Hyperlien"/>
              <w:color w:val="auto"/>
              <w:u w:val="none"/>
            </w:rPr>
            <w:t>Position des parties</w:t>
          </w:r>
          <w:r>
            <w:tab/>
            <w:t>52</w:t>
          </w:r>
        </w:p>
        <w:p w14:paraId="0DA81E09" w14:textId="77777777" w:rsidR="00A34AC5" w:rsidRDefault="00893AC8">
          <w:pPr>
            <w:pStyle w:val="TM3"/>
            <w:rPr>
              <w:rFonts w:asciiTheme="minorHAnsi" w:hAnsiTheme="minorHAnsi"/>
              <w:sz w:val="22"/>
            </w:rPr>
          </w:pPr>
          <w:r>
            <w:rPr>
              <w:rStyle w:val="Hyperlien"/>
              <w:color w:val="auto"/>
              <w:u w:val="none"/>
            </w:rPr>
            <w:t>6.2</w:t>
          </w:r>
          <w:r>
            <w:rPr>
              <w:rFonts w:asciiTheme="minorHAnsi" w:hAnsiTheme="minorHAnsi"/>
              <w:sz w:val="22"/>
            </w:rPr>
            <w:tab/>
          </w:r>
          <w:r w:rsidRPr="00DC0354">
            <w:rPr>
              <w:rStyle w:val="Hyperlien"/>
              <w:color w:val="auto"/>
              <w:u w:val="none"/>
            </w:rPr>
            <w:t>Application aux faits</w:t>
          </w:r>
          <w:r>
            <w:tab/>
            <w:t>53</w:t>
          </w:r>
        </w:p>
        <w:p w14:paraId="0594EC4E" w14:textId="77777777" w:rsidR="00A34AC5" w:rsidRDefault="00893AC8">
          <w:pPr>
            <w:pStyle w:val="TM3"/>
            <w:rPr>
              <w:rFonts w:asciiTheme="minorHAnsi" w:hAnsiTheme="minorHAnsi"/>
              <w:sz w:val="22"/>
            </w:rPr>
          </w:pPr>
          <w:r>
            <w:rPr>
              <w:rStyle w:val="Hyperlien"/>
              <w:color w:val="auto"/>
              <w:u w:val="none"/>
            </w:rPr>
            <w:lastRenderedPageBreak/>
            <w:t>i.</w:t>
          </w:r>
          <w:r>
            <w:rPr>
              <w:rFonts w:asciiTheme="minorHAnsi" w:hAnsiTheme="minorHAnsi"/>
              <w:sz w:val="22"/>
            </w:rPr>
            <w:tab/>
          </w:r>
          <w:r w:rsidRPr="00C87F7A">
            <w:rPr>
              <w:rStyle w:val="Hyperlien"/>
              <w:color w:val="auto"/>
              <w:u w:val="none"/>
            </w:rPr>
            <w:t>Interdiction de faire des actes réservés aux membres du Barreau ou de laisser croire qu’ils peuvent le faire</w:t>
          </w:r>
          <w:r>
            <w:tab/>
            <w:t>54</w:t>
          </w:r>
        </w:p>
        <w:p w14:paraId="3D3A262E" w14:textId="77777777" w:rsidR="00A34AC5" w:rsidRDefault="00893AC8">
          <w:pPr>
            <w:pStyle w:val="TM3"/>
            <w:rPr>
              <w:rFonts w:asciiTheme="minorHAnsi" w:hAnsiTheme="minorHAnsi"/>
              <w:sz w:val="22"/>
            </w:rPr>
          </w:pPr>
          <w:r>
            <w:rPr>
              <w:rStyle w:val="Hyperlien"/>
              <w:color w:val="auto"/>
              <w:u w:val="none"/>
            </w:rPr>
            <w:t>ii.</w:t>
          </w:r>
          <w:r>
            <w:rPr>
              <w:rFonts w:asciiTheme="minorHAnsi" w:hAnsiTheme="minorHAnsi"/>
              <w:sz w:val="22"/>
            </w:rPr>
            <w:tab/>
          </w:r>
          <w:r w:rsidRPr="00C87F7A">
            <w:rPr>
              <w:rStyle w:val="Hyperlien"/>
              <w:color w:val="auto"/>
              <w:u w:val="none"/>
            </w:rPr>
            <w:t>Interdiction de publier des propos diffamatoires</w:t>
          </w:r>
          <w:r>
            <w:tab/>
            <w:t>54</w:t>
          </w:r>
        </w:p>
        <w:p w14:paraId="7AD7953D" w14:textId="77777777" w:rsidR="00A34AC5" w:rsidRDefault="00893AC8">
          <w:pPr>
            <w:pStyle w:val="TM3"/>
            <w:rPr>
              <w:rFonts w:asciiTheme="minorHAnsi" w:hAnsiTheme="minorHAnsi"/>
              <w:sz w:val="22"/>
            </w:rPr>
          </w:pPr>
          <w:r>
            <w:rPr>
              <w:rStyle w:val="Hyperlien"/>
              <w:color w:val="auto"/>
              <w:u w:val="none"/>
            </w:rPr>
            <w:t>iii.</w:t>
          </w:r>
          <w:r>
            <w:rPr>
              <w:rFonts w:asciiTheme="minorHAnsi" w:hAnsiTheme="minorHAnsi"/>
              <w:sz w:val="22"/>
            </w:rPr>
            <w:tab/>
          </w:r>
          <w:r w:rsidRPr="00C87F7A">
            <w:rPr>
              <w:rStyle w:val="Hyperlien"/>
              <w:rFonts w:cs="Arial"/>
              <w:color w:val="auto"/>
              <w:u w:val="none"/>
            </w:rPr>
            <w:t>Interdiction de faire usage des médias sociaux</w:t>
          </w:r>
          <w:r>
            <w:tab/>
            <w:t>56</w:t>
          </w:r>
        </w:p>
        <w:p w14:paraId="3B853FE5" w14:textId="77777777" w:rsidR="00A34AC5" w:rsidRDefault="00893AC8">
          <w:pPr>
            <w:pStyle w:val="TM1"/>
            <w:tabs>
              <w:tab w:val="right" w:leader="dot" w:pos="9352"/>
            </w:tabs>
            <w:rPr>
              <w:rFonts w:asciiTheme="minorHAnsi" w:hAnsiTheme="minorHAnsi"/>
              <w:noProof/>
              <w:sz w:val="22"/>
            </w:rPr>
          </w:pPr>
          <w:r>
            <w:rPr>
              <w:rStyle w:val="Hyperlien"/>
              <w:color w:val="auto"/>
              <w:u w:val="none"/>
            </w:rPr>
            <w:t>CONCLUSION</w:t>
          </w:r>
          <w:r w:rsidR="00681FAD">
            <w:rPr>
              <w:rStyle w:val="Hyperlien"/>
              <w:color w:val="auto"/>
              <w:u w:val="none"/>
            </w:rPr>
            <w:t>S</w:t>
          </w:r>
          <w:r>
            <w:tab/>
            <w:t>58</w:t>
          </w:r>
        </w:p>
        <w:p w14:paraId="01F0FC0D" w14:textId="77777777" w:rsidR="00A34AC5" w:rsidRPr="00C87F7A" w:rsidRDefault="00947002" w:rsidP="008A1100">
          <w:pPr>
            <w:rPr>
              <w:b/>
              <w:bCs/>
            </w:rPr>
          </w:pPr>
        </w:p>
      </w:sdtContent>
    </w:sdt>
    <w:p w14:paraId="1502399F" w14:textId="77777777" w:rsidR="00072545" w:rsidRDefault="00893AC8" w:rsidP="008A1100">
      <w:pPr>
        <w:rPr>
          <w:b/>
          <w:kern w:val="28"/>
          <w:u w:val="single"/>
        </w:rPr>
      </w:pPr>
      <w:r>
        <w:br w:type="page"/>
      </w:r>
    </w:p>
    <w:p w14:paraId="11693367" w14:textId="77777777" w:rsidR="002772BB" w:rsidRPr="002772BB" w:rsidRDefault="00893AC8" w:rsidP="008A1100">
      <w:pPr>
        <w:pStyle w:val="Titre1"/>
      </w:pPr>
      <w:bookmarkStart w:id="0" w:name="_Toc256000001"/>
      <w:bookmarkStart w:id="1" w:name="_Toc224727320"/>
      <w:r w:rsidRPr="002772BB">
        <w:lastRenderedPageBreak/>
        <w:t>APERÇU</w:t>
      </w:r>
      <w:bookmarkEnd w:id="0"/>
      <w:bookmarkEnd w:id="1"/>
    </w:p>
    <w:p w14:paraId="0BE5A819" w14:textId="77777777" w:rsidR="00A96454" w:rsidRDefault="00893AC8" w:rsidP="008A1100">
      <w:pPr>
        <w:pStyle w:val="Paragraphe"/>
        <w:spacing w:line="240" w:lineRule="auto"/>
        <w:rPr>
          <w:b/>
          <w:bCs/>
        </w:rPr>
      </w:pPr>
      <w:r w:rsidRPr="0003460D">
        <w:t>Le</w:t>
      </w:r>
      <w:r>
        <w:rPr>
          <w:b/>
          <w:bCs/>
        </w:rPr>
        <w:t xml:space="preserve"> </w:t>
      </w:r>
      <w:r w:rsidRPr="0003460D">
        <w:t>Barreau du Québec</w:t>
      </w:r>
      <w:r>
        <w:t xml:space="preserve"> </w:t>
      </w:r>
      <w:r w:rsidR="00B85FBE" w:rsidRPr="00B85FBE">
        <w:t xml:space="preserve">demande au Tribunal d’émettre une injonction permanente </w:t>
      </w:r>
      <w:r w:rsidR="00B85FBE">
        <w:t>contre</w:t>
      </w:r>
      <w:r w:rsidR="00D82CCF">
        <w:t xml:space="preserve"> les défendeurs </w:t>
      </w:r>
      <w:r w:rsidR="00784C8D" w:rsidRPr="00784C8D">
        <w:t xml:space="preserve">Mario Roy </w:t>
      </w:r>
      <w:r w:rsidR="00784C8D">
        <w:t xml:space="preserve">et </w:t>
      </w:r>
      <w:r w:rsidR="00A55B0D" w:rsidRPr="00C87F7A">
        <w:t xml:space="preserve">l’Unité Citoyenne </w:t>
      </w:r>
      <w:r w:rsidR="00E44F34" w:rsidRPr="00C87F7A">
        <w:t>d</w:t>
      </w:r>
      <w:r w:rsidR="00A55B0D" w:rsidRPr="00C87F7A">
        <w:t>’Enquête Anti-Corruption (l</w:t>
      </w:r>
      <w:r w:rsidR="005B4D40" w:rsidRPr="00C87F7A">
        <w:t>’«</w:t>
      </w:r>
      <w:r w:rsidR="00162982">
        <w:t> </w:t>
      </w:r>
      <w:r w:rsidR="005B4D40" w:rsidRPr="00162982">
        <w:rPr>
          <w:bCs/>
        </w:rPr>
        <w:t>Unité</w:t>
      </w:r>
      <w:r w:rsidR="00A55B0D" w:rsidRPr="00C87F7A">
        <w:t xml:space="preserve"> ») </w:t>
      </w:r>
      <w:r w:rsidR="009312A1" w:rsidRPr="00C87F7A">
        <w:t>au motif qu’ils</w:t>
      </w:r>
      <w:r w:rsidR="00A55B0D" w:rsidRPr="00C87F7A">
        <w:t xml:space="preserve"> contreviennent aux</w:t>
      </w:r>
      <w:r w:rsidR="00D82CCF">
        <w:t xml:space="preserve"> dispositions </w:t>
      </w:r>
      <w:r w:rsidR="00CD72C2" w:rsidRPr="00CD72C2">
        <w:t xml:space="preserve">d’ordre public de la </w:t>
      </w:r>
      <w:r w:rsidR="00CD72C2" w:rsidRPr="00CD72C2">
        <w:rPr>
          <w:i/>
          <w:iCs/>
        </w:rPr>
        <w:t xml:space="preserve">Loi sur le Barreau </w:t>
      </w:r>
      <w:r w:rsidR="009768A8">
        <w:t>(</w:t>
      </w:r>
      <w:r w:rsidR="00CD72C2" w:rsidRPr="00CD72C2">
        <w:t>RLRQ, c. B-1</w:t>
      </w:r>
      <w:r w:rsidR="005B4D40">
        <w:t>)</w:t>
      </w:r>
      <w:r w:rsidR="00CD72C2" w:rsidRPr="00CD72C2">
        <w:t xml:space="preserve"> et du </w:t>
      </w:r>
      <w:r w:rsidR="00CD72C2" w:rsidRPr="00CD72C2">
        <w:rPr>
          <w:i/>
          <w:iCs/>
        </w:rPr>
        <w:t>Code des professions</w:t>
      </w:r>
      <w:r w:rsidR="00CD72C2" w:rsidRPr="00CD72C2">
        <w:t xml:space="preserve"> </w:t>
      </w:r>
      <w:r w:rsidR="00F555E3">
        <w:t xml:space="preserve">en accomplissant des gestes qui sont du ressort exclusif </w:t>
      </w:r>
      <w:r w:rsidR="00CD72C2">
        <w:t>de l’avocat</w:t>
      </w:r>
      <w:r w:rsidR="00B1600E">
        <w:t xml:space="preserve"> en exercice</w:t>
      </w:r>
      <w:r w:rsidR="008C3889">
        <w:t>.</w:t>
      </w:r>
    </w:p>
    <w:p w14:paraId="046E8AF9" w14:textId="77777777" w:rsidR="00D8267A" w:rsidRPr="001E3271" w:rsidRDefault="00893AC8" w:rsidP="008A1100">
      <w:pPr>
        <w:pStyle w:val="Paragraphe"/>
        <w:spacing w:line="240" w:lineRule="auto"/>
        <w:rPr>
          <w:b/>
          <w:bCs/>
        </w:rPr>
      </w:pPr>
      <w:r>
        <w:t xml:space="preserve">Plus particulièrement, il demande </w:t>
      </w:r>
      <w:r w:rsidR="00F64141">
        <w:t>au Tribunal</w:t>
      </w:r>
      <w:r>
        <w:t xml:space="preserve"> d’émettre une </w:t>
      </w:r>
      <w:r w:rsidR="003B296A">
        <w:t>ordonnance</w:t>
      </w:r>
      <w:r>
        <w:t xml:space="preserve"> afin d’interdire aux défendeurs</w:t>
      </w:r>
      <w:r w:rsidR="00AD686A">
        <w:t xml:space="preserve"> de</w:t>
      </w:r>
      <w:r>
        <w:t xml:space="preserve"> faire ou de prétendre faire des actes réservés aux membres du Barreau</w:t>
      </w:r>
      <w:bookmarkStart w:id="2" w:name="_Hlk207956711"/>
      <w:r w:rsidR="000A138C">
        <w:t>.</w:t>
      </w:r>
    </w:p>
    <w:bookmarkEnd w:id="2"/>
    <w:p w14:paraId="1FD6154D" w14:textId="77777777" w:rsidR="009312A1" w:rsidRPr="009312A1" w:rsidRDefault="00893AC8" w:rsidP="008A1100">
      <w:pPr>
        <w:pStyle w:val="Paragraphe"/>
        <w:spacing w:line="240" w:lineRule="auto"/>
      </w:pPr>
      <w:r w:rsidRPr="009312A1">
        <w:t>En outre, il plaide que les défendeurs ont porté atteinte à sa réputation en formulant sur les réseaux sociaux des propos diffamatoires, menaçants ou abusifs à moultes reprises, faisant fi de nombreux jugements de la Cour et malgré qu’ils aient été trouvé</w:t>
      </w:r>
      <w:r w:rsidR="006312E5">
        <w:t>s</w:t>
      </w:r>
      <w:r w:rsidRPr="009312A1">
        <w:t xml:space="preserve"> coupable</w:t>
      </w:r>
      <w:r w:rsidR="006312E5">
        <w:t>s</w:t>
      </w:r>
      <w:r w:rsidRPr="009312A1">
        <w:t xml:space="preserve"> d’outrage au tribunal.</w:t>
      </w:r>
    </w:p>
    <w:p w14:paraId="72FBF034" w14:textId="77777777" w:rsidR="000A138C" w:rsidRPr="000A138C" w:rsidRDefault="00893AC8" w:rsidP="008A1100">
      <w:pPr>
        <w:pStyle w:val="Paragraphe"/>
        <w:spacing w:line="240" w:lineRule="auto"/>
        <w:rPr>
          <w:b/>
          <w:bCs/>
        </w:rPr>
      </w:pPr>
      <w:r>
        <w:t xml:space="preserve">Le Barreau demande donc au Tribunal d’émettre une injonction permanente </w:t>
      </w:r>
      <w:r w:rsidRPr="000A138C">
        <w:t xml:space="preserve">afin d’interdire aux défendeurs de tenir ou publier dans les médias ou sur les réseaux sociaux des propos menaçants, diffamatoires ou abusifs concernant </w:t>
      </w:r>
      <w:r w:rsidR="00D625F5">
        <w:t>s</w:t>
      </w:r>
      <w:r w:rsidRPr="000A138C">
        <w:t xml:space="preserve">es employés, représentants et dirigeants et </w:t>
      </w:r>
      <w:r w:rsidR="003F13CE" w:rsidRPr="003F13CE">
        <w:t xml:space="preserve">d’interdire à M. Roy de faire usage des médias sociaux pour une durée de trois ans. </w:t>
      </w:r>
    </w:p>
    <w:p w14:paraId="463AF4CD" w14:textId="77777777" w:rsidR="00D8267A" w:rsidRDefault="00893AC8" w:rsidP="008A1100">
      <w:pPr>
        <w:pStyle w:val="Paragraphe"/>
        <w:spacing w:line="240" w:lineRule="auto"/>
      </w:pPr>
      <w:r>
        <w:t xml:space="preserve"> L’Unité n’a jamais produit de réponse à la demande et ne respecte pas les règles de représentation prévues au </w:t>
      </w:r>
      <w:r w:rsidRPr="00C83123">
        <w:rPr>
          <w:i/>
          <w:iCs/>
        </w:rPr>
        <w:t>Code de procédure civile</w:t>
      </w:r>
      <w:r>
        <w:t xml:space="preserve"> (</w:t>
      </w:r>
      <w:r w:rsidR="00F26BD0">
        <w:t>RLRQ,</w:t>
      </w:r>
      <w:r>
        <w:t xml:space="preserve"> c. </w:t>
      </w:r>
      <w:r w:rsidR="00F26BD0">
        <w:t>C-25.01</w:t>
      </w:r>
      <w:r w:rsidR="007904FE">
        <w:t xml:space="preserve">, « </w:t>
      </w:r>
      <w:r w:rsidR="007904FE" w:rsidRPr="0025644E">
        <w:rPr>
          <w:i/>
        </w:rPr>
        <w:t>C.p.c.</w:t>
      </w:r>
      <w:r w:rsidR="007904FE">
        <w:t xml:space="preserve"> »</w:t>
      </w:r>
      <w:r w:rsidR="00F26BD0">
        <w:t>)</w:t>
      </w:r>
      <w:r>
        <w:rPr>
          <w:rStyle w:val="Appelnotedebasdep"/>
        </w:rPr>
        <w:footnoteReference w:id="1"/>
      </w:r>
      <w:r>
        <w:t>. L’affaire procède contre elle par défaut</w:t>
      </w:r>
      <w:r w:rsidR="001C3A9E">
        <w:t>.</w:t>
      </w:r>
    </w:p>
    <w:p w14:paraId="5ECE2454" w14:textId="77777777" w:rsidR="005C7EF3" w:rsidRDefault="00893AC8" w:rsidP="008A1100">
      <w:pPr>
        <w:pStyle w:val="Paragraphe"/>
        <w:spacing w:line="240" w:lineRule="auto"/>
      </w:pPr>
      <w:r>
        <w:t xml:space="preserve">Mario Roy conteste la demande. Il </w:t>
      </w:r>
      <w:r w:rsidR="004C1933">
        <w:t>admet qu’il a à plusi</w:t>
      </w:r>
      <w:r w:rsidR="002E1313">
        <w:t xml:space="preserve">eurs </w:t>
      </w:r>
      <w:r w:rsidR="005567C4">
        <w:t>reprises</w:t>
      </w:r>
      <w:r w:rsidR="002E1313">
        <w:t xml:space="preserve"> </w:t>
      </w:r>
      <w:r w:rsidR="00032FF2">
        <w:t xml:space="preserve">depuis 2016 </w:t>
      </w:r>
      <w:r w:rsidR="002E1313">
        <w:t xml:space="preserve">préparer et rédiger </w:t>
      </w:r>
      <w:r w:rsidR="00B615E0">
        <w:t xml:space="preserve">des requêtes </w:t>
      </w:r>
      <w:r w:rsidR="00B615E0" w:rsidRPr="00B615E0">
        <w:t xml:space="preserve">destinées à servir dans </w:t>
      </w:r>
      <w:r w:rsidR="00B615E0">
        <w:t>des</w:t>
      </w:r>
      <w:r w:rsidR="00B615E0" w:rsidRPr="00B615E0">
        <w:t xml:space="preserve"> affaire</w:t>
      </w:r>
      <w:r w:rsidR="00B615E0">
        <w:t>s</w:t>
      </w:r>
      <w:r w:rsidR="00B615E0" w:rsidRPr="00B615E0">
        <w:t xml:space="preserve"> devant les tribunaux</w:t>
      </w:r>
      <w:r w:rsidR="00B615E0">
        <w:t xml:space="preserve"> </w:t>
      </w:r>
      <w:r w:rsidR="00CA2E5C">
        <w:t xml:space="preserve">en matière de </w:t>
      </w:r>
      <w:r w:rsidR="00C2586F">
        <w:t xml:space="preserve">protection de la jeunesse </w:t>
      </w:r>
      <w:r w:rsidR="00B615E0">
        <w:t xml:space="preserve">et </w:t>
      </w:r>
      <w:r w:rsidR="00BA7818">
        <w:t>d</w:t>
      </w:r>
      <w:r w:rsidR="00BA7818" w:rsidRPr="00BA7818">
        <w:t>onn</w:t>
      </w:r>
      <w:r w:rsidR="00BA7818">
        <w:t>é</w:t>
      </w:r>
      <w:r w:rsidR="00BA7818" w:rsidRPr="00BA7818">
        <w:t xml:space="preserve"> des consultations et avis d’ordre juridique</w:t>
      </w:r>
      <w:r w:rsidR="00BA7818">
        <w:t xml:space="preserve">. </w:t>
      </w:r>
    </w:p>
    <w:p w14:paraId="25548BC6" w14:textId="77777777" w:rsidR="002B0C7F" w:rsidRDefault="00893AC8" w:rsidP="008A1100">
      <w:pPr>
        <w:pStyle w:val="Paragraphe"/>
        <w:spacing w:line="240" w:lineRule="auto"/>
      </w:pPr>
      <w:r>
        <w:t>Toutefois, il</w:t>
      </w:r>
      <w:r w:rsidR="00D8267A">
        <w:t xml:space="preserve"> </w:t>
      </w:r>
      <w:r w:rsidR="001C3A9E">
        <w:t xml:space="preserve">plaide qu’il n’a rien fait d’illégal parce qu’il a été autorisé par des juges </w:t>
      </w:r>
      <w:r w:rsidR="009A6E12">
        <w:t xml:space="preserve">et des agents de probation </w:t>
      </w:r>
      <w:r w:rsidR="001C3A9E">
        <w:t xml:space="preserve">à faire </w:t>
      </w:r>
      <w:r w:rsidR="00136938">
        <w:t xml:space="preserve">ces actes </w:t>
      </w:r>
      <w:r w:rsidR="00FD3CE3">
        <w:t>de procédure et du travail d’ordre</w:t>
      </w:r>
      <w:r w:rsidR="001C3A9E">
        <w:t xml:space="preserve"> juridique</w:t>
      </w:r>
      <w:r w:rsidR="00136938">
        <w:t xml:space="preserve"> </w:t>
      </w:r>
      <w:r w:rsidR="00B927E2">
        <w:t>(« </w:t>
      </w:r>
      <w:r w:rsidR="006312E5">
        <w:t>M</w:t>
      </w:r>
      <w:r w:rsidR="00B927E2">
        <w:t>oyen de défense fondé sur l’autorisation préalable »)</w:t>
      </w:r>
      <w:r w:rsidR="001C3A9E">
        <w:t>.</w:t>
      </w:r>
    </w:p>
    <w:p w14:paraId="3782FBEE" w14:textId="77777777" w:rsidR="001C3A9E" w:rsidRDefault="00893AC8" w:rsidP="008A1100">
      <w:pPr>
        <w:pStyle w:val="Paragraphe"/>
        <w:spacing w:line="240" w:lineRule="auto"/>
      </w:pPr>
      <w:r>
        <w:t xml:space="preserve">En outre, il soutient qu’il ne peut être </w:t>
      </w:r>
      <w:r w:rsidR="007812E6">
        <w:t>poursuivi</w:t>
      </w:r>
      <w:r>
        <w:t xml:space="preserve"> pour avoir exercé illégalement la profession d’avocat car </w:t>
      </w:r>
      <w:r w:rsidR="00444FF6">
        <w:t xml:space="preserve">il avait le devoir et l’obligation </w:t>
      </w:r>
      <w:r w:rsidR="003B0CAE">
        <w:t xml:space="preserve">d’agir ainsi vu </w:t>
      </w:r>
      <w:r w:rsidR="00891566">
        <w:t xml:space="preserve">les termes de l’article 42 </w:t>
      </w:r>
      <w:r w:rsidR="00891566" w:rsidRPr="00891566">
        <w:t xml:space="preserve">de la </w:t>
      </w:r>
      <w:r w:rsidR="00891566" w:rsidRPr="00891566">
        <w:rPr>
          <w:i/>
        </w:rPr>
        <w:t>Loi sur la protection de la jeunesse</w:t>
      </w:r>
      <w:r w:rsidR="00891566" w:rsidRPr="00891566">
        <w:t xml:space="preserve">, </w:t>
      </w:r>
      <w:r w:rsidR="00C349A8">
        <w:t>(</w:t>
      </w:r>
      <w:r w:rsidR="00891566" w:rsidRPr="00891566">
        <w:t>L.R.Q., c. P-34.1</w:t>
      </w:r>
      <w:r w:rsidR="00C349A8">
        <w:t>,</w:t>
      </w:r>
      <w:r w:rsidR="00891566" w:rsidRPr="00891566">
        <w:t xml:space="preserve"> </w:t>
      </w:r>
      <w:r w:rsidR="00C349A8">
        <w:t>« </w:t>
      </w:r>
      <w:r w:rsidR="00C349A8" w:rsidRPr="00020B14">
        <w:rPr>
          <w:i/>
        </w:rPr>
        <w:t>L</w:t>
      </w:r>
      <w:r w:rsidR="00186DD9" w:rsidRPr="00020B14">
        <w:rPr>
          <w:i/>
        </w:rPr>
        <w:t>.p.j.</w:t>
      </w:r>
      <w:r w:rsidR="00C349A8">
        <w:t xml:space="preserve"> ») </w:t>
      </w:r>
      <w:r w:rsidR="00FD3CE3">
        <w:t>puisque</w:t>
      </w:r>
      <w:r w:rsidR="008D667E">
        <w:t xml:space="preserve"> ces actes étaient </w:t>
      </w:r>
      <w:r w:rsidR="008D667E" w:rsidRPr="008D667E">
        <w:t>nécessaire</w:t>
      </w:r>
      <w:r w:rsidR="00D06AFF">
        <w:t>s</w:t>
      </w:r>
      <w:r>
        <w:t xml:space="preserve"> pour venir en aide à des enfants dont la </w:t>
      </w:r>
      <w:r w:rsidR="002B0C7F">
        <w:t xml:space="preserve">sécurité et le développement </w:t>
      </w:r>
      <w:r>
        <w:t>était compromis</w:t>
      </w:r>
      <w:r w:rsidR="00D06AFF">
        <w:t>. Il ajoute qu’il bénéficie d’une immunité de poursuite</w:t>
      </w:r>
      <w:r w:rsidR="002F393F">
        <w:t xml:space="preserve"> pour avoir accompli ces </w:t>
      </w:r>
      <w:r w:rsidR="005C7EF3">
        <w:t>gestes compte</w:t>
      </w:r>
      <w:r w:rsidR="002F393F">
        <w:t xml:space="preserve"> tenu des termes de</w:t>
      </w:r>
      <w:r w:rsidR="002B0C7F">
        <w:t xml:space="preserve"> l’article 43 de </w:t>
      </w:r>
      <w:bookmarkStart w:id="3" w:name="_Hlk209001623"/>
      <w:r w:rsidR="002B0C7F">
        <w:t xml:space="preserve">la </w:t>
      </w:r>
      <w:bookmarkEnd w:id="3"/>
      <w:r w:rsidR="007904FE">
        <w:rPr>
          <w:i/>
        </w:rPr>
        <w:t>L.p.j</w:t>
      </w:r>
      <w:r w:rsidR="007812E6" w:rsidRPr="00020B14">
        <w:rPr>
          <w:i/>
        </w:rPr>
        <w:t>.</w:t>
      </w:r>
    </w:p>
    <w:p w14:paraId="37079A80" w14:textId="77777777" w:rsidR="00D8267A" w:rsidRPr="009B2D3B" w:rsidRDefault="00893AC8" w:rsidP="008A1100">
      <w:pPr>
        <w:pStyle w:val="Paragraphe"/>
        <w:spacing w:line="240" w:lineRule="auto"/>
      </w:pPr>
      <w:r>
        <w:lastRenderedPageBreak/>
        <w:t>Enfin, il</w:t>
      </w:r>
      <w:r w:rsidR="001C3A9E">
        <w:t xml:space="preserve"> </w:t>
      </w:r>
      <w:r>
        <w:t>demande au Tribunal de déclarer que l’article 128</w:t>
      </w:r>
      <w:r w:rsidR="00FD3CE3">
        <w:t>.</w:t>
      </w:r>
      <w:r>
        <w:t xml:space="preserve">1 b) de la </w:t>
      </w:r>
      <w:r w:rsidR="00281481">
        <w:rPr>
          <w:i/>
        </w:rPr>
        <w:t xml:space="preserve">Loi sur le </w:t>
      </w:r>
      <w:r w:rsidR="00281481" w:rsidRPr="00E75C4A">
        <w:rPr>
          <w:i/>
        </w:rPr>
        <w:t>Barreau</w:t>
      </w:r>
      <w:r w:rsidR="00281481">
        <w:t xml:space="preserve"> </w:t>
      </w:r>
      <w:r w:rsidRPr="00281481">
        <w:t>et</w:t>
      </w:r>
      <w:r>
        <w:t xml:space="preserve"> l’article 87 alinéa 3 du </w:t>
      </w:r>
      <w:r w:rsidRPr="007E6AB2">
        <w:rPr>
          <w:i/>
          <w:iCs/>
        </w:rPr>
        <w:t>Code de procédure civile</w:t>
      </w:r>
      <w:r>
        <w:t xml:space="preserve"> soient déclarés inconstitutionnel</w:t>
      </w:r>
      <w:r w:rsidR="006312E5">
        <w:t>s</w:t>
      </w:r>
      <w:r w:rsidR="00DC306A">
        <w:t xml:space="preserve"> et</w:t>
      </w:r>
      <w:r>
        <w:t xml:space="preserve"> nuls</w:t>
      </w:r>
      <w:r w:rsidR="00281481">
        <w:t xml:space="preserve"> parce que ces dispositions sont contraires aux article 42 et 43 de la </w:t>
      </w:r>
      <w:r w:rsidR="00281481" w:rsidRPr="00281481">
        <w:rPr>
          <w:i/>
        </w:rPr>
        <w:t>Loi sur la protection de la jeunesse</w:t>
      </w:r>
      <w:r w:rsidR="00FC5685">
        <w:rPr>
          <w:iCs/>
        </w:rPr>
        <w:t xml:space="preserve">, l’article 192 </w:t>
      </w:r>
      <w:r w:rsidR="003B1329">
        <w:rPr>
          <w:iCs/>
        </w:rPr>
        <w:t xml:space="preserve">du </w:t>
      </w:r>
      <w:r w:rsidR="003B1329" w:rsidRPr="007904FE">
        <w:rPr>
          <w:i/>
        </w:rPr>
        <w:t>Code</w:t>
      </w:r>
      <w:r w:rsidR="003B1329">
        <w:rPr>
          <w:i/>
          <w:iCs/>
        </w:rPr>
        <w:t xml:space="preserve"> de procédure </w:t>
      </w:r>
      <w:r w:rsidR="003B1329" w:rsidRPr="00E44F34">
        <w:rPr>
          <w:i/>
        </w:rPr>
        <w:t>pénale</w:t>
      </w:r>
      <w:r w:rsidR="003B1329">
        <w:rPr>
          <w:iCs/>
        </w:rPr>
        <w:t xml:space="preserve"> </w:t>
      </w:r>
      <w:r w:rsidR="007904FE">
        <w:rPr>
          <w:iCs/>
        </w:rPr>
        <w:t>(</w:t>
      </w:r>
      <w:r w:rsidR="006312E5">
        <w:rPr>
          <w:iCs/>
        </w:rPr>
        <w:t xml:space="preserve">« </w:t>
      </w:r>
      <w:r w:rsidR="006312E5">
        <w:rPr>
          <w:i/>
        </w:rPr>
        <w:t>C.p.p.</w:t>
      </w:r>
      <w:r w:rsidR="006312E5">
        <w:rPr>
          <w:iCs/>
        </w:rPr>
        <w:t xml:space="preserve"> » </w:t>
      </w:r>
      <w:r w:rsidR="003B1329">
        <w:rPr>
          <w:iCs/>
        </w:rPr>
        <w:t>RLRQ, c. C-25.1</w:t>
      </w:r>
      <w:r w:rsidR="000A5A5D">
        <w:rPr>
          <w:iCs/>
        </w:rPr>
        <w:t>)</w:t>
      </w:r>
      <w:r w:rsidR="003B1329">
        <w:rPr>
          <w:iCs/>
        </w:rPr>
        <w:t xml:space="preserve"> </w:t>
      </w:r>
      <w:r w:rsidR="00281481" w:rsidRPr="003B1329">
        <w:rPr>
          <w:iCs/>
        </w:rPr>
        <w:t>et</w:t>
      </w:r>
      <w:r w:rsidR="00281481">
        <w:rPr>
          <w:iCs/>
        </w:rPr>
        <w:t xml:space="preserve"> </w:t>
      </w:r>
      <w:r w:rsidR="00FD3CE3">
        <w:rPr>
          <w:iCs/>
        </w:rPr>
        <w:t>les</w:t>
      </w:r>
      <w:r w:rsidR="00281481">
        <w:rPr>
          <w:iCs/>
        </w:rPr>
        <w:t xml:space="preserve"> articles </w:t>
      </w:r>
      <w:r w:rsidR="00205E08">
        <w:rPr>
          <w:iCs/>
        </w:rPr>
        <w:t xml:space="preserve">2, </w:t>
      </w:r>
      <w:r w:rsidR="004A7D73">
        <w:rPr>
          <w:iCs/>
        </w:rPr>
        <w:t xml:space="preserve">3, </w:t>
      </w:r>
      <w:r w:rsidR="001F7488">
        <w:rPr>
          <w:iCs/>
        </w:rPr>
        <w:t>37.1</w:t>
      </w:r>
      <w:r w:rsidR="00DC306A">
        <w:rPr>
          <w:iCs/>
        </w:rPr>
        <w:t xml:space="preserve"> de la </w:t>
      </w:r>
      <w:r w:rsidR="00DC306A">
        <w:rPr>
          <w:i/>
          <w:iCs/>
        </w:rPr>
        <w:t>Charte des droits et libertés de la personne</w:t>
      </w:r>
      <w:r w:rsidR="00DC306A">
        <w:rPr>
          <w:iCs/>
        </w:rPr>
        <w:t xml:space="preserve"> </w:t>
      </w:r>
      <w:r w:rsidR="007904FE">
        <w:rPr>
          <w:iCs/>
        </w:rPr>
        <w:t>(</w:t>
      </w:r>
      <w:r w:rsidR="000A5A5D">
        <w:rPr>
          <w:iCs/>
        </w:rPr>
        <w:t>« </w:t>
      </w:r>
      <w:r w:rsidR="000A5A5D" w:rsidRPr="00CD4FE0">
        <w:rPr>
          <w:i/>
        </w:rPr>
        <w:t>Charte québécoise</w:t>
      </w:r>
      <w:r w:rsidR="000A5A5D">
        <w:rPr>
          <w:iCs/>
        </w:rPr>
        <w:t> »</w:t>
      </w:r>
      <w:r w:rsidR="00CD4FE0">
        <w:rPr>
          <w:iCs/>
        </w:rPr>
        <w:t xml:space="preserve">, </w:t>
      </w:r>
      <w:r w:rsidR="00DC306A">
        <w:rPr>
          <w:iCs/>
        </w:rPr>
        <w:t>RLRQ, c. C-12</w:t>
      </w:r>
      <w:r w:rsidR="007904FE">
        <w:rPr>
          <w:iCs/>
        </w:rPr>
        <w:t>)</w:t>
      </w:r>
      <w:r>
        <w:rPr>
          <w:rStyle w:val="Appelnotedebasdep"/>
          <w:iCs/>
        </w:rPr>
        <w:footnoteReference w:id="2"/>
      </w:r>
      <w:r w:rsidR="001A06C8">
        <w:rPr>
          <w:iCs/>
        </w:rPr>
        <w:t>.</w:t>
      </w:r>
    </w:p>
    <w:p w14:paraId="39BEED74" w14:textId="77777777" w:rsidR="001A06C8" w:rsidRDefault="00893AC8" w:rsidP="008A1100">
      <w:pPr>
        <w:pStyle w:val="Paragraphe"/>
        <w:spacing w:line="240" w:lineRule="auto"/>
      </w:pPr>
      <w:r>
        <w:t xml:space="preserve">Le </w:t>
      </w:r>
      <w:r w:rsidR="00550B94">
        <w:t>B</w:t>
      </w:r>
      <w:r>
        <w:t xml:space="preserve">arreau répond que le </w:t>
      </w:r>
      <w:r w:rsidR="006312E5">
        <w:t>M</w:t>
      </w:r>
      <w:r w:rsidRPr="001A06C8">
        <w:t>oyen de défense fondé sur l’autorisation préalable</w:t>
      </w:r>
      <w:r>
        <w:t xml:space="preserve"> est </w:t>
      </w:r>
      <w:r w:rsidR="00981701">
        <w:t>mal fondé et de surcr</w:t>
      </w:r>
      <w:r w:rsidR="00B32901">
        <w:t xml:space="preserve">oît </w:t>
      </w:r>
      <w:r>
        <w:t xml:space="preserve">abusif au sens de </w:t>
      </w:r>
      <w:r w:rsidR="00550B94">
        <w:t>l’article</w:t>
      </w:r>
      <w:r>
        <w:t xml:space="preserve"> 51 </w:t>
      </w:r>
      <w:r w:rsidR="007904FE" w:rsidRPr="00CD4FE0">
        <w:rPr>
          <w:i/>
        </w:rPr>
        <w:t>C.p.c</w:t>
      </w:r>
      <w:r w:rsidR="007904FE">
        <w:t>.</w:t>
      </w:r>
      <w:r w:rsidR="00550B94">
        <w:t xml:space="preserve"> considérant que les tribunaux se sont </w:t>
      </w:r>
      <w:r w:rsidR="008B22CB">
        <w:t>penchés</w:t>
      </w:r>
      <w:r w:rsidR="00550B94">
        <w:t xml:space="preserve"> </w:t>
      </w:r>
      <w:r w:rsidR="0086691B">
        <w:t xml:space="preserve">au moins </w:t>
      </w:r>
      <w:r w:rsidR="00550B94">
        <w:t xml:space="preserve">à trois reprises sur ce moyen de défense et l’ont </w:t>
      </w:r>
      <w:r w:rsidR="00FD3CE3">
        <w:t xml:space="preserve">constamment </w:t>
      </w:r>
      <w:r w:rsidR="00550B94">
        <w:t>rejeté.</w:t>
      </w:r>
      <w:r w:rsidR="008B22CB">
        <w:t xml:space="preserve"> </w:t>
      </w:r>
      <w:r w:rsidR="00B32901">
        <w:t>Selon</w:t>
      </w:r>
      <w:r w:rsidR="008B22CB">
        <w:t xml:space="preserve"> le Barreau, la </w:t>
      </w:r>
      <w:r w:rsidR="0027511E">
        <w:t xml:space="preserve">doctrine de la préclusion </w:t>
      </w:r>
      <w:r w:rsidR="00CE36B7">
        <w:t>d</w:t>
      </w:r>
      <w:r w:rsidR="00CE36B7" w:rsidRPr="00CE36B7">
        <w:t>écoulant d’une question déjà tranchée </w:t>
      </w:r>
      <w:r w:rsidR="00DF05CE">
        <w:t>s’applique à ce moyen de défense de sorte qu’il est abusif</w:t>
      </w:r>
      <w:r w:rsidR="00766D06">
        <w:t xml:space="preserve"> en sus d’être mal fondé</w:t>
      </w:r>
      <w:r w:rsidR="00DF05CE">
        <w:t>.</w:t>
      </w:r>
    </w:p>
    <w:p w14:paraId="6CA84385" w14:textId="77777777" w:rsidR="005E5DAA" w:rsidRPr="005E5DAA" w:rsidRDefault="00893AC8" w:rsidP="008A1100">
      <w:pPr>
        <w:pStyle w:val="Paragraphe"/>
        <w:numPr>
          <w:ilvl w:val="0"/>
          <w:numId w:val="3"/>
        </w:numPr>
        <w:spacing w:line="240" w:lineRule="auto"/>
      </w:pPr>
      <w:r>
        <w:t xml:space="preserve">Le Procureur général du Québec </w:t>
      </w:r>
      <w:r w:rsidR="007904FE">
        <w:t xml:space="preserve">(« </w:t>
      </w:r>
      <w:r w:rsidR="007904FE" w:rsidRPr="00162982">
        <w:t>PGQ</w:t>
      </w:r>
      <w:r w:rsidR="007904FE">
        <w:t xml:space="preserve"> ») </w:t>
      </w:r>
      <w:r>
        <w:t xml:space="preserve">plaide </w:t>
      </w:r>
      <w:r w:rsidR="00E44F34">
        <w:t>qu</w:t>
      </w:r>
      <w:r w:rsidR="00766D06">
        <w:t>e l</w:t>
      </w:r>
      <w:r w:rsidR="003F796E">
        <w:t xml:space="preserve">es </w:t>
      </w:r>
      <w:r w:rsidR="00766D06">
        <w:t xml:space="preserve">arguments </w:t>
      </w:r>
      <w:r w:rsidR="009423DB">
        <w:t xml:space="preserve">constitutionnels fondés sur la </w:t>
      </w:r>
      <w:r w:rsidR="009423DB" w:rsidRPr="009423DB">
        <w:rPr>
          <w:i/>
          <w:iCs/>
        </w:rPr>
        <w:t>Charte québécoise</w:t>
      </w:r>
      <w:r w:rsidR="009423DB">
        <w:t xml:space="preserve"> sont</w:t>
      </w:r>
      <w:r w:rsidR="000C3E30">
        <w:t xml:space="preserve"> mal fondé</w:t>
      </w:r>
      <w:r w:rsidR="009423DB">
        <w:t>s</w:t>
      </w:r>
      <w:r w:rsidR="000C3E30">
        <w:t xml:space="preserve"> </w:t>
      </w:r>
      <w:r w:rsidR="00AA24E1">
        <w:t xml:space="preserve">notamment </w:t>
      </w:r>
      <w:r w:rsidR="000C3E30">
        <w:t xml:space="preserve">parce que </w:t>
      </w:r>
      <w:r w:rsidR="000C3E30" w:rsidRPr="000C3E30">
        <w:t>l’</w:t>
      </w:r>
      <w:r w:rsidR="000C3E30">
        <w:t>A</w:t>
      </w:r>
      <w:r w:rsidR="000C3E30" w:rsidRPr="000C3E30">
        <w:t xml:space="preserve">vis au </w:t>
      </w:r>
      <w:r w:rsidR="00766D06">
        <w:t>PGQ</w:t>
      </w:r>
      <w:r w:rsidR="000C3E30">
        <w:t xml:space="preserve"> ne respecte</w:t>
      </w:r>
      <w:r w:rsidR="008D66B5">
        <w:t xml:space="preserve"> </w:t>
      </w:r>
      <w:r w:rsidR="000C3E30">
        <w:t xml:space="preserve">pas </w:t>
      </w:r>
      <w:r w:rsidR="008D66B5">
        <w:t xml:space="preserve">la règle énoncée à l’article 77 </w:t>
      </w:r>
      <w:r w:rsidR="008D66B5" w:rsidRPr="00766D06">
        <w:rPr>
          <w:i/>
        </w:rPr>
        <w:t>C.p.c.</w:t>
      </w:r>
      <w:r w:rsidR="000B70FB">
        <w:t xml:space="preserve"> </w:t>
      </w:r>
      <w:r w:rsidR="00766D06">
        <w:t>en ce qu’</w:t>
      </w:r>
      <w:r w:rsidR="000B70FB">
        <w:t xml:space="preserve">il ne précise pas suffisamment </w:t>
      </w:r>
      <w:r w:rsidR="0086691B">
        <w:t>l</w:t>
      </w:r>
      <w:r w:rsidR="00446D8E">
        <w:t xml:space="preserve">es </w:t>
      </w:r>
      <w:r w:rsidR="00446D8E" w:rsidRPr="00446D8E">
        <w:t xml:space="preserve">prétentions et les moyens </w:t>
      </w:r>
      <w:r w:rsidR="0086691B">
        <w:t>des défendeurs</w:t>
      </w:r>
      <w:r w:rsidR="00554C5F">
        <w:t>, que</w:t>
      </w:r>
      <w:r w:rsidR="00305A9B">
        <w:t xml:space="preserve"> M. Roy</w:t>
      </w:r>
      <w:r w:rsidR="00FD3CE3">
        <w:t xml:space="preserve"> n’a pas l’intérêt pour soulever cet argument et qu’il y a absence de fondement factuel</w:t>
      </w:r>
      <w:r w:rsidR="00554C5F">
        <w:t xml:space="preserve"> pour la demande</w:t>
      </w:r>
      <w:r w:rsidR="00FD3CE3">
        <w:t>.</w:t>
      </w:r>
    </w:p>
    <w:p w14:paraId="0E3330FE" w14:textId="77777777" w:rsidR="00791602" w:rsidRDefault="00893AC8" w:rsidP="008A1100">
      <w:pPr>
        <w:pStyle w:val="Paragraphe"/>
        <w:numPr>
          <w:ilvl w:val="0"/>
          <w:numId w:val="3"/>
        </w:numPr>
        <w:spacing w:line="240" w:lineRule="auto"/>
      </w:pPr>
      <w:r>
        <w:t>Enfin, et subsidiairement, le PGQ soutient que si la Cour vient à la conclusion qu’une atteinte à l’un ou l’autre des droits constitutionnels invoqués par le défendeur a été démontrée, l’article 128</w:t>
      </w:r>
      <w:r w:rsidR="006312E5">
        <w:t>.</w:t>
      </w:r>
      <w:r>
        <w:t xml:space="preserve">1 b) de la </w:t>
      </w:r>
      <w:r w:rsidRPr="001420E2">
        <w:rPr>
          <w:i/>
          <w:iCs/>
        </w:rPr>
        <w:t xml:space="preserve">Loi sur le </w:t>
      </w:r>
      <w:r w:rsidR="007904FE">
        <w:rPr>
          <w:i/>
          <w:iCs/>
        </w:rPr>
        <w:t>B</w:t>
      </w:r>
      <w:r w:rsidRPr="001420E2">
        <w:rPr>
          <w:i/>
          <w:iCs/>
        </w:rPr>
        <w:t>arreau</w:t>
      </w:r>
      <w:r>
        <w:t xml:space="preserve"> est justifié en vertu de l’article 9.1 de la </w:t>
      </w:r>
      <w:r w:rsidRPr="001420E2">
        <w:rPr>
          <w:i/>
          <w:iCs/>
        </w:rPr>
        <w:t>Charte québécoise</w:t>
      </w:r>
      <w:r>
        <w:t xml:space="preserve">. </w:t>
      </w:r>
    </w:p>
    <w:p w14:paraId="5CEB347F" w14:textId="77777777" w:rsidR="00CD0328" w:rsidRPr="00CD0328" w:rsidRDefault="00893AC8" w:rsidP="008A1100">
      <w:pPr>
        <w:pStyle w:val="Paragraphe"/>
        <w:numPr>
          <w:ilvl w:val="0"/>
          <w:numId w:val="0"/>
        </w:numPr>
        <w:spacing w:line="240" w:lineRule="auto"/>
        <w:rPr>
          <w:b/>
          <w:bCs/>
        </w:rPr>
      </w:pPr>
      <w:r w:rsidRPr="00CD0328">
        <w:rPr>
          <w:b/>
          <w:bCs/>
        </w:rPr>
        <w:t>QUESTIONS EN LITIGE</w:t>
      </w:r>
    </w:p>
    <w:p w14:paraId="4649DD21" w14:textId="77777777" w:rsidR="003040B8" w:rsidRDefault="00893AC8" w:rsidP="008A1100">
      <w:pPr>
        <w:pStyle w:val="Paragraphe"/>
        <w:spacing w:line="240" w:lineRule="auto"/>
      </w:pPr>
      <w:r>
        <w:t>Pour trancher le litige, le Tribunal doit répondre aux questions suivantes :</w:t>
      </w:r>
    </w:p>
    <w:p w14:paraId="1AB51188" w14:textId="77777777" w:rsidR="003040B8" w:rsidRDefault="00893AC8" w:rsidP="008A1100">
      <w:pPr>
        <w:pStyle w:val="Sous-paragraphe"/>
        <w:tabs>
          <w:tab w:val="clear" w:pos="792"/>
          <w:tab w:val="num" w:pos="709"/>
        </w:tabs>
        <w:ind w:left="851" w:hanging="567"/>
      </w:pPr>
      <w:r>
        <w:t>L</w:t>
      </w:r>
      <w:r w:rsidR="006312E5">
        <w:t>e</w:t>
      </w:r>
      <w:r>
        <w:t xml:space="preserve"> Barreau a-t-il prouvé que Mario Roy ou l’Unité </w:t>
      </w:r>
      <w:r w:rsidR="0086691B">
        <w:t>posent</w:t>
      </w:r>
      <w:r>
        <w:t xml:space="preserve"> des actes qui sont du ressort exclusif de l’avocat au sens de l’article 128 de la </w:t>
      </w:r>
      <w:r w:rsidRPr="001F464D">
        <w:rPr>
          <w:i/>
          <w:iCs/>
        </w:rPr>
        <w:t>Loi sur le Barreau</w:t>
      </w:r>
      <w:r>
        <w:t>?</w:t>
      </w:r>
    </w:p>
    <w:p w14:paraId="2F6E6061" w14:textId="77777777" w:rsidR="009D24BF" w:rsidRDefault="00893AC8" w:rsidP="008A1100">
      <w:pPr>
        <w:pStyle w:val="Sous-paragraphe"/>
        <w:tabs>
          <w:tab w:val="clear" w:pos="792"/>
          <w:tab w:val="num" w:pos="709"/>
        </w:tabs>
        <w:ind w:left="851" w:hanging="567"/>
      </w:pPr>
      <w:r>
        <w:t>Dans l’affirmative,</w:t>
      </w:r>
      <w:r w:rsidRPr="009D24BF">
        <w:t xml:space="preserve"> l’article 42 de la </w:t>
      </w:r>
      <w:r w:rsidRPr="009D24BF">
        <w:rPr>
          <w:i/>
          <w:iCs/>
        </w:rPr>
        <w:t>Loi sur la protection de la jeunesse</w:t>
      </w:r>
      <w:r w:rsidRPr="009D24BF">
        <w:t xml:space="preserve"> autorise</w:t>
      </w:r>
      <w:r w:rsidR="006312E5">
        <w:noBreakHyphen/>
      </w:r>
      <w:r w:rsidRPr="009D24BF">
        <w:t>t</w:t>
      </w:r>
      <w:r w:rsidR="006312E5">
        <w:noBreakHyphen/>
      </w:r>
      <w:r w:rsidRPr="009D24BF">
        <w:t>il M.</w:t>
      </w:r>
      <w:r>
        <w:t xml:space="preserve"> Roy</w:t>
      </w:r>
      <w:r w:rsidRPr="009D24BF">
        <w:t xml:space="preserve"> à rédiger des requêtes et </w:t>
      </w:r>
      <w:r w:rsidRPr="009D24BF">
        <w:rPr>
          <w:iCs/>
        </w:rPr>
        <w:t xml:space="preserve">à </w:t>
      </w:r>
      <w:r w:rsidRPr="009D24BF">
        <w:t xml:space="preserve">donner des avis juridiques </w:t>
      </w:r>
      <w:r w:rsidRPr="009D24BF">
        <w:rPr>
          <w:iCs/>
        </w:rPr>
        <w:t>dans le cadre</w:t>
      </w:r>
      <w:r w:rsidRPr="009D24BF">
        <w:t xml:space="preserve"> de dossiers de protection de la jeunesse</w:t>
      </w:r>
      <w:r w:rsidRPr="009D24BF">
        <w:rPr>
          <w:iCs/>
        </w:rPr>
        <w:t xml:space="preserve">? Par ailleurs, l’article 43 de cette </w:t>
      </w:r>
      <w:r w:rsidR="006312E5">
        <w:rPr>
          <w:iCs/>
        </w:rPr>
        <w:t>L</w:t>
      </w:r>
      <w:r w:rsidRPr="009D24BF">
        <w:rPr>
          <w:iCs/>
        </w:rPr>
        <w:t>oi confère-t-il aux défendeurs une immunité contre toute poursuite</w:t>
      </w:r>
      <w:r w:rsidR="006312E5">
        <w:rPr>
          <w:iCs/>
        </w:rPr>
        <w:t>?</w:t>
      </w:r>
    </w:p>
    <w:p w14:paraId="38743823" w14:textId="77777777" w:rsidR="003040B8" w:rsidRDefault="00893AC8" w:rsidP="008A1100">
      <w:pPr>
        <w:pStyle w:val="Sous-paragraphe"/>
        <w:tabs>
          <w:tab w:val="clear" w:pos="792"/>
          <w:tab w:val="num" w:pos="709"/>
        </w:tabs>
        <w:ind w:left="851" w:hanging="567"/>
      </w:pPr>
      <w:bookmarkStart w:id="4" w:name="_Hlk224580353"/>
      <w:r>
        <w:t xml:space="preserve">Le </w:t>
      </w:r>
      <w:r w:rsidR="006312E5">
        <w:t>M</w:t>
      </w:r>
      <w:r>
        <w:t>oyen de défense fondé sur l’autorisation préalable est-il bien fondé et dans la négative, est-il abusif</w:t>
      </w:r>
      <w:bookmarkEnd w:id="4"/>
      <w:r>
        <w:t>?</w:t>
      </w:r>
    </w:p>
    <w:p w14:paraId="5D9A7AD1" w14:textId="77777777" w:rsidR="00720573" w:rsidRDefault="00893AC8">
      <w:pPr>
        <w:rPr>
          <w:kern w:val="28"/>
        </w:rPr>
      </w:pPr>
      <w:r>
        <w:br w:type="page"/>
      </w:r>
    </w:p>
    <w:p w14:paraId="0A66978B" w14:textId="77777777" w:rsidR="003040B8" w:rsidRDefault="00893AC8" w:rsidP="008A1100">
      <w:pPr>
        <w:pStyle w:val="Sous-paragraphe"/>
        <w:tabs>
          <w:tab w:val="clear" w:pos="792"/>
          <w:tab w:val="num" w:pos="709"/>
        </w:tabs>
        <w:ind w:left="851" w:hanging="567"/>
      </w:pPr>
      <w:r>
        <w:lastRenderedPageBreak/>
        <w:t xml:space="preserve">Les défendeurs </w:t>
      </w:r>
      <w:r w:rsidR="0086691B">
        <w:t>ont-ils commis</w:t>
      </w:r>
      <w:r>
        <w:t xml:space="preserve"> une faute civile</w:t>
      </w:r>
      <w:r w:rsidRPr="00755E01">
        <w:t> parce qu’</w:t>
      </w:r>
      <w:r>
        <w:t>ils</w:t>
      </w:r>
      <w:r w:rsidRPr="00755E01">
        <w:t xml:space="preserve"> </w:t>
      </w:r>
      <w:r>
        <w:t>ont</w:t>
      </w:r>
      <w:r w:rsidRPr="00755E01">
        <w:t xml:space="preserve"> publié sur </w:t>
      </w:r>
      <w:r>
        <w:t xml:space="preserve">les réseaux sociaux </w:t>
      </w:r>
      <w:r w:rsidRPr="00755E01">
        <w:t xml:space="preserve">des écrits </w:t>
      </w:r>
      <w:r>
        <w:t xml:space="preserve">ou vidéos </w:t>
      </w:r>
      <w:r w:rsidRPr="00755E01">
        <w:t xml:space="preserve">diffamatoires à l’égard du </w:t>
      </w:r>
      <w:r>
        <w:t>Barreau</w:t>
      </w:r>
      <w:r w:rsidR="00A46417" w:rsidRPr="00A46417">
        <w:rPr>
          <w:kern w:val="0"/>
        </w:rPr>
        <w:t xml:space="preserve"> </w:t>
      </w:r>
      <w:r w:rsidR="00A46417" w:rsidRPr="00A46417">
        <w:t>ou de ses employés, représentants et dirigeants</w:t>
      </w:r>
      <w:r>
        <w:t>?</w:t>
      </w:r>
    </w:p>
    <w:p w14:paraId="1CD06D64" w14:textId="77777777" w:rsidR="003040B8" w:rsidRPr="0086691B" w:rsidRDefault="00893AC8" w:rsidP="008A1100">
      <w:pPr>
        <w:pStyle w:val="Sous-paragraphe"/>
        <w:tabs>
          <w:tab w:val="clear" w:pos="792"/>
          <w:tab w:val="num" w:pos="709"/>
        </w:tabs>
        <w:ind w:left="851" w:hanging="567"/>
      </w:pPr>
      <w:r>
        <w:t>L’article 128</w:t>
      </w:r>
      <w:r w:rsidR="008D030D">
        <w:rPr>
          <w:iCs/>
        </w:rPr>
        <w:t>.</w:t>
      </w:r>
      <w:r>
        <w:t xml:space="preserve">1 b) de la </w:t>
      </w:r>
      <w:r w:rsidRPr="009C5256">
        <w:rPr>
          <w:i/>
        </w:rPr>
        <w:t xml:space="preserve">Loi sur le </w:t>
      </w:r>
      <w:r w:rsidRPr="00281481">
        <w:t>Barreau</w:t>
      </w:r>
      <w:r>
        <w:t xml:space="preserve"> </w:t>
      </w:r>
      <w:r w:rsidRPr="00281481">
        <w:t>et</w:t>
      </w:r>
      <w:r>
        <w:t xml:space="preserve"> l’article 87 alinéa 3 du </w:t>
      </w:r>
      <w:r w:rsidRPr="009C5256">
        <w:rPr>
          <w:i/>
          <w:iCs/>
        </w:rPr>
        <w:t>Code de procédure civile</w:t>
      </w:r>
      <w:r>
        <w:t xml:space="preserve"> sont-ils invalides parce qu’ils </w:t>
      </w:r>
      <w:bookmarkStart w:id="5" w:name="_Hlk209002114"/>
      <w:bookmarkStart w:id="6" w:name="_Hlk209002138"/>
      <w:r w:rsidRPr="00C059A3">
        <w:rPr>
          <w:iCs/>
        </w:rPr>
        <w:t xml:space="preserve">dérogent </w:t>
      </w:r>
      <w:r w:rsidRPr="009C5256">
        <w:rPr>
          <w:iCs/>
        </w:rPr>
        <w:t xml:space="preserve">aux articles 2, 3, 37.1 de la </w:t>
      </w:r>
      <w:r w:rsidRPr="009C5256">
        <w:rPr>
          <w:i/>
          <w:iCs/>
        </w:rPr>
        <w:t>Charte des droits et libertés de la personne</w:t>
      </w:r>
      <w:r w:rsidR="0086691B">
        <w:t xml:space="preserve"> </w:t>
      </w:r>
      <w:r w:rsidR="005E1D1D">
        <w:t>ou</w:t>
      </w:r>
      <w:r w:rsidR="0086691B">
        <w:t xml:space="preserve"> de l’article 1</w:t>
      </w:r>
      <w:r w:rsidR="003D3189">
        <w:t>9</w:t>
      </w:r>
      <w:r w:rsidR="0086691B">
        <w:t xml:space="preserve">2 du </w:t>
      </w:r>
      <w:r w:rsidR="0086691B">
        <w:rPr>
          <w:i/>
          <w:iCs/>
        </w:rPr>
        <w:t>Code de procédure pénale</w:t>
      </w:r>
      <w:r>
        <w:rPr>
          <w:iCs/>
        </w:rPr>
        <w:t>?</w:t>
      </w:r>
    </w:p>
    <w:p w14:paraId="03014A28" w14:textId="77777777" w:rsidR="0086691B" w:rsidRDefault="00893AC8" w:rsidP="008A1100">
      <w:pPr>
        <w:pStyle w:val="Sous-paragraphe"/>
        <w:tabs>
          <w:tab w:val="clear" w:pos="792"/>
          <w:tab w:val="num" w:pos="709"/>
        </w:tabs>
        <w:ind w:left="851" w:hanging="567"/>
      </w:pPr>
      <w:bookmarkStart w:id="7" w:name="_Hlk209003425"/>
      <w:r>
        <w:t>Si les défendeurs exercent illégalement la profession d’avocat ou s’ils ont diffamé le Barreau, quel est le remède approprié?</w:t>
      </w:r>
    </w:p>
    <w:bookmarkEnd w:id="7"/>
    <w:p w14:paraId="6386962E" w14:textId="77777777" w:rsidR="0086691B" w:rsidRPr="009B2D3B" w:rsidRDefault="0086691B" w:rsidP="008A1100">
      <w:pPr>
        <w:pStyle w:val="Sous-paragraphe"/>
        <w:numPr>
          <w:ilvl w:val="0"/>
          <w:numId w:val="0"/>
        </w:numPr>
        <w:ind w:left="792" w:hanging="432"/>
      </w:pPr>
    </w:p>
    <w:p w14:paraId="3D3C3EA7" w14:textId="77777777" w:rsidR="00F05BB7" w:rsidRPr="00F05BB7" w:rsidRDefault="00893AC8" w:rsidP="008A1100">
      <w:pPr>
        <w:pStyle w:val="Titre1"/>
      </w:pPr>
      <w:bookmarkStart w:id="8" w:name="_Toc256000002"/>
      <w:bookmarkStart w:id="9" w:name="_Toc224727321"/>
      <w:bookmarkEnd w:id="5"/>
      <w:bookmarkEnd w:id="6"/>
      <w:r w:rsidRPr="00F05BB7">
        <w:t>CONTEXTE</w:t>
      </w:r>
      <w:bookmarkEnd w:id="8"/>
      <w:bookmarkEnd w:id="9"/>
    </w:p>
    <w:p w14:paraId="4B3C5247" w14:textId="77777777" w:rsidR="008B763F" w:rsidRDefault="00893AC8" w:rsidP="008A1100">
      <w:pPr>
        <w:pStyle w:val="Paragraphe"/>
        <w:tabs>
          <w:tab w:val="clear" w:pos="360"/>
        </w:tabs>
        <w:spacing w:line="240" w:lineRule="auto"/>
      </w:pPr>
      <w:r w:rsidRPr="008B763F">
        <w:t>La demande</w:t>
      </w:r>
      <w:r>
        <w:t xml:space="preserve"> du Barreau </w:t>
      </w:r>
      <w:r w:rsidR="00502A99">
        <w:t xml:space="preserve">et </w:t>
      </w:r>
      <w:r w:rsidR="008262B5">
        <w:t>celle</w:t>
      </w:r>
      <w:r w:rsidR="00502A99">
        <w:t xml:space="preserve"> de M. Roy </w:t>
      </w:r>
      <w:r>
        <w:t>s’inscri</w:t>
      </w:r>
      <w:r w:rsidR="00690323">
        <w:t>ven</w:t>
      </w:r>
      <w:r>
        <w:t>t dans le contexte suivant</w:t>
      </w:r>
      <w:r w:rsidR="00502A99">
        <w:t>.</w:t>
      </w:r>
    </w:p>
    <w:p w14:paraId="642D3DD1" w14:textId="77777777" w:rsidR="00502A99" w:rsidRPr="008B763F" w:rsidRDefault="00893AC8" w:rsidP="008A1100">
      <w:pPr>
        <w:pStyle w:val="Paragraphe"/>
        <w:tabs>
          <w:tab w:val="clear" w:pos="360"/>
        </w:tabs>
        <w:spacing w:line="240" w:lineRule="auto"/>
      </w:pPr>
      <w:r w:rsidRPr="00C87F7A">
        <w:t xml:space="preserve">Le Barreau est un </w:t>
      </w:r>
      <w:r w:rsidR="007904FE" w:rsidRPr="00C87F7A">
        <w:t>o</w:t>
      </w:r>
      <w:r w:rsidRPr="00C87F7A">
        <w:t>rdre professionnel qui a pour principale fonction d’assurer la protection du public et de contrôler l’exercice de la profession par ses membres</w:t>
      </w:r>
      <w:r>
        <w:rPr>
          <w:rStyle w:val="Appelnotedebasdep"/>
        </w:rPr>
        <w:footnoteReference w:id="3"/>
      </w:r>
      <w:r w:rsidRPr="00C87F7A">
        <w:t>.</w:t>
      </w:r>
    </w:p>
    <w:p w14:paraId="36A95477" w14:textId="77777777" w:rsidR="00133E14" w:rsidRPr="002C3302" w:rsidRDefault="00893AC8" w:rsidP="008A1100">
      <w:pPr>
        <w:pStyle w:val="Paragraphe"/>
        <w:tabs>
          <w:tab w:val="clear" w:pos="360"/>
        </w:tabs>
        <w:spacing w:line="240" w:lineRule="auto"/>
      </w:pPr>
      <w:bookmarkStart w:id="10" w:name="_Hlk224572808"/>
      <w:r w:rsidRPr="00C87F7A">
        <w:t xml:space="preserve">Afin de protéger les intérêts du public, le Barreau a le devoir de faire respecter les dispositions du </w:t>
      </w:r>
      <w:r w:rsidRPr="00C87F7A">
        <w:rPr>
          <w:i/>
        </w:rPr>
        <w:t xml:space="preserve">Code des professions </w:t>
      </w:r>
      <w:r w:rsidRPr="00C87F7A">
        <w:t xml:space="preserve">ainsi que de la </w:t>
      </w:r>
      <w:r w:rsidRPr="00C87F7A">
        <w:rPr>
          <w:i/>
        </w:rPr>
        <w:t>Loi sur le Barreau</w:t>
      </w:r>
      <w:r w:rsidRPr="00C87F7A">
        <w:t>, et ce, en regard de tous les aspects de l’exercice de la profession d’avocat.</w:t>
      </w:r>
    </w:p>
    <w:bookmarkEnd w:id="10"/>
    <w:p w14:paraId="191A3565" w14:textId="77777777" w:rsidR="00B43D6E" w:rsidRPr="00B43D6E" w:rsidRDefault="00893AC8" w:rsidP="008A1100">
      <w:pPr>
        <w:pStyle w:val="Paragraphe"/>
        <w:tabs>
          <w:tab w:val="clear" w:pos="360"/>
        </w:tabs>
        <w:spacing w:line="240" w:lineRule="auto"/>
      </w:pPr>
      <w:r w:rsidRPr="00C87F7A">
        <w:t xml:space="preserve">En novembre 2016, </w:t>
      </w:r>
      <w:bookmarkStart w:id="11" w:name="_Hlk209023292"/>
      <w:r w:rsidR="002C3302" w:rsidRPr="00C87F7A">
        <w:t xml:space="preserve">Me </w:t>
      </w:r>
      <w:r w:rsidR="006228A7" w:rsidRPr="00C87F7A">
        <w:t xml:space="preserve">Eliane Hogue </w:t>
      </w:r>
      <w:bookmarkEnd w:id="11"/>
      <w:r w:rsidR="007C1BF9" w:rsidRPr="00C87F7A">
        <w:t xml:space="preserve">se joint au </w:t>
      </w:r>
      <w:r w:rsidRPr="00C87F7A">
        <w:t>B</w:t>
      </w:r>
      <w:r w:rsidR="007C1BF9" w:rsidRPr="00C87F7A">
        <w:t xml:space="preserve">arreau </w:t>
      </w:r>
      <w:r w:rsidRPr="00C87F7A">
        <w:t>à titre d’avocate</w:t>
      </w:r>
      <w:r w:rsidR="00F83CC2">
        <w:noBreakHyphen/>
      </w:r>
      <w:r w:rsidR="00CF587F" w:rsidRPr="00C87F7A">
        <w:t>enquêteuse</w:t>
      </w:r>
      <w:r w:rsidR="006C64C4" w:rsidRPr="00C87F7A">
        <w:t xml:space="preserve">. En 2024, elle devient responsable du </w:t>
      </w:r>
      <w:r w:rsidR="00CF587F" w:rsidRPr="00C87F7A">
        <w:t>département de l’exercice illégale de la profession.</w:t>
      </w:r>
    </w:p>
    <w:p w14:paraId="1D7F2734" w14:textId="77777777" w:rsidR="00014658" w:rsidRPr="007C2237" w:rsidRDefault="00893AC8" w:rsidP="008A1100">
      <w:pPr>
        <w:pStyle w:val="Paragraphe"/>
        <w:tabs>
          <w:tab w:val="clear" w:pos="360"/>
        </w:tabs>
        <w:spacing w:line="240" w:lineRule="auto"/>
      </w:pPr>
      <w:r w:rsidRPr="00C87F7A">
        <w:t xml:space="preserve">De 2016 à 2025, elle </w:t>
      </w:r>
      <w:r w:rsidR="004A5115" w:rsidRPr="00C87F7A">
        <w:t xml:space="preserve">mène une enquête visant </w:t>
      </w:r>
      <w:r w:rsidR="00D26825">
        <w:t>les défendeurs</w:t>
      </w:r>
      <w:r w:rsidR="004A5115" w:rsidRPr="00C87F7A">
        <w:t xml:space="preserve"> concernant </w:t>
      </w:r>
      <w:r w:rsidR="00EC5618" w:rsidRPr="00C87F7A">
        <w:t>des allégations d</w:t>
      </w:r>
      <w:r w:rsidR="004A5115" w:rsidRPr="00C87F7A">
        <w:t>’exercice illégal de la profession d’avocat.</w:t>
      </w:r>
    </w:p>
    <w:p w14:paraId="320FC29E" w14:textId="77777777" w:rsidR="000222B9" w:rsidRPr="00C337F0" w:rsidRDefault="00893AC8" w:rsidP="008A1100">
      <w:pPr>
        <w:pStyle w:val="Paragraphe"/>
        <w:spacing w:line="240" w:lineRule="auto"/>
      </w:pPr>
      <w:r w:rsidRPr="00C87F7A">
        <w:t>Le défendeur Mario Roy est un individu très actif sur les réseaux sociaux</w:t>
      </w:r>
      <w:r w:rsidR="000940EF">
        <w:t>.</w:t>
      </w:r>
      <w:r w:rsidR="00F83CC2">
        <w:t xml:space="preserve"> </w:t>
      </w:r>
      <w:r w:rsidR="000940EF">
        <w:t>I</w:t>
      </w:r>
      <w:r w:rsidR="00F83CC2">
        <w:t xml:space="preserve">l </w:t>
      </w:r>
      <w:r w:rsidRPr="00C87F7A">
        <w:t>se présent</w:t>
      </w:r>
      <w:r w:rsidR="00F83CC2">
        <w:t>e</w:t>
      </w:r>
      <w:r w:rsidRPr="00C87F7A">
        <w:t xml:space="preserve"> notamment comme un « </w:t>
      </w:r>
      <w:r w:rsidRPr="00C87F7A">
        <w:rPr>
          <w:i/>
        </w:rPr>
        <w:t>enquêteur privé en corruption judiciaire </w:t>
      </w:r>
      <w:r w:rsidR="007764E9" w:rsidRPr="00C87F7A">
        <w:t>»</w:t>
      </w:r>
      <w:r>
        <w:rPr>
          <w:rStyle w:val="Appelnotedebasdep"/>
        </w:rPr>
        <w:footnoteReference w:id="4"/>
      </w:r>
      <w:r w:rsidR="000940EF">
        <w:rPr>
          <w:i/>
        </w:rPr>
        <w:t xml:space="preserve"> ou encore</w:t>
      </w:r>
      <w:r w:rsidRPr="00C87F7A">
        <w:t xml:space="preserve"> </w:t>
      </w:r>
      <w:r w:rsidR="000A7AB8" w:rsidRPr="00C87F7A">
        <w:t xml:space="preserve">comme </w:t>
      </w:r>
      <w:r w:rsidR="005108B0" w:rsidRPr="00C87F7A">
        <w:t xml:space="preserve">un « lanceur d’alertes qui utilise les réseaux sociaux pour dénoncer les anomalies judiciaires </w:t>
      </w:r>
      <w:r w:rsidR="00DC7A07" w:rsidRPr="00C87F7A">
        <w:t xml:space="preserve">dans les dossiers de la </w:t>
      </w:r>
      <w:r w:rsidR="00F83CC2">
        <w:t>C</w:t>
      </w:r>
      <w:r w:rsidR="00DC7A07" w:rsidRPr="00C87F7A">
        <w:t>hambre de la jeunesse, particulièrement dans le district judiciaire de Drummond »</w:t>
      </w:r>
      <w:r w:rsidR="007764E9" w:rsidRPr="00C87F7A">
        <w:t>.</w:t>
      </w:r>
    </w:p>
    <w:p w14:paraId="21AA013D" w14:textId="77777777" w:rsidR="00C337F0" w:rsidRPr="008D48DA" w:rsidRDefault="00893AC8" w:rsidP="008A1100">
      <w:pPr>
        <w:pStyle w:val="Paragraphe"/>
        <w:spacing w:line="240" w:lineRule="auto"/>
      </w:pPr>
      <w:r w:rsidRPr="00C87F7A">
        <w:t>M. Roy croi</w:t>
      </w:r>
      <w:r w:rsidR="007764E9" w:rsidRPr="00C87F7A">
        <w:t>t</w:t>
      </w:r>
      <w:r w:rsidR="001F5CF5" w:rsidRPr="00C87F7A">
        <w:t xml:space="preserve"> </w:t>
      </w:r>
      <w:r w:rsidRPr="00C87F7A">
        <w:t xml:space="preserve">que le réseau de la protection de la jeunesse, incluant les intervenants sociaux qui y </w:t>
      </w:r>
      <w:r w:rsidR="00BE5496" w:rsidRPr="00C87F7A">
        <w:t>ouvrent</w:t>
      </w:r>
      <w:r w:rsidRPr="00C87F7A">
        <w:t>, les avocats qui pratique</w:t>
      </w:r>
      <w:r w:rsidR="00BE5496" w:rsidRPr="00C87F7A">
        <w:t>nt</w:t>
      </w:r>
      <w:r w:rsidRPr="00C87F7A">
        <w:t xml:space="preserve"> dans ce domaine</w:t>
      </w:r>
      <w:r w:rsidR="00BE5496" w:rsidRPr="00C87F7A">
        <w:t>, voir</w:t>
      </w:r>
      <w:r w:rsidR="00F83CC2">
        <w:t>e</w:t>
      </w:r>
      <w:r w:rsidR="00BE5496" w:rsidRPr="00C87F7A">
        <w:t xml:space="preserve"> le</w:t>
      </w:r>
      <w:r w:rsidR="00F83CC2">
        <w:t>s</w:t>
      </w:r>
      <w:r w:rsidR="00BE5496" w:rsidRPr="00C87F7A">
        <w:t xml:space="preserve"> juges </w:t>
      </w:r>
      <w:r w:rsidR="005B3FC7" w:rsidRPr="00C87F7A">
        <w:t xml:space="preserve">qui président les audiences de la </w:t>
      </w:r>
      <w:r w:rsidR="00FD3CE3">
        <w:t>Cour du Québec,</w:t>
      </w:r>
      <w:r w:rsidR="005B3FC7" w:rsidRPr="00C87F7A">
        <w:t xml:space="preserve"> Chambre de la jeunesse, </w:t>
      </w:r>
      <w:r w:rsidR="00BE5496" w:rsidRPr="00C87F7A">
        <w:t>sont corrompus</w:t>
      </w:r>
      <w:r w:rsidR="001F5CF5" w:rsidRPr="00C87F7A">
        <w:t xml:space="preserve"> et sont responsable</w:t>
      </w:r>
      <w:r w:rsidR="00F83CC2">
        <w:t>s</w:t>
      </w:r>
      <w:r w:rsidR="001F5CF5" w:rsidRPr="00C87F7A">
        <w:t xml:space="preserve"> d’un réseau d’enlèvement d’enfants</w:t>
      </w:r>
      <w:r w:rsidR="00262270" w:rsidRPr="00C87F7A">
        <w:t xml:space="preserve"> et de prostitution juvénile.</w:t>
      </w:r>
      <w:r w:rsidR="001F5CF5" w:rsidRPr="00C87F7A">
        <w:t xml:space="preserve"> </w:t>
      </w:r>
    </w:p>
    <w:p w14:paraId="11FE52D6" w14:textId="77777777" w:rsidR="007738A6" w:rsidRPr="008D48DA" w:rsidRDefault="00893AC8" w:rsidP="008A1100">
      <w:pPr>
        <w:pStyle w:val="Paragraphe"/>
        <w:spacing w:line="240" w:lineRule="auto"/>
      </w:pPr>
      <w:r>
        <w:lastRenderedPageBreak/>
        <w:t>Selon lui</w:t>
      </w:r>
      <w:r w:rsidR="00684E0D">
        <w:t xml:space="preserve">, </w:t>
      </w:r>
      <w:r>
        <w:t xml:space="preserve">le Barreau </w:t>
      </w:r>
      <w:r w:rsidR="00270E0A">
        <w:t xml:space="preserve">ne veille aucunement à la sécurité du publique mais ne désire que protéger ses membres qui </w:t>
      </w:r>
      <w:r w:rsidR="00684E0D">
        <w:t>commettent</w:t>
      </w:r>
      <w:r w:rsidR="00270E0A">
        <w:t xml:space="preserve"> des actes criminelle</w:t>
      </w:r>
      <w:r w:rsidR="00684E0D">
        <w:t>s devant les tribunaux</w:t>
      </w:r>
      <w:r>
        <w:rPr>
          <w:rStyle w:val="Appelnotedebasdep"/>
        </w:rPr>
        <w:footnoteReference w:id="5"/>
      </w:r>
      <w:r w:rsidR="00684E0D">
        <w:t>.</w:t>
      </w:r>
    </w:p>
    <w:p w14:paraId="64BC8EC4" w14:textId="77777777" w:rsidR="008D48DA" w:rsidRPr="00FD3CE3" w:rsidRDefault="00893AC8" w:rsidP="008A1100">
      <w:pPr>
        <w:pStyle w:val="Paragraphe"/>
        <w:spacing w:line="240" w:lineRule="auto"/>
      </w:pPr>
      <w:r w:rsidRPr="00FD3CE3">
        <w:t>M.</w:t>
      </w:r>
      <w:r w:rsidR="00706580" w:rsidRPr="00FD3CE3">
        <w:t xml:space="preserve"> </w:t>
      </w:r>
      <w:r w:rsidRPr="00FD3CE3">
        <w:t xml:space="preserve">Roy a été déclaré </w:t>
      </w:r>
      <w:r w:rsidR="00706580" w:rsidRPr="00FD3CE3">
        <w:t>plaideur</w:t>
      </w:r>
      <w:r w:rsidRPr="00FD3CE3">
        <w:t xml:space="preserve"> quérulent</w:t>
      </w:r>
      <w:r w:rsidR="00706580" w:rsidRPr="00FD3CE3">
        <w:t xml:space="preserve"> </w:t>
      </w:r>
      <w:r w:rsidR="00FD3CE3" w:rsidRPr="00FD3CE3">
        <w:t>en 2020 par la Cour du Québec</w:t>
      </w:r>
      <w:r>
        <w:rPr>
          <w:rStyle w:val="Appelnotedebasdep"/>
        </w:rPr>
        <w:footnoteReference w:id="6"/>
      </w:r>
      <w:r w:rsidR="003E656D">
        <w:t xml:space="preserve"> et en </w:t>
      </w:r>
      <w:r w:rsidR="009D741C">
        <w:t>2023 par la Cour supérieure</w:t>
      </w:r>
      <w:r>
        <w:rPr>
          <w:rStyle w:val="Appelnotedebasdep"/>
        </w:rPr>
        <w:footnoteReference w:id="7"/>
      </w:r>
      <w:r w:rsidR="00706580" w:rsidRPr="00FD3CE3">
        <w:t xml:space="preserve">. </w:t>
      </w:r>
    </w:p>
    <w:p w14:paraId="30BDE9CB" w14:textId="77777777" w:rsidR="004A5115" w:rsidRPr="0029718A" w:rsidRDefault="00893AC8" w:rsidP="008A1100">
      <w:pPr>
        <w:pStyle w:val="Paragraphe"/>
        <w:tabs>
          <w:tab w:val="clear" w:pos="360"/>
        </w:tabs>
        <w:spacing w:line="240" w:lineRule="auto"/>
      </w:pPr>
      <w:r w:rsidRPr="00C87F7A">
        <w:t>Le 20 janvier 2016, Mario Roy constitue le Centre d’entraide familial l’Unité (le «</w:t>
      </w:r>
      <w:r w:rsidR="007764E9" w:rsidRPr="00C87F7A">
        <w:t> </w:t>
      </w:r>
      <w:r w:rsidRPr="00162982">
        <w:t>Centre</w:t>
      </w:r>
      <w:r w:rsidRPr="00C87F7A">
        <w:rPr>
          <w:b/>
        </w:rPr>
        <w:t xml:space="preserve"> </w:t>
      </w:r>
      <w:r w:rsidRPr="00C87F7A">
        <w:t>»)</w:t>
      </w:r>
      <w:r>
        <w:rPr>
          <w:rStyle w:val="Appelnotedebasdep"/>
        </w:rPr>
        <w:footnoteReference w:id="8"/>
      </w:r>
      <w:r w:rsidRPr="00C87F7A">
        <w:t>. En date du procès, M. Roy est toujours le président de cette personne moral</w:t>
      </w:r>
      <w:r w:rsidR="007764E9" w:rsidRPr="00C87F7A">
        <w:t>e</w:t>
      </w:r>
      <w:r w:rsidRPr="00C87F7A">
        <w:t>.</w:t>
      </w:r>
    </w:p>
    <w:p w14:paraId="00BEDC81" w14:textId="77777777" w:rsidR="004A5115" w:rsidRPr="003E32CE" w:rsidRDefault="00893AC8" w:rsidP="008A1100">
      <w:pPr>
        <w:pStyle w:val="Paragraphe"/>
        <w:tabs>
          <w:tab w:val="clear" w:pos="360"/>
        </w:tabs>
        <w:spacing w:line="240" w:lineRule="auto"/>
      </w:pPr>
      <w:r w:rsidRPr="00C87F7A">
        <w:t xml:space="preserve">Le 26 mars 2018, le Centre modifie son nom et devient L’Unité Citoyenne </w:t>
      </w:r>
      <w:r w:rsidR="007764E9" w:rsidRPr="00C87F7A">
        <w:t>d</w:t>
      </w:r>
      <w:r w:rsidRPr="00C87F7A">
        <w:t>’Enquête Anti-Corruption</w:t>
      </w:r>
      <w:r>
        <w:rPr>
          <w:rStyle w:val="Appelnotedebasdep"/>
        </w:rPr>
        <w:footnoteReference w:id="9"/>
      </w:r>
      <w:r w:rsidRPr="00C87F7A">
        <w:t>.</w:t>
      </w:r>
    </w:p>
    <w:p w14:paraId="351DE67A" w14:textId="77777777" w:rsidR="00262E3D" w:rsidRDefault="00893AC8" w:rsidP="008A1100">
      <w:pPr>
        <w:pStyle w:val="Paragraphe"/>
        <w:tabs>
          <w:tab w:val="clear" w:pos="360"/>
        </w:tabs>
        <w:spacing w:line="240" w:lineRule="auto"/>
      </w:pPr>
      <w:r>
        <w:t xml:space="preserve">En </w:t>
      </w:r>
      <w:r w:rsidR="00286870">
        <w:t>novembre</w:t>
      </w:r>
      <w:r>
        <w:t xml:space="preserve"> 2016, le </w:t>
      </w:r>
      <w:r w:rsidR="00286870">
        <w:t>B</w:t>
      </w:r>
      <w:r>
        <w:t xml:space="preserve">arreau est informé </w:t>
      </w:r>
      <w:r w:rsidR="00286870">
        <w:t>que M. Roy commet des actes qui pourraient constituer l’exercice illégal de la profession d’avocat</w:t>
      </w:r>
      <w:r w:rsidR="005E0177">
        <w:t xml:space="preserve"> lorsqu’</w:t>
      </w:r>
      <w:r w:rsidR="008601D5">
        <w:t xml:space="preserve">un </w:t>
      </w:r>
      <w:r w:rsidR="006B2004">
        <w:t xml:space="preserve">représentant d’un </w:t>
      </w:r>
      <w:r w:rsidR="005F49FB">
        <w:t xml:space="preserve">centre jeunesse </w:t>
      </w:r>
      <w:r w:rsidR="005E0177">
        <w:t>l’</w:t>
      </w:r>
      <w:r w:rsidR="008601D5">
        <w:t xml:space="preserve">informe </w:t>
      </w:r>
      <w:r w:rsidR="005F49FB">
        <w:t xml:space="preserve">que M. Roy doit témoigner </w:t>
      </w:r>
      <w:r w:rsidR="008601D5">
        <w:t xml:space="preserve">le 16 novembre </w:t>
      </w:r>
      <w:r w:rsidR="0045405C">
        <w:t>2016</w:t>
      </w:r>
      <w:r w:rsidR="008601D5">
        <w:t xml:space="preserve"> </w:t>
      </w:r>
      <w:r w:rsidR="00635D57">
        <w:t xml:space="preserve">lors d’une audience en matière de protection de la jeunesse </w:t>
      </w:r>
      <w:r>
        <w:t>à la</w:t>
      </w:r>
      <w:r w:rsidR="008601D5">
        <w:t xml:space="preserve"> Cour du Québec, </w:t>
      </w:r>
      <w:r>
        <w:t>C</w:t>
      </w:r>
      <w:r w:rsidR="008601D5">
        <w:t>hambre de la jeunesse</w:t>
      </w:r>
      <w:r>
        <w:t>.</w:t>
      </w:r>
    </w:p>
    <w:p w14:paraId="571FB734" w14:textId="77777777" w:rsidR="00216DE2" w:rsidRDefault="00893AC8" w:rsidP="008A1100">
      <w:pPr>
        <w:pStyle w:val="Paragraphe"/>
        <w:tabs>
          <w:tab w:val="clear" w:pos="360"/>
        </w:tabs>
        <w:spacing w:line="240" w:lineRule="auto"/>
      </w:pPr>
      <w:r>
        <w:t>E</w:t>
      </w:r>
      <w:r w:rsidR="00AD7426">
        <w:t>n effet</w:t>
      </w:r>
      <w:r>
        <w:t>, le 16 novembre 2016</w:t>
      </w:r>
      <w:r w:rsidR="0065377A">
        <w:t>,</w:t>
      </w:r>
      <w:r>
        <w:t xml:space="preserve"> </w:t>
      </w:r>
      <w:r w:rsidR="00F22560" w:rsidRPr="00F22560">
        <w:t xml:space="preserve">M. Roy </w:t>
      </w:r>
      <w:r>
        <w:t xml:space="preserve">témoigne lors d’une audience </w:t>
      </w:r>
      <w:r w:rsidR="00AD7426">
        <w:t xml:space="preserve">tenue </w:t>
      </w:r>
      <w:r>
        <w:t>dans le dossier 405</w:t>
      </w:r>
      <w:r w:rsidR="00F22560">
        <w:t>-41-002401-136</w:t>
      </w:r>
      <w:r w:rsidR="00AD7426">
        <w:t>,</w:t>
      </w:r>
      <w:r w:rsidR="00F22560">
        <w:t xml:space="preserve"> présidée par la </w:t>
      </w:r>
      <w:r w:rsidR="007904FE">
        <w:t>j</w:t>
      </w:r>
      <w:r w:rsidR="00F22560">
        <w:t>uge Marie-Josée Ménard</w:t>
      </w:r>
      <w:r w:rsidR="00275D8D">
        <w:t xml:space="preserve">, </w:t>
      </w:r>
      <w:r w:rsidR="00162982">
        <w:t>j</w:t>
      </w:r>
      <w:r w:rsidR="00275D8D">
        <w:t>.</w:t>
      </w:r>
      <w:r w:rsidR="00162982">
        <w:t>c</w:t>
      </w:r>
      <w:r w:rsidR="00275D8D">
        <w:t>.</w:t>
      </w:r>
      <w:r w:rsidR="00162982">
        <w:t>q</w:t>
      </w:r>
      <w:r w:rsidR="00275D8D">
        <w:t>.</w:t>
      </w:r>
      <w:r w:rsidR="005674E9">
        <w:t>,</w:t>
      </w:r>
      <w:r w:rsidR="00E82829">
        <w:t xml:space="preserve"> portant sur une requête </w:t>
      </w:r>
      <w:r w:rsidR="00DE03AF">
        <w:t xml:space="preserve">de la Directrice de la protection de la jeunesse </w:t>
      </w:r>
      <w:r w:rsidR="007904FE">
        <w:t>(« </w:t>
      </w:r>
      <w:r w:rsidR="007904FE" w:rsidRPr="00DF3CA8">
        <w:t>DPJ</w:t>
      </w:r>
      <w:r w:rsidR="007904FE">
        <w:t xml:space="preserve"> ») </w:t>
      </w:r>
      <w:r w:rsidR="0051007E">
        <w:t>et</w:t>
      </w:r>
      <w:r w:rsidR="00DE03AF">
        <w:t xml:space="preserve"> </w:t>
      </w:r>
      <w:r w:rsidR="00731E77">
        <w:t xml:space="preserve">une requête </w:t>
      </w:r>
      <w:r w:rsidR="00C75A95">
        <w:t>d</w:t>
      </w:r>
      <w:r w:rsidR="00E82829">
        <w:t>es parents</w:t>
      </w:r>
      <w:r w:rsidR="00C75A95">
        <w:t xml:space="preserve"> qui sont</w:t>
      </w:r>
      <w:r w:rsidR="007F2CF0">
        <w:t xml:space="preserve"> non</w:t>
      </w:r>
      <w:r w:rsidR="005674E9">
        <w:t xml:space="preserve"> </w:t>
      </w:r>
      <w:r w:rsidR="007F2CF0">
        <w:t>représenté</w:t>
      </w:r>
      <w:r w:rsidR="008E66DB">
        <w:t>s</w:t>
      </w:r>
      <w:r w:rsidR="00F22560">
        <w:t>.</w:t>
      </w:r>
    </w:p>
    <w:p w14:paraId="76C425E9" w14:textId="77777777" w:rsidR="00F22560" w:rsidRDefault="00893AC8" w:rsidP="008A1100">
      <w:pPr>
        <w:pStyle w:val="Paragraphe"/>
        <w:tabs>
          <w:tab w:val="clear" w:pos="360"/>
        </w:tabs>
        <w:spacing w:line="240" w:lineRule="auto"/>
      </w:pPr>
      <w:r>
        <w:t>Questionné par l</w:t>
      </w:r>
      <w:r w:rsidR="00216DE2">
        <w:t>a</w:t>
      </w:r>
      <w:r>
        <w:t xml:space="preserve"> procureur</w:t>
      </w:r>
      <w:r w:rsidR="00216DE2">
        <w:t>e</w:t>
      </w:r>
      <w:r>
        <w:t xml:space="preserve"> de la </w:t>
      </w:r>
      <w:r w:rsidR="007904FE">
        <w:t>DPJ</w:t>
      </w:r>
      <w:r>
        <w:t>, le p</w:t>
      </w:r>
      <w:r w:rsidR="008B0DD8">
        <w:t>ère reconna</w:t>
      </w:r>
      <w:r w:rsidR="0065377A">
        <w:t>î</w:t>
      </w:r>
      <w:r w:rsidR="008B0DD8">
        <w:t>t que l’Unité, représenté par M. Roy, a rédigé</w:t>
      </w:r>
      <w:r w:rsidR="00C76228">
        <w:t xml:space="preserve"> contre rémunération</w:t>
      </w:r>
      <w:r w:rsidR="008B0DD8">
        <w:t xml:space="preserve"> la requête </w:t>
      </w:r>
      <w:r w:rsidR="00C76228">
        <w:t>d</w:t>
      </w:r>
      <w:r w:rsidR="008B0DD8">
        <w:t>es parents</w:t>
      </w:r>
      <w:r>
        <w:rPr>
          <w:rStyle w:val="Appelnotedebasdep"/>
        </w:rPr>
        <w:footnoteReference w:id="10"/>
      </w:r>
      <w:r w:rsidR="00E55192">
        <w:t>.</w:t>
      </w:r>
    </w:p>
    <w:p w14:paraId="5DEF3FE6" w14:textId="77777777" w:rsidR="00E55192" w:rsidRDefault="00893AC8" w:rsidP="008A1100">
      <w:pPr>
        <w:pStyle w:val="Paragraphe"/>
        <w:tabs>
          <w:tab w:val="clear" w:pos="360"/>
        </w:tabs>
        <w:spacing w:line="240" w:lineRule="auto"/>
      </w:pPr>
      <w:r>
        <w:t xml:space="preserve">Lors de son témoignage, </w:t>
      </w:r>
      <w:r w:rsidR="00CF3779" w:rsidRPr="00CF3779">
        <w:t>M. Roy</w:t>
      </w:r>
      <w:r w:rsidR="00CF3779">
        <w:t xml:space="preserve"> </w:t>
      </w:r>
      <w:r w:rsidR="00DF3CA8">
        <w:t>reconnaît</w:t>
      </w:r>
      <w:r w:rsidR="00CF3779">
        <w:t xml:space="preserve"> qu’il a rédigé </w:t>
      </w:r>
      <w:r w:rsidR="003C21B0">
        <w:t>la requête des parents</w:t>
      </w:r>
      <w:r>
        <w:rPr>
          <w:rStyle w:val="Appelnotedebasdep"/>
        </w:rPr>
        <w:footnoteReference w:id="11"/>
      </w:r>
      <w:r w:rsidR="00CF3779">
        <w:t>.</w:t>
      </w:r>
    </w:p>
    <w:p w14:paraId="3E7335E5" w14:textId="77777777" w:rsidR="002377A5" w:rsidRDefault="00893AC8" w:rsidP="008A1100">
      <w:pPr>
        <w:pStyle w:val="Paragraphe"/>
        <w:tabs>
          <w:tab w:val="clear" w:pos="360"/>
        </w:tabs>
        <w:spacing w:line="240" w:lineRule="auto"/>
      </w:pPr>
      <w:r>
        <w:t>À la suite d</w:t>
      </w:r>
      <w:r w:rsidR="003C21B0">
        <w:t>e ce</w:t>
      </w:r>
      <w:r w:rsidR="00E863CE">
        <w:t>tte audience</w:t>
      </w:r>
      <w:r>
        <w:t xml:space="preserve">, la </w:t>
      </w:r>
      <w:r w:rsidR="00DF3CA8">
        <w:t>j</w:t>
      </w:r>
      <w:r>
        <w:t xml:space="preserve">uge </w:t>
      </w:r>
      <w:r w:rsidR="00275D8D" w:rsidRPr="00275D8D">
        <w:t>Ménard</w:t>
      </w:r>
      <w:r>
        <w:t xml:space="preserve"> ordonne à la </w:t>
      </w:r>
      <w:r w:rsidR="007904FE">
        <w:t>DPJ</w:t>
      </w:r>
      <w:r>
        <w:t xml:space="preserve"> de transmettre </w:t>
      </w:r>
      <w:r w:rsidR="00B54072">
        <w:t xml:space="preserve">la transcription des témoignages </w:t>
      </w:r>
      <w:r w:rsidR="007E318C">
        <w:t>au Barreau du Québec pour fins d’enquête</w:t>
      </w:r>
      <w:r>
        <w:rPr>
          <w:rStyle w:val="Appelnotedebasdep"/>
        </w:rPr>
        <w:footnoteReference w:id="12"/>
      </w:r>
      <w:r w:rsidR="007E318C">
        <w:t>.</w:t>
      </w:r>
    </w:p>
    <w:p w14:paraId="64E755C6" w14:textId="77777777" w:rsidR="005446A1" w:rsidRPr="005446A1" w:rsidRDefault="00893AC8" w:rsidP="008A1100">
      <w:pPr>
        <w:pStyle w:val="Paragraphe"/>
        <w:tabs>
          <w:tab w:val="clear" w:pos="360"/>
        </w:tabs>
        <w:spacing w:line="240" w:lineRule="auto"/>
      </w:pPr>
      <w:r>
        <w:lastRenderedPageBreak/>
        <w:t xml:space="preserve">Me Hogue prend connaissance de la transcription et détermine qu’il y a matière à enquête pour </w:t>
      </w:r>
      <w:r w:rsidRPr="00C731C2">
        <w:t>l’exercice illégal de la profession d’avocat</w:t>
      </w:r>
      <w:r>
        <w:t>.</w:t>
      </w:r>
    </w:p>
    <w:p w14:paraId="19D286FE" w14:textId="77777777" w:rsidR="0011413D" w:rsidRDefault="00893AC8" w:rsidP="008A1100">
      <w:pPr>
        <w:pStyle w:val="Paragraphe"/>
        <w:tabs>
          <w:tab w:val="clear" w:pos="360"/>
        </w:tabs>
        <w:spacing w:line="240" w:lineRule="auto"/>
      </w:pPr>
      <w:r w:rsidRPr="00C87F7A">
        <w:t xml:space="preserve">Son enquête se </w:t>
      </w:r>
      <w:r w:rsidR="00931FEF" w:rsidRPr="00C87F7A">
        <w:t>poursuivra</w:t>
      </w:r>
      <w:r w:rsidRPr="00C87F7A">
        <w:t xml:space="preserve"> </w:t>
      </w:r>
      <w:r w:rsidR="00625E47">
        <w:t>et est toujours en cours lors de l’instr</w:t>
      </w:r>
      <w:r w:rsidR="006833F0">
        <w:t>uct</w:t>
      </w:r>
      <w:r w:rsidR="00625E47">
        <w:t>ion</w:t>
      </w:r>
      <w:r w:rsidR="00931FEF" w:rsidRPr="00C87F7A">
        <w:t>.</w:t>
      </w:r>
    </w:p>
    <w:p w14:paraId="3C916DA1" w14:textId="77777777" w:rsidR="008F4B08" w:rsidRPr="00D8687E" w:rsidRDefault="00893AC8" w:rsidP="008A1100">
      <w:pPr>
        <w:pStyle w:val="Paragraphe"/>
        <w:tabs>
          <w:tab w:val="clear" w:pos="360"/>
        </w:tabs>
        <w:spacing w:line="240" w:lineRule="auto"/>
        <w:rPr>
          <w:lang w:eastAsia="en-US"/>
        </w:rPr>
      </w:pPr>
      <w:r w:rsidRPr="00D8687E">
        <w:rPr>
          <w:lang w:eastAsia="en-US"/>
        </w:rPr>
        <w:t>Elle ne pouvait alors se douter que l’enquête la mènerait à déposer une plainte contre M. Ro</w:t>
      </w:r>
      <w:r w:rsidR="003D4A67" w:rsidRPr="00D8687E">
        <w:rPr>
          <w:lang w:eastAsia="en-US"/>
        </w:rPr>
        <w:t>y</w:t>
      </w:r>
      <w:r w:rsidRPr="00D8687E">
        <w:rPr>
          <w:lang w:eastAsia="en-US"/>
        </w:rPr>
        <w:t xml:space="preserve"> pour harcèlement criminel et intimidation d’une personne associée au système judiciaire. Cette plainte donnerait lieu à des accusations criminelles contre M. Roy</w:t>
      </w:r>
      <w:r w:rsidR="003D4A67" w:rsidRPr="00D8687E">
        <w:rPr>
          <w:lang w:eastAsia="en-US"/>
        </w:rPr>
        <w:t xml:space="preserve"> </w:t>
      </w:r>
      <w:r w:rsidRPr="00D8687E">
        <w:rPr>
          <w:lang w:eastAsia="en-US"/>
        </w:rPr>
        <w:t>en 2021, à l’issue desquelles il serait acquitté par un jury en février 2023</w:t>
      </w:r>
      <w:r>
        <w:rPr>
          <w:rStyle w:val="Appelnotedebasdep"/>
        </w:rPr>
        <w:footnoteReference w:id="13"/>
      </w:r>
      <w:r w:rsidR="00877CAF" w:rsidRPr="00D8687E">
        <w:rPr>
          <w:lang w:eastAsia="en-US"/>
        </w:rPr>
        <w:t>.</w:t>
      </w:r>
      <w:r w:rsidRPr="00D8687E">
        <w:rPr>
          <w:lang w:eastAsia="en-US"/>
        </w:rPr>
        <w:t xml:space="preserve"> Par ailleurs, M. Roy intenterait contre elle une poursuite civile pour dénonciation criminelle abusive, réclamant 1 040 200 $ en dommages-intérêts</w:t>
      </w:r>
      <w:r>
        <w:rPr>
          <w:rStyle w:val="Appelnotedebasdep"/>
        </w:rPr>
        <w:footnoteReference w:id="14"/>
      </w:r>
      <w:r w:rsidRPr="00C87F7A">
        <w:t>.</w:t>
      </w:r>
    </w:p>
    <w:p w14:paraId="32278B89" w14:textId="77777777" w:rsidR="00143513" w:rsidRPr="00143513" w:rsidRDefault="00893AC8" w:rsidP="008A1100">
      <w:pPr>
        <w:pStyle w:val="Paragraphe"/>
        <w:tabs>
          <w:tab w:val="clear" w:pos="360"/>
        </w:tabs>
        <w:spacing w:line="240" w:lineRule="auto"/>
      </w:pPr>
      <w:r>
        <w:t xml:space="preserve">Le </w:t>
      </w:r>
      <w:r w:rsidR="00C5035F">
        <w:t xml:space="preserve">18 juillet 2017, le Barreau </w:t>
      </w:r>
      <w:r w:rsidR="002B26A6">
        <w:t xml:space="preserve">intente </w:t>
      </w:r>
      <w:r w:rsidR="00983535" w:rsidRPr="00983535">
        <w:t xml:space="preserve">contre </w:t>
      </w:r>
      <w:r w:rsidR="00877CAF">
        <w:t>l</w:t>
      </w:r>
      <w:r w:rsidR="00983535" w:rsidRPr="00983535">
        <w:t xml:space="preserve">es défendeurs </w:t>
      </w:r>
      <w:r w:rsidR="002B26A6" w:rsidRPr="002B26A6">
        <w:rPr>
          <w:lang w:bidi="fr-FR"/>
        </w:rPr>
        <w:t>une poursuite pénale pour exercice illégal de la profession d’avocat</w:t>
      </w:r>
      <w:r>
        <w:rPr>
          <w:rStyle w:val="Appelnotedebasdep"/>
        </w:rPr>
        <w:footnoteReference w:id="15"/>
      </w:r>
      <w:r w:rsidR="00983535">
        <w:t>.</w:t>
      </w:r>
    </w:p>
    <w:p w14:paraId="3220DCA3" w14:textId="77777777" w:rsidR="002C3302" w:rsidRPr="00FD7F05" w:rsidRDefault="00893AC8" w:rsidP="008A1100">
      <w:pPr>
        <w:pStyle w:val="Paragraphe"/>
        <w:tabs>
          <w:tab w:val="clear" w:pos="360"/>
        </w:tabs>
        <w:spacing w:line="240" w:lineRule="auto"/>
      </w:pPr>
      <w:r w:rsidRPr="00D8687E">
        <w:rPr>
          <w:lang w:eastAsia="en-US"/>
        </w:rPr>
        <w:t xml:space="preserve">Malgré le dépôt de </w:t>
      </w:r>
      <w:r w:rsidR="00F630E0" w:rsidRPr="00D8687E">
        <w:rPr>
          <w:lang w:eastAsia="en-US"/>
        </w:rPr>
        <w:t xml:space="preserve">cette </w:t>
      </w:r>
      <w:r w:rsidRPr="00D8687E">
        <w:rPr>
          <w:lang w:eastAsia="en-US"/>
        </w:rPr>
        <w:t>poursuite, M. Royal informe le Barreau de son intention de continuer à rédiger des procédures. Il soutient que les requêtes qu’il prépare ne constituent pas des actes réservés aux avocats et affirme, en outre, y être autorisé par certains juges</w:t>
      </w:r>
      <w:r>
        <w:rPr>
          <w:rStyle w:val="Appelnotedebasdep"/>
          <w:lang w:bidi="fr-FR"/>
        </w:rPr>
        <w:footnoteReference w:id="16"/>
      </w:r>
      <w:r w:rsidR="00230539">
        <w:rPr>
          <w:lang w:bidi="fr-FR"/>
        </w:rPr>
        <w:t>.</w:t>
      </w:r>
    </w:p>
    <w:p w14:paraId="31BD3933" w14:textId="77777777" w:rsidR="003E32CE" w:rsidRDefault="00893AC8" w:rsidP="008A1100">
      <w:pPr>
        <w:pStyle w:val="Paragraphe"/>
        <w:tabs>
          <w:tab w:val="clear" w:pos="360"/>
        </w:tabs>
        <w:spacing w:line="240" w:lineRule="auto"/>
      </w:pPr>
      <w:r>
        <w:t xml:space="preserve">Le </w:t>
      </w:r>
      <w:r w:rsidR="00D42718">
        <w:t>2</w:t>
      </w:r>
      <w:r w:rsidR="00411525">
        <w:t>1</w:t>
      </w:r>
      <w:r w:rsidR="00D42718">
        <w:t xml:space="preserve"> </w:t>
      </w:r>
      <w:r w:rsidR="008961A5">
        <w:t xml:space="preserve">novembre 2017, le Barreau signifie aux défendeurs une demande </w:t>
      </w:r>
      <w:r w:rsidR="002E7493">
        <w:t>introductive</w:t>
      </w:r>
      <w:r w:rsidR="00B70951">
        <w:t xml:space="preserve"> d’instance pour l’émission d’une</w:t>
      </w:r>
      <w:r w:rsidR="002E7493">
        <w:t xml:space="preserve"> ordonnance de sauvegarde, d’une </w:t>
      </w:r>
      <w:r w:rsidR="00913769">
        <w:t xml:space="preserve">injonction </w:t>
      </w:r>
      <w:r w:rsidR="002E7493">
        <w:t xml:space="preserve">interlocutoire </w:t>
      </w:r>
      <w:r w:rsidR="00913769">
        <w:t xml:space="preserve">provisoire, </w:t>
      </w:r>
      <w:r w:rsidR="002E7493">
        <w:t xml:space="preserve">et d’une </w:t>
      </w:r>
      <w:r w:rsidR="002E7493" w:rsidRPr="002E7493">
        <w:t>ordonnance d’injonction interlocutoire</w:t>
      </w:r>
      <w:r w:rsidR="002E7493">
        <w:t xml:space="preserve"> et permanente</w:t>
      </w:r>
      <w:r>
        <w:rPr>
          <w:rStyle w:val="Appelnotedebasdep"/>
        </w:rPr>
        <w:footnoteReference w:id="17"/>
      </w:r>
      <w:r w:rsidR="002E7493">
        <w:t>.</w:t>
      </w:r>
    </w:p>
    <w:p w14:paraId="43482727" w14:textId="77777777" w:rsidR="00EE1C91" w:rsidRDefault="00893AC8" w:rsidP="008A1100">
      <w:pPr>
        <w:pStyle w:val="Paragraphe"/>
        <w:spacing w:line="240" w:lineRule="auto"/>
      </w:pPr>
      <w:r>
        <w:t xml:space="preserve">Il faut souligner que </w:t>
      </w:r>
      <w:r w:rsidR="0049773B">
        <w:t>ni un ni l’autre des défendeurs n’ont produit une réponse à l</w:t>
      </w:r>
      <w:r w:rsidR="0097108D">
        <w:t xml:space="preserve">a demande. </w:t>
      </w:r>
      <w:r w:rsidR="00E72C5D">
        <w:t xml:space="preserve">De plus, outre une déclaration sous serment datée du </w:t>
      </w:r>
      <w:r w:rsidR="002B296B">
        <w:t xml:space="preserve">30 novembre 2017 souscrit par M. Roy, aucun des défendeurs n’a </w:t>
      </w:r>
      <w:r w:rsidR="0091625E">
        <w:t>consigné au dossier, soit dans le protocole de l’instance ou dans un document distinct, ses moyens de défense</w:t>
      </w:r>
      <w:r w:rsidR="00B33F06">
        <w:t xml:space="preserve"> à la demande.</w:t>
      </w:r>
    </w:p>
    <w:p w14:paraId="4212E3E7" w14:textId="77777777" w:rsidR="003B2B19" w:rsidRDefault="00893AC8" w:rsidP="008A1100">
      <w:pPr>
        <w:pStyle w:val="Paragraphe"/>
        <w:spacing w:line="240" w:lineRule="auto"/>
      </w:pPr>
      <w:r>
        <w:t xml:space="preserve">Ce n’est que lors de l’instruction que M. Roy informe le </w:t>
      </w:r>
      <w:r w:rsidR="000434E6">
        <w:t>Tribunal</w:t>
      </w:r>
      <w:r>
        <w:t xml:space="preserve"> de ses </w:t>
      </w:r>
      <w:r w:rsidR="000434E6">
        <w:t>moyens</w:t>
      </w:r>
      <w:r>
        <w:t xml:space="preserve"> de défense</w:t>
      </w:r>
      <w:r w:rsidR="000434E6">
        <w:t>.</w:t>
      </w:r>
    </w:p>
    <w:p w14:paraId="69BDDB80" w14:textId="77777777" w:rsidR="00787EF3" w:rsidRDefault="00893AC8" w:rsidP="008A1100">
      <w:pPr>
        <w:pStyle w:val="Paragraphe"/>
        <w:spacing w:line="240" w:lineRule="auto"/>
      </w:pPr>
      <w:r>
        <w:lastRenderedPageBreak/>
        <w:t xml:space="preserve">Le 23 novembre 2017, </w:t>
      </w:r>
      <w:r w:rsidR="007632BA">
        <w:t xml:space="preserve">la Cour émet </w:t>
      </w:r>
      <w:r>
        <w:t xml:space="preserve">une ordonnance d’injonction interlocutoire provisoire </w:t>
      </w:r>
      <w:r w:rsidR="00531A54">
        <w:t>contre les</w:t>
      </w:r>
      <w:r w:rsidR="00531A54" w:rsidRPr="00531A54">
        <w:rPr>
          <w:kern w:val="0"/>
        </w:rPr>
        <w:t xml:space="preserve"> </w:t>
      </w:r>
      <w:r w:rsidR="00531A54" w:rsidRPr="00531A54">
        <w:t>défendeurs</w:t>
      </w:r>
      <w:r w:rsidR="00531A54">
        <w:t xml:space="preserve"> </w:t>
      </w:r>
      <w:r>
        <w:t xml:space="preserve">pour valoir jusqu’au 4 décembre 2017 </w:t>
      </w:r>
      <w:bookmarkStart w:id="12" w:name="_Hlk209189756"/>
      <w:r>
        <w:t>e</w:t>
      </w:r>
      <w:r w:rsidR="00531A54">
        <w:t xml:space="preserve">t les enjoint de </w:t>
      </w:r>
      <w:r w:rsidR="00ED27D4">
        <w:t xml:space="preserve">s’abstenir de faire ou de prétendre de faire des actes réservés aux </w:t>
      </w:r>
      <w:r w:rsidR="009A05EE">
        <w:t>membres du Barreau, dont notamment, donner des consultations juridiques,</w:t>
      </w:r>
      <w:r w:rsidR="007362FD">
        <w:t xml:space="preserve"> préparer et rédiger </w:t>
      </w:r>
      <w:r>
        <w:t>une requête destinée à servir dans une affaire devant les tribunaux.</w:t>
      </w:r>
    </w:p>
    <w:bookmarkEnd w:id="12"/>
    <w:p w14:paraId="339A9B63" w14:textId="77777777" w:rsidR="008C67B1" w:rsidRDefault="00893AC8" w:rsidP="008A1100">
      <w:pPr>
        <w:pStyle w:val="Paragraphe"/>
        <w:spacing w:line="240" w:lineRule="auto"/>
      </w:pPr>
      <w:r w:rsidRPr="00143CEC">
        <w:rPr>
          <w:lang w:bidi="fr-FR"/>
        </w:rPr>
        <w:t xml:space="preserve">Le 4 décembre 2017, </w:t>
      </w:r>
      <w:r>
        <w:rPr>
          <w:lang w:bidi="fr-FR"/>
        </w:rPr>
        <w:t xml:space="preserve">la Cour émet </w:t>
      </w:r>
      <w:r w:rsidRPr="00143CEC">
        <w:rPr>
          <w:lang w:bidi="fr-FR"/>
        </w:rPr>
        <w:t xml:space="preserve">une ordonnance de sauvegarde </w:t>
      </w:r>
      <w:r>
        <w:rPr>
          <w:lang w:bidi="fr-FR"/>
        </w:rPr>
        <w:t xml:space="preserve">contre les </w:t>
      </w:r>
      <w:r w:rsidRPr="00143CEC">
        <w:rPr>
          <w:lang w:bidi="fr-FR"/>
        </w:rPr>
        <w:t>défendeurs pour valoir jusqu’au 4 juin 2018, laquelle reprend essentiellement les conclusions de l’ordonnance du 23 novembre 2017</w:t>
      </w:r>
      <w:r>
        <w:rPr>
          <w:lang w:bidi="fr-FR"/>
        </w:rPr>
        <w:t>.</w:t>
      </w:r>
    </w:p>
    <w:p w14:paraId="4D47EF4B" w14:textId="77777777" w:rsidR="003B2B19" w:rsidRPr="007E2010" w:rsidRDefault="00893AC8" w:rsidP="008A1100">
      <w:pPr>
        <w:pStyle w:val="Paragraphe"/>
        <w:tabs>
          <w:tab w:val="clear" w:pos="360"/>
        </w:tabs>
        <w:spacing w:line="240" w:lineRule="auto"/>
      </w:pPr>
      <w:r w:rsidRPr="007E2010">
        <w:t>Les</w:t>
      </w:r>
      <w:r w:rsidR="00D8267A" w:rsidRPr="00F9588B">
        <w:t xml:space="preserve"> 30 </w:t>
      </w:r>
      <w:r>
        <w:t>avril et 1</w:t>
      </w:r>
      <w:r w:rsidRPr="007E2010">
        <w:t>er</w:t>
      </w:r>
      <w:r>
        <w:t xml:space="preserve"> mai </w:t>
      </w:r>
      <w:r w:rsidR="0065377A">
        <w:t>2018</w:t>
      </w:r>
      <w:r w:rsidRPr="007E2010">
        <w:t>,</w:t>
      </w:r>
      <w:r>
        <w:t xml:space="preserve"> l’audition </w:t>
      </w:r>
      <w:r w:rsidRPr="007E2010">
        <w:t>de</w:t>
      </w:r>
      <w:r w:rsidR="000434E6">
        <w:t xml:space="preserve"> la demande </w:t>
      </w:r>
      <w:r w:rsidR="00DE7572">
        <w:t xml:space="preserve">du Barreau </w:t>
      </w:r>
      <w:r w:rsidRPr="007E2010">
        <w:t>visant</w:t>
      </w:r>
      <w:r w:rsidR="000434E6">
        <w:t xml:space="preserve"> l’émission d’une injonction </w:t>
      </w:r>
      <w:r w:rsidR="00DE7572">
        <w:t>interlocutoire</w:t>
      </w:r>
      <w:r w:rsidRPr="007E2010">
        <w:t xml:space="preserve"> a lieu.</w:t>
      </w:r>
      <w:r w:rsidR="00DE7572">
        <w:t xml:space="preserve"> M. Roy témoigne et fait entendre </w:t>
      </w:r>
      <w:r w:rsidR="00D37556">
        <w:t xml:space="preserve">quatre </w:t>
      </w:r>
      <w:r w:rsidR="00DE7572">
        <w:t>témoins</w:t>
      </w:r>
      <w:r w:rsidR="00D37556">
        <w:t>.</w:t>
      </w:r>
    </w:p>
    <w:p w14:paraId="5BB3F147" w14:textId="77777777" w:rsidR="00D35595" w:rsidRDefault="00893AC8" w:rsidP="008A1100">
      <w:pPr>
        <w:pStyle w:val="Paragraphe"/>
        <w:spacing w:line="240" w:lineRule="auto"/>
      </w:pPr>
      <w:r w:rsidRPr="003B2B19">
        <w:t xml:space="preserve">Le 30 </w:t>
      </w:r>
      <w:r w:rsidR="00D8267A" w:rsidRPr="00F9588B">
        <w:t>mai</w:t>
      </w:r>
      <w:r w:rsidR="00D8267A">
        <w:t xml:space="preserve"> 2018, la Cour </w:t>
      </w:r>
      <w:r w:rsidR="0005181D">
        <w:t xml:space="preserve">rend </w:t>
      </w:r>
      <w:r>
        <w:t>jugement et</w:t>
      </w:r>
      <w:r w:rsidR="0005181D">
        <w:t xml:space="preserve"> </w:t>
      </w:r>
      <w:r w:rsidR="00D8267A">
        <w:t>émet une injonction interlocutoire contre les défendeurs pour valoir jusqu’au jugement mettant fin à l’instance</w:t>
      </w:r>
      <w:r w:rsidR="00D8267A" w:rsidRPr="003E72F8">
        <w:rPr>
          <w:rFonts w:ascii="Open Sans" w:hAnsi="Open Sans" w:cs="Open Sans"/>
          <w:color w:val="212529"/>
          <w:kern w:val="0"/>
          <w:sz w:val="21"/>
          <w:szCs w:val="21"/>
          <w:shd w:val="clear" w:color="auto" w:fill="F9FAFB"/>
        </w:rPr>
        <w:t xml:space="preserve"> </w:t>
      </w:r>
      <w:r>
        <w:t>et les enjoint de s’abstenir de faire ou de prétendre de faire des actes réservés aux membres du Barreau, dont notamment, donner des consultations juridiques, préparer et rédiger une requête destinée à servir dans une affaire devant les tribunaux</w:t>
      </w:r>
      <w:r>
        <w:rPr>
          <w:rStyle w:val="Appelnotedebasdep"/>
        </w:rPr>
        <w:footnoteReference w:id="18"/>
      </w:r>
      <w:r w:rsidR="008C7FE7">
        <w:t xml:space="preserve"> (« Jugement du 30 mai 2018 »)</w:t>
      </w:r>
      <w:r>
        <w:t>.</w:t>
      </w:r>
    </w:p>
    <w:p w14:paraId="213C1340" w14:textId="77777777" w:rsidR="00A65E07" w:rsidRPr="00A65E07" w:rsidRDefault="00893AC8" w:rsidP="008A1100">
      <w:pPr>
        <w:pStyle w:val="Paragraphe"/>
        <w:spacing w:line="240" w:lineRule="auto"/>
      </w:pPr>
      <w:r w:rsidRPr="00A65E07">
        <w:t xml:space="preserve">Les 4 et 5 juin 2018, </w:t>
      </w:r>
      <w:r>
        <w:t xml:space="preserve">le procès </w:t>
      </w:r>
      <w:r w:rsidR="002472AC">
        <w:t xml:space="preserve">concernant les plaintes pénales </w:t>
      </w:r>
      <w:r>
        <w:t>a lieu</w:t>
      </w:r>
      <w:r w:rsidR="007D56DA">
        <w:t xml:space="preserve"> devant la Cour du Québec, Chambre criminelle et pénale</w:t>
      </w:r>
      <w:r w:rsidR="007E2010">
        <w:t>. Il est</w:t>
      </w:r>
      <w:r w:rsidR="000C2B09">
        <w:t xml:space="preserve"> </w:t>
      </w:r>
      <w:r w:rsidR="007D56DA">
        <w:t xml:space="preserve">présidé par le </w:t>
      </w:r>
      <w:r w:rsidR="00162982">
        <w:t>j</w:t>
      </w:r>
      <w:r w:rsidR="007D56DA">
        <w:t>uge Lafrenière</w:t>
      </w:r>
      <w:r w:rsidR="000C2B09">
        <w:t>.</w:t>
      </w:r>
    </w:p>
    <w:p w14:paraId="18BB4BA7" w14:textId="77777777" w:rsidR="00D8267A" w:rsidRPr="003E6A6D" w:rsidRDefault="00893AC8" w:rsidP="008A1100">
      <w:pPr>
        <w:pStyle w:val="Paragraphe"/>
        <w:spacing w:line="240" w:lineRule="auto"/>
        <w:rPr>
          <w:b/>
          <w:bCs/>
        </w:rPr>
      </w:pPr>
      <w:r>
        <w:t xml:space="preserve">Le 20 juillet 2018, M. Roy est déclaré coupable par la Cour du Québec, Chambre criminelle et pénale, de </w:t>
      </w:r>
      <w:r w:rsidR="00162982">
        <w:t>trois</w:t>
      </w:r>
      <w:r>
        <w:t xml:space="preserve"> chefs d’accusations </w:t>
      </w:r>
      <w:r w:rsidRPr="003E6A6D">
        <w:t>d’avoir exercé la profession d’avocat sans être inscrit au Tableau de son ordre professionnel</w:t>
      </w:r>
      <w:r>
        <w:t>, alors que l’Unité citoyenne est déclarée coupable du seul chef qui lui était reproché</w:t>
      </w:r>
      <w:r>
        <w:rPr>
          <w:rStyle w:val="Appelnotedebasdep"/>
        </w:rPr>
        <w:footnoteReference w:id="19"/>
      </w:r>
      <w:r>
        <w:t>.</w:t>
      </w:r>
    </w:p>
    <w:p w14:paraId="6452117E" w14:textId="77777777" w:rsidR="002E5677" w:rsidRPr="002721A4" w:rsidRDefault="00893AC8" w:rsidP="008A1100">
      <w:pPr>
        <w:pStyle w:val="Paragraphe"/>
        <w:spacing w:line="240" w:lineRule="auto"/>
      </w:pPr>
      <w:r w:rsidRPr="002721A4">
        <w:t xml:space="preserve">Le 26 juillet 2018, le Barreau signifie </w:t>
      </w:r>
      <w:r w:rsidR="00817B06">
        <w:t xml:space="preserve">aux défendeurs </w:t>
      </w:r>
      <w:r w:rsidRPr="002721A4">
        <w:t>une demande</w:t>
      </w:r>
      <w:r w:rsidR="00937C43">
        <w:t xml:space="preserve"> pour l’émission d’une ordonnance portant </w:t>
      </w:r>
      <w:r w:rsidR="008C7FE7">
        <w:t xml:space="preserve">sur une </w:t>
      </w:r>
      <w:r w:rsidR="00817B06">
        <w:t>citation</w:t>
      </w:r>
      <w:r w:rsidR="00937C43">
        <w:t xml:space="preserve"> à comparaître </w:t>
      </w:r>
      <w:r w:rsidR="00817B06">
        <w:t>pour outrage au tribunal</w:t>
      </w:r>
      <w:r w:rsidRPr="002721A4">
        <w:t xml:space="preserve"> </w:t>
      </w:r>
      <w:r w:rsidR="000E12C6">
        <w:t>dans laquelle elle allègue que M. Roy</w:t>
      </w:r>
      <w:r w:rsidR="009F0654">
        <w:t xml:space="preserve"> </w:t>
      </w:r>
      <w:r w:rsidR="009F0654" w:rsidRPr="009F0654">
        <w:t xml:space="preserve">contrevient à </w:t>
      </w:r>
      <w:r w:rsidR="007D4D3B">
        <w:t>l’</w:t>
      </w:r>
      <w:r w:rsidR="009F0654" w:rsidRPr="009F0654">
        <w:t xml:space="preserve">ordonnance </w:t>
      </w:r>
      <w:r w:rsidR="007D4D3B">
        <w:t>d’</w:t>
      </w:r>
      <w:r w:rsidR="009F0654" w:rsidRPr="009F0654">
        <w:t>injonction du tribunal </w:t>
      </w:r>
      <w:r w:rsidR="00806DB2">
        <w:t xml:space="preserve">du </w:t>
      </w:r>
      <w:r w:rsidR="00806DB2" w:rsidRPr="00806DB2">
        <w:t>30 mai 201</w:t>
      </w:r>
      <w:r w:rsidR="00837B8C">
        <w:t xml:space="preserve">8, </w:t>
      </w:r>
      <w:r w:rsidR="00837B8C" w:rsidRPr="00837B8C">
        <w:t>en donnant publiquement, par le biais d’une vidéo publiée le 11 juillet 2018 sur leur page Facebook, des avis d’ordre juridique et en agissant de manière à donner lieu de croire qu’ils sont autorisés à faire des actes réservés aux membres du Barreau</w:t>
      </w:r>
      <w:r>
        <w:rPr>
          <w:vertAlign w:val="superscript"/>
        </w:rPr>
        <w:footnoteReference w:id="20"/>
      </w:r>
      <w:r w:rsidR="00837B8C" w:rsidRPr="00837B8C">
        <w:t>.</w:t>
      </w:r>
    </w:p>
    <w:p w14:paraId="3B760815" w14:textId="77777777" w:rsidR="00837B8C" w:rsidRDefault="00893AC8" w:rsidP="008A1100">
      <w:pPr>
        <w:pStyle w:val="Paragraphe"/>
        <w:spacing w:line="240" w:lineRule="auto"/>
      </w:pPr>
      <w:r w:rsidRPr="0030159E">
        <w:rPr>
          <w:lang w:bidi="fr-FR"/>
        </w:rPr>
        <w:t>Les 25 et 26 février 2019, l</w:t>
      </w:r>
      <w:r>
        <w:rPr>
          <w:lang w:bidi="fr-FR"/>
        </w:rPr>
        <w:t>’audience sur l’outrage au tribunal a lieu.</w:t>
      </w:r>
    </w:p>
    <w:p w14:paraId="3A20EA64" w14:textId="77777777" w:rsidR="001E7A16" w:rsidRDefault="00893AC8" w:rsidP="008A1100">
      <w:pPr>
        <w:pStyle w:val="Paragraphe"/>
        <w:spacing w:line="240" w:lineRule="auto"/>
      </w:pPr>
      <w:r>
        <w:lastRenderedPageBreak/>
        <w:t>Le 2 mai 2019, M. Roy et l’Unité (a</w:t>
      </w:r>
      <w:r w:rsidR="00C9593F">
        <w:t>lors connue sous le nom Centre d’entraide)</w:t>
      </w:r>
      <w:r>
        <w:t xml:space="preserve"> sont déclaré</w:t>
      </w:r>
      <w:r w:rsidR="00162982">
        <w:t>s</w:t>
      </w:r>
      <w:r>
        <w:t xml:space="preserve"> coupable</w:t>
      </w:r>
      <w:r w:rsidR="00162982">
        <w:t>s</w:t>
      </w:r>
      <w:r>
        <w:t xml:space="preserve"> d’outrage au tribunal pour avoir </w:t>
      </w:r>
      <w:r w:rsidR="002F1DDE">
        <w:t>contrevenu au J</w:t>
      </w:r>
      <w:r>
        <w:t>ugement du 30 mai 2018</w:t>
      </w:r>
      <w:r w:rsidR="0029580F">
        <w:t xml:space="preserve"> en publiant le 11 juillet </w:t>
      </w:r>
      <w:r w:rsidR="008C7FE7">
        <w:t xml:space="preserve">2018 </w:t>
      </w:r>
      <w:r w:rsidR="00B4091B">
        <w:t>une</w:t>
      </w:r>
      <w:r w:rsidR="0029580F">
        <w:t xml:space="preserve"> vidéo sur leur page Facebook</w:t>
      </w:r>
      <w:r>
        <w:rPr>
          <w:rStyle w:val="Appelnotedebasdep"/>
        </w:rPr>
        <w:footnoteReference w:id="21"/>
      </w:r>
      <w:r>
        <w:t>.</w:t>
      </w:r>
    </w:p>
    <w:p w14:paraId="1BCCD339" w14:textId="77777777" w:rsidR="00D8267A" w:rsidRPr="00623A29" w:rsidRDefault="00893AC8" w:rsidP="008A1100">
      <w:pPr>
        <w:pStyle w:val="Paragraphe"/>
        <w:tabs>
          <w:tab w:val="clear" w:pos="360"/>
        </w:tabs>
        <w:spacing w:line="240" w:lineRule="auto"/>
        <w:rPr>
          <w:b/>
          <w:bCs/>
        </w:rPr>
      </w:pPr>
      <w:r>
        <w:t xml:space="preserve">Le 4 septembre 2019, la Cour émet une </w:t>
      </w:r>
      <w:r w:rsidRPr="001E1386">
        <w:t>ordonnance d’injonction interlocutoire</w:t>
      </w:r>
      <w:r w:rsidRPr="00380A0A">
        <w:rPr>
          <w:rFonts w:cs="Arial"/>
          <w:b/>
          <w:bCs/>
          <w:color w:val="000000"/>
          <w:kern w:val="0"/>
        </w:rPr>
        <w:t xml:space="preserve"> </w:t>
      </w:r>
      <w:r w:rsidRPr="00C00767">
        <w:rPr>
          <w:rFonts w:cs="Arial"/>
          <w:color w:val="000000"/>
          <w:kern w:val="0"/>
        </w:rPr>
        <w:t>et</w:t>
      </w:r>
      <w:r>
        <w:rPr>
          <w:rFonts w:cs="Arial"/>
          <w:b/>
          <w:bCs/>
          <w:color w:val="000000"/>
          <w:kern w:val="0"/>
        </w:rPr>
        <w:t xml:space="preserve"> </w:t>
      </w:r>
      <w:r w:rsidRPr="009B2B59">
        <w:t>ordonne</w:t>
      </w:r>
      <w:r w:rsidRPr="00380A0A">
        <w:t xml:space="preserve"> à Facebook Canada Ltd et Facebook inc., de désactiver et fermer les comptes Facebook de Mario Roy et de l’Unité </w:t>
      </w:r>
      <w:r w:rsidRPr="009B2B59">
        <w:t>jusqu’à jugement sur la demande d’injonction permanente</w:t>
      </w:r>
      <w:r>
        <w:rPr>
          <w:rStyle w:val="Appelnotedebasdep"/>
        </w:rPr>
        <w:footnoteReference w:id="22"/>
      </w:r>
      <w:r>
        <w:t>.</w:t>
      </w:r>
    </w:p>
    <w:p w14:paraId="1BD003D5" w14:textId="77777777" w:rsidR="00D8267A" w:rsidRDefault="00893AC8" w:rsidP="008A1100">
      <w:pPr>
        <w:pStyle w:val="Paragraphe"/>
        <w:spacing w:line="240" w:lineRule="auto"/>
      </w:pPr>
      <w:r>
        <w:t xml:space="preserve">Le 25 mars 2021, M. Roy est </w:t>
      </w:r>
      <w:r w:rsidR="00B46077" w:rsidRPr="00B46077">
        <w:t xml:space="preserve">à nouveau </w:t>
      </w:r>
      <w:r w:rsidR="008262B5">
        <w:t xml:space="preserve">déclaré </w:t>
      </w:r>
      <w:r>
        <w:t xml:space="preserve">coupable d’outrage au </w:t>
      </w:r>
      <w:r w:rsidR="00F723B0">
        <w:t>t</w:t>
      </w:r>
      <w:r>
        <w:t xml:space="preserve">ribunal </w:t>
      </w:r>
      <w:r w:rsidR="00372C55">
        <w:t xml:space="preserve">pour avoir </w:t>
      </w:r>
      <w:r w:rsidR="002E0402">
        <w:t>contrevenu au</w:t>
      </w:r>
      <w:r w:rsidRPr="0098235D">
        <w:t xml:space="preserve"> </w:t>
      </w:r>
      <w:r w:rsidR="002E0402">
        <w:t>J</w:t>
      </w:r>
      <w:r w:rsidRPr="0098235D">
        <w:t>ugement du 30 mai 2018</w:t>
      </w:r>
      <w:r>
        <w:t xml:space="preserve"> </w:t>
      </w:r>
      <w:r w:rsidR="002A6B88">
        <w:t>à</w:t>
      </w:r>
      <w:r>
        <w:t xml:space="preserve"> trois </w:t>
      </w:r>
      <w:r w:rsidR="00B1748A">
        <w:t>reprises</w:t>
      </w:r>
      <w:r w:rsidR="002A6B88">
        <w:t xml:space="preserve"> alors que</w:t>
      </w:r>
      <w:r>
        <w:t xml:space="preserve"> l’</w:t>
      </w:r>
      <w:r w:rsidR="00372C55">
        <w:t>U</w:t>
      </w:r>
      <w:r>
        <w:t>nité est déclarée coupable dans un dossier</w:t>
      </w:r>
      <w:r>
        <w:rPr>
          <w:rStyle w:val="Appelnotedebasdep"/>
        </w:rPr>
        <w:footnoteReference w:id="23"/>
      </w:r>
      <w:r>
        <w:t>.</w:t>
      </w:r>
    </w:p>
    <w:p w14:paraId="162FB8DB" w14:textId="77777777" w:rsidR="00D8267A" w:rsidRPr="000B6017" w:rsidRDefault="00893AC8" w:rsidP="008A1100">
      <w:pPr>
        <w:pStyle w:val="Paragraphe"/>
        <w:tabs>
          <w:tab w:val="clear" w:pos="360"/>
        </w:tabs>
        <w:spacing w:line="240" w:lineRule="auto"/>
        <w:rPr>
          <w:b/>
          <w:bCs/>
        </w:rPr>
      </w:pPr>
      <w:r w:rsidRPr="00647BAD">
        <w:t xml:space="preserve">Des </w:t>
      </w:r>
      <w:r>
        <w:t>conférences de gestion sont tenues les</w:t>
      </w:r>
      <w:r>
        <w:rPr>
          <w:b/>
          <w:bCs/>
        </w:rPr>
        <w:t xml:space="preserve"> </w:t>
      </w:r>
      <w:r>
        <w:t xml:space="preserve">22 juin et 18 juillet 2023 afin d’amener les parties à compléter la demande d’inscription pour instruction et jugement. </w:t>
      </w:r>
    </w:p>
    <w:p w14:paraId="3FD35F0F" w14:textId="77777777" w:rsidR="00D8267A" w:rsidRDefault="00893AC8" w:rsidP="008A1100">
      <w:pPr>
        <w:pStyle w:val="Paragraphe"/>
        <w:tabs>
          <w:tab w:val="clear" w:pos="360"/>
        </w:tabs>
        <w:spacing w:line="240" w:lineRule="auto"/>
      </w:pPr>
      <w:r w:rsidRPr="000B6017">
        <w:t>Le 18 juillet, 2023</w:t>
      </w:r>
      <w:r>
        <w:t>, l’instruction est fixée pour une durée de dix jours, du 8 au 19 septembre 2025.</w:t>
      </w:r>
    </w:p>
    <w:p w14:paraId="2AF29074" w14:textId="77777777" w:rsidR="00D8267A" w:rsidRDefault="00893AC8" w:rsidP="008A1100">
      <w:pPr>
        <w:pStyle w:val="Paragraphe"/>
        <w:tabs>
          <w:tab w:val="clear" w:pos="360"/>
        </w:tabs>
        <w:spacing w:line="240" w:lineRule="auto"/>
      </w:pPr>
      <w:r>
        <w:t xml:space="preserve">Le </w:t>
      </w:r>
      <w:r w:rsidR="003F0545">
        <w:t>procès se déroulera sur six jours.</w:t>
      </w:r>
    </w:p>
    <w:p w14:paraId="369C68FD" w14:textId="77777777" w:rsidR="00714116" w:rsidRPr="00DB54FA" w:rsidRDefault="00893AC8" w:rsidP="008A1100">
      <w:pPr>
        <w:pStyle w:val="Titre1"/>
        <w:rPr>
          <w:b w:val="0"/>
          <w:bCs/>
        </w:rPr>
      </w:pPr>
      <w:bookmarkStart w:id="13" w:name="_Toc256000003"/>
      <w:bookmarkStart w:id="14" w:name="_Toc224727322"/>
      <w:r w:rsidRPr="00DB54FA">
        <w:t>ANAL</w:t>
      </w:r>
      <w:r w:rsidR="00251D88" w:rsidRPr="00DB54FA">
        <w:rPr>
          <w:bCs/>
        </w:rPr>
        <w:t>YSE</w:t>
      </w:r>
      <w:bookmarkEnd w:id="13"/>
      <w:bookmarkEnd w:id="14"/>
    </w:p>
    <w:p w14:paraId="29748A41" w14:textId="77777777" w:rsidR="000240B8" w:rsidRDefault="00893AC8" w:rsidP="008A1100">
      <w:pPr>
        <w:pStyle w:val="Titre2"/>
        <w:numPr>
          <w:ilvl w:val="0"/>
          <w:numId w:val="5"/>
        </w:numPr>
      </w:pPr>
      <w:bookmarkStart w:id="15" w:name="_Toc256000004"/>
      <w:bookmarkStart w:id="16" w:name="_Toc224727323"/>
      <w:r w:rsidRPr="00187217">
        <w:t>L</w:t>
      </w:r>
      <w:r w:rsidR="00BE15D6">
        <w:t>e</w:t>
      </w:r>
      <w:r w:rsidRPr="00187217">
        <w:t xml:space="preserve"> Barreau a-t-il prouvé que Mario Roy ou l’Unité </w:t>
      </w:r>
      <w:r w:rsidR="007D6473">
        <w:t>posent</w:t>
      </w:r>
      <w:r w:rsidRPr="00187217">
        <w:t xml:space="preserve"> des actes qui sont du ressort exclusif de l’avocat au sens de l’article 128 de la </w:t>
      </w:r>
      <w:r w:rsidRPr="00187217">
        <w:rPr>
          <w:iCs/>
        </w:rPr>
        <w:t>Loi sur le Barreau</w:t>
      </w:r>
      <w:r w:rsidRPr="00187217">
        <w:t>?</w:t>
      </w:r>
      <w:bookmarkEnd w:id="15"/>
      <w:bookmarkEnd w:id="16"/>
    </w:p>
    <w:p w14:paraId="76E89901" w14:textId="77777777" w:rsidR="00702A6F" w:rsidRPr="00162982" w:rsidRDefault="00893AC8" w:rsidP="008A1100">
      <w:pPr>
        <w:pStyle w:val="Titre3"/>
        <w:numPr>
          <w:ilvl w:val="1"/>
          <w:numId w:val="9"/>
        </w:numPr>
        <w:ind w:left="1701" w:hanging="567"/>
        <w:rPr>
          <w:b/>
        </w:rPr>
      </w:pPr>
      <w:bookmarkStart w:id="17" w:name="_Toc256000005"/>
      <w:bookmarkStart w:id="18" w:name="_Toc224727324"/>
      <w:r w:rsidRPr="00162982">
        <w:rPr>
          <w:b/>
        </w:rPr>
        <w:t>Cadre juridique</w:t>
      </w:r>
      <w:bookmarkEnd w:id="17"/>
      <w:bookmarkEnd w:id="18"/>
    </w:p>
    <w:p w14:paraId="5442C0CF" w14:textId="77777777" w:rsidR="00820991" w:rsidRPr="00C87F7A" w:rsidRDefault="00893AC8" w:rsidP="008A1100">
      <w:pPr>
        <w:pStyle w:val="Paragraphe"/>
        <w:spacing w:line="240" w:lineRule="auto"/>
        <w:rPr>
          <w:rFonts w:eastAsia="Arial"/>
          <w:lang w:bidi="fr-FR"/>
        </w:rPr>
      </w:pPr>
      <w:r w:rsidRPr="00C87F7A">
        <w:rPr>
          <w:rFonts w:eastAsia="Arial"/>
          <w:lang w:bidi="fr-FR"/>
        </w:rPr>
        <w:t xml:space="preserve">Au Québec, l’exercice de la profession d’avocat est régi par la </w:t>
      </w:r>
      <w:r w:rsidRPr="00C87F7A">
        <w:rPr>
          <w:rFonts w:eastAsia="Arial"/>
          <w:i/>
          <w:color w:val="000000"/>
          <w:shd w:val="clear" w:color="auto" w:fill="FFFFFF"/>
          <w:lang w:bidi="fr-FR"/>
        </w:rPr>
        <w:t>Loi sur le Barreau</w:t>
      </w:r>
      <w:r w:rsidRPr="00C87F7A">
        <w:rPr>
          <w:rFonts w:eastAsia="Arial"/>
          <w:lang w:bidi="fr-FR"/>
        </w:rPr>
        <w:t xml:space="preserve"> </w:t>
      </w:r>
      <w:r w:rsidR="00143C7F" w:rsidRPr="00C87F7A">
        <w:rPr>
          <w:rFonts w:eastAsia="Arial"/>
          <w:lang w:bidi="fr-FR"/>
        </w:rPr>
        <w:t>et</w:t>
      </w:r>
      <w:r w:rsidRPr="00C87F7A">
        <w:rPr>
          <w:rFonts w:eastAsia="Arial"/>
          <w:lang w:bidi="fr-FR"/>
        </w:rPr>
        <w:t xml:space="preserve"> le </w:t>
      </w:r>
      <w:r w:rsidRPr="00C87F7A">
        <w:rPr>
          <w:rFonts w:eastAsia="Arial"/>
          <w:i/>
          <w:color w:val="000000"/>
          <w:shd w:val="clear" w:color="auto" w:fill="FFFFFF"/>
          <w:lang w:bidi="fr-FR"/>
        </w:rPr>
        <w:t>Code des professions</w:t>
      </w:r>
      <w:r w:rsidRPr="00C87F7A">
        <w:rPr>
          <w:rFonts w:eastAsia="Arial"/>
          <w:lang w:bidi="fr-FR"/>
        </w:rPr>
        <w:t>.</w:t>
      </w:r>
    </w:p>
    <w:p w14:paraId="1FEBB25F" w14:textId="77777777" w:rsidR="00FB4718" w:rsidRPr="00C87F7A" w:rsidRDefault="00893AC8" w:rsidP="008A1100">
      <w:pPr>
        <w:pStyle w:val="Paragraphe"/>
        <w:spacing w:line="240" w:lineRule="auto"/>
        <w:rPr>
          <w:rFonts w:eastAsia="Arial"/>
          <w:lang w:bidi="fr-FR"/>
        </w:rPr>
      </w:pPr>
      <w:r w:rsidRPr="00FB4718">
        <w:rPr>
          <w:rFonts w:eastAsia="Arial"/>
          <w:lang w:bidi="fr-FR"/>
        </w:rPr>
        <w:t>L’article 32 du </w:t>
      </w:r>
      <w:r w:rsidRPr="00FB4718">
        <w:rPr>
          <w:rFonts w:eastAsia="Arial"/>
          <w:i/>
          <w:iCs/>
          <w:lang w:bidi="fr-FR"/>
        </w:rPr>
        <w:t>Code des professions</w:t>
      </w:r>
      <w:bookmarkStart w:id="19" w:name="_ftnref35"/>
      <w:bookmarkEnd w:id="19"/>
      <w:r w:rsidRPr="00FB4718">
        <w:rPr>
          <w:rFonts w:eastAsia="Arial"/>
          <w:lang w:bidi="fr-FR"/>
        </w:rPr>
        <w:t> prescrit notamment que nul ne peut exercer une activité professionnelle réservée aux membres d’un ordre professionnel s’il n’est pas titulaire d’un permis valide et approprié et s’il n’est pas inscrit au tableau de l’ordre habilité à délivrer ce permis, sauf si la loi le permet.</w:t>
      </w:r>
    </w:p>
    <w:p w14:paraId="3026B2F1" w14:textId="77777777" w:rsidR="00720573" w:rsidRDefault="00893AC8">
      <w:pPr>
        <w:rPr>
          <w:rFonts w:eastAsia="Arial"/>
          <w:color w:val="000000"/>
          <w:kern w:val="28"/>
          <w:shd w:val="clear" w:color="auto" w:fill="FFFFFF"/>
          <w:lang w:bidi="fr-FR"/>
        </w:rPr>
      </w:pPr>
      <w:r>
        <w:rPr>
          <w:rFonts w:eastAsia="Arial"/>
          <w:color w:val="000000"/>
          <w:shd w:val="clear" w:color="auto" w:fill="FFFFFF"/>
          <w:lang w:bidi="fr-FR"/>
        </w:rPr>
        <w:br w:type="page"/>
      </w:r>
    </w:p>
    <w:p w14:paraId="57AB8584" w14:textId="77777777" w:rsidR="001958D5" w:rsidRPr="00C87F7A" w:rsidRDefault="00893AC8" w:rsidP="008A1100">
      <w:pPr>
        <w:pStyle w:val="Paragraphe"/>
        <w:spacing w:line="240" w:lineRule="auto"/>
        <w:rPr>
          <w:rFonts w:eastAsia="Arial"/>
          <w:lang w:bidi="fr-FR"/>
        </w:rPr>
      </w:pPr>
      <w:r w:rsidRPr="00C87F7A">
        <w:rPr>
          <w:rFonts w:eastAsia="Arial"/>
          <w:color w:val="000000"/>
          <w:shd w:val="clear" w:color="auto" w:fill="FFFFFF"/>
          <w:lang w:bidi="fr-FR"/>
        </w:rPr>
        <w:lastRenderedPageBreak/>
        <w:t>La</w:t>
      </w:r>
      <w:r w:rsidRPr="00C87F7A">
        <w:rPr>
          <w:rFonts w:eastAsia="Arial"/>
          <w:i/>
          <w:color w:val="000000"/>
          <w:shd w:val="clear" w:color="auto" w:fill="FFFFFF"/>
          <w:lang w:bidi="fr-FR"/>
        </w:rPr>
        <w:t xml:space="preserve"> Loi sur le Barreau</w:t>
      </w:r>
      <w:r w:rsidRPr="00C87F7A">
        <w:rPr>
          <w:rFonts w:eastAsia="Arial"/>
          <w:lang w:bidi="fr-FR"/>
        </w:rPr>
        <w:t xml:space="preserve"> prévoit :</w:t>
      </w:r>
    </w:p>
    <w:p w14:paraId="6A2DFB1B" w14:textId="77777777" w:rsidR="00C73ECE" w:rsidRPr="00C73ECE" w:rsidRDefault="00893AC8" w:rsidP="008A1100">
      <w:pPr>
        <w:pStyle w:val="Citationenretrait"/>
        <w:rPr>
          <w:b/>
          <w:bCs/>
        </w:rPr>
      </w:pPr>
      <w:r w:rsidRPr="00C73ECE">
        <w:rPr>
          <w:b/>
          <w:bCs/>
        </w:rPr>
        <w:t>SECTION XIII</w:t>
      </w:r>
    </w:p>
    <w:p w14:paraId="01073911" w14:textId="77777777" w:rsidR="00C73ECE" w:rsidRDefault="00893AC8" w:rsidP="008A1100">
      <w:pPr>
        <w:pStyle w:val="Citationenretrait"/>
      </w:pPr>
      <w:r>
        <w:t>EXERCICE DE LA PROFESSION D’AVOCAT</w:t>
      </w:r>
    </w:p>
    <w:p w14:paraId="0D24F721" w14:textId="77777777" w:rsidR="00146142" w:rsidRPr="00162982" w:rsidRDefault="00893AC8" w:rsidP="008A1100">
      <w:pPr>
        <w:pStyle w:val="Citationenretrait"/>
      </w:pPr>
      <w:r w:rsidRPr="00162982">
        <w:rPr>
          <w:rStyle w:val="label-section"/>
        </w:rPr>
        <w:t>128.</w:t>
      </w:r>
      <w:r>
        <w:t> </w:t>
      </w:r>
      <w:r w:rsidRPr="00162982">
        <w:rPr>
          <w:rStyle w:val="label-p"/>
        </w:rPr>
        <w:t>1. </w:t>
      </w:r>
      <w:r w:rsidRPr="00162982">
        <w:rPr>
          <w:rStyle w:val="widthfixforlabel"/>
        </w:rPr>
        <w:t> </w:t>
      </w:r>
      <w:r w:rsidRPr="00162982">
        <w:rPr>
          <w:rStyle w:val="paragraph"/>
        </w:rPr>
        <w:t>Sous réserve des dispositions des articles 128.1 et 129, sont du ressort exclusif de l’avocat en exercice ou du conseiller en loi les actes suivants exécutés pour le compte d’autrui:</w:t>
      </w:r>
    </w:p>
    <w:p w14:paraId="5E295812" w14:textId="77777777" w:rsidR="00146142" w:rsidRDefault="00893AC8" w:rsidP="008A1100">
      <w:pPr>
        <w:pStyle w:val="Citationenretrait"/>
        <w:ind w:left="851"/>
      </w:pPr>
      <w:r w:rsidRPr="00162982">
        <w:rPr>
          <w:rStyle w:val="label-l"/>
        </w:rPr>
        <w:t>a</w:t>
      </w:r>
      <w:r w:rsidRPr="00162982">
        <w:rPr>
          <w:rStyle w:val="Normal1"/>
        </w:rPr>
        <w:t>) </w:t>
      </w:r>
      <w:r w:rsidRPr="00162982">
        <w:rPr>
          <w:rStyle w:val="widthfixforlabel"/>
        </w:rPr>
        <w:t> </w:t>
      </w:r>
      <w:r w:rsidRPr="00162982">
        <w:rPr>
          <w:rStyle w:val="subparagraph"/>
        </w:rPr>
        <w:t>donner des consultations et avis d’ordre juridique;</w:t>
      </w:r>
    </w:p>
    <w:p w14:paraId="7324A0E3" w14:textId="77777777" w:rsidR="00146142" w:rsidRDefault="00893AC8" w:rsidP="008A1100">
      <w:pPr>
        <w:pStyle w:val="Citationenretrait"/>
        <w:ind w:left="851"/>
      </w:pPr>
      <w:r w:rsidRPr="00162982">
        <w:rPr>
          <w:rStyle w:val="label-l"/>
        </w:rPr>
        <w:t>b</w:t>
      </w:r>
      <w:r w:rsidRPr="00162982">
        <w:rPr>
          <w:rStyle w:val="Normal1"/>
        </w:rPr>
        <w:t>) </w:t>
      </w:r>
      <w:r w:rsidRPr="00162982">
        <w:rPr>
          <w:rStyle w:val="widthfixforlabel"/>
        </w:rPr>
        <w:t> </w:t>
      </w:r>
      <w:r w:rsidRPr="00162982">
        <w:rPr>
          <w:rStyle w:val="subparagraph"/>
        </w:rPr>
        <w:t>préparer et rédiger un avis, une requête, une procédure et tout autre document de même nature destiné à servir dans une affaire devant les tribunaux;</w:t>
      </w:r>
    </w:p>
    <w:p w14:paraId="5F3D0DAA" w14:textId="77777777" w:rsidR="00146142" w:rsidRDefault="00893AC8" w:rsidP="008A1100">
      <w:pPr>
        <w:pStyle w:val="Citationenretrait"/>
        <w:ind w:left="851"/>
      </w:pPr>
      <w:r w:rsidRPr="00162982">
        <w:rPr>
          <w:rStyle w:val="label-l"/>
        </w:rPr>
        <w:t>c</w:t>
      </w:r>
      <w:r w:rsidRPr="00162982">
        <w:rPr>
          <w:rStyle w:val="Normal1"/>
        </w:rPr>
        <w:t>) </w:t>
      </w:r>
      <w:r w:rsidRPr="00162982">
        <w:rPr>
          <w:rStyle w:val="widthfixforlabel"/>
        </w:rPr>
        <w:t> </w:t>
      </w:r>
      <w:r w:rsidRPr="00162982">
        <w:rPr>
          <w:rStyle w:val="subparagraph"/>
        </w:rPr>
        <w:t>préparer et rédiger une convention, une requête, un règlement, une résolution et tout autre document de même nature se rapportant à la constitution, l’organisation, la réorganisation ou la liquidation d’une personne morale régie par les lois fédérales ou provinciales concernant les personnes morales, ou à l’amalgamation de plusieurs personnes morales ou à l’abandon d’une charte.</w:t>
      </w:r>
    </w:p>
    <w:p w14:paraId="44420D7F" w14:textId="77777777" w:rsidR="00146142" w:rsidRDefault="00893AC8" w:rsidP="008A1100">
      <w:pPr>
        <w:pStyle w:val="Citationenretrait"/>
      </w:pPr>
      <w:r w:rsidRPr="00162982">
        <w:rPr>
          <w:rStyle w:val="label-p"/>
        </w:rPr>
        <w:t>2. </w:t>
      </w:r>
      <w:r w:rsidRPr="00162982">
        <w:rPr>
          <w:rStyle w:val="widthfixforlabel"/>
        </w:rPr>
        <w:t> </w:t>
      </w:r>
      <w:r w:rsidRPr="00162982">
        <w:rPr>
          <w:rStyle w:val="paragraph"/>
        </w:rPr>
        <w:t>Sont du ressort exclusif de l’avocat en exercice et non du conseiller en loi les actes suivants exécutés pour le compte d’autrui:</w:t>
      </w:r>
    </w:p>
    <w:p w14:paraId="350C99B4" w14:textId="77777777" w:rsidR="00146142" w:rsidRDefault="00893AC8" w:rsidP="008A1100">
      <w:pPr>
        <w:pStyle w:val="Citationenretrait"/>
        <w:ind w:left="851"/>
      </w:pPr>
      <w:r w:rsidRPr="00162982">
        <w:rPr>
          <w:rStyle w:val="label-l"/>
        </w:rPr>
        <w:t>a</w:t>
      </w:r>
      <w:r w:rsidRPr="00162982">
        <w:rPr>
          <w:rStyle w:val="Normal1"/>
        </w:rPr>
        <w:t>) </w:t>
      </w:r>
      <w:r w:rsidRPr="00162982">
        <w:rPr>
          <w:rStyle w:val="widthfixforlabel"/>
        </w:rPr>
        <w:t> </w:t>
      </w:r>
      <w:r w:rsidRPr="00162982">
        <w:rPr>
          <w:rStyle w:val="subparagraph"/>
        </w:rPr>
        <w:t>plaider ou agir devant tout tribunal, sauf devant:</w:t>
      </w:r>
    </w:p>
    <w:p w14:paraId="3F715CB1" w14:textId="77777777" w:rsidR="00146142" w:rsidRDefault="00893AC8" w:rsidP="008A1100">
      <w:pPr>
        <w:pStyle w:val="Citationenretrait"/>
        <w:ind w:left="993"/>
      </w:pPr>
      <w:r w:rsidRPr="00162982">
        <w:rPr>
          <w:rStyle w:val="label-z"/>
        </w:rPr>
        <w:t>1° </w:t>
      </w:r>
      <w:r w:rsidRPr="00162982">
        <w:rPr>
          <w:rStyle w:val="widthfixforlabel"/>
        </w:rPr>
        <w:t> </w:t>
      </w:r>
      <w:r w:rsidRPr="00162982">
        <w:rPr>
          <w:rStyle w:val="clause"/>
        </w:rPr>
        <w:t>un conciliateur ou un arbitre de différend ou de grief, au sens du Code du travail (</w:t>
      </w:r>
      <w:r w:rsidRPr="00162982">
        <w:t>chapitre C-27</w:t>
      </w:r>
      <w:r w:rsidRPr="00162982">
        <w:rPr>
          <w:rStyle w:val="clause"/>
        </w:rPr>
        <w:t>);</w:t>
      </w:r>
    </w:p>
    <w:p w14:paraId="7AFDC505" w14:textId="77777777" w:rsidR="00146142" w:rsidRDefault="00893AC8" w:rsidP="008A1100">
      <w:pPr>
        <w:pStyle w:val="Citationenretrait"/>
        <w:ind w:left="993"/>
      </w:pPr>
      <w:r w:rsidRPr="00162982">
        <w:rPr>
          <w:rStyle w:val="label-z"/>
        </w:rPr>
        <w:t>2° </w:t>
      </w:r>
      <w:r w:rsidRPr="00162982">
        <w:rPr>
          <w:rStyle w:val="widthfixforlabel"/>
        </w:rPr>
        <w:t> </w:t>
      </w:r>
      <w:r w:rsidRPr="00162982">
        <w:rPr>
          <w:rStyle w:val="clause"/>
        </w:rPr>
        <w:t>le Tribunal administratif du travail;</w:t>
      </w:r>
    </w:p>
    <w:p w14:paraId="747C3F08" w14:textId="77777777" w:rsidR="00146142" w:rsidRDefault="00893AC8" w:rsidP="008A1100">
      <w:pPr>
        <w:pStyle w:val="Citationenretrait"/>
        <w:ind w:left="993"/>
      </w:pPr>
      <w:r w:rsidRPr="00162982">
        <w:rPr>
          <w:rStyle w:val="label-z"/>
        </w:rPr>
        <w:t>3° </w:t>
      </w:r>
      <w:r w:rsidRPr="00162982">
        <w:rPr>
          <w:rStyle w:val="widthfixforlabel"/>
        </w:rPr>
        <w:t> </w:t>
      </w:r>
      <w:r w:rsidRPr="00162982">
        <w:rPr>
          <w:rStyle w:val="clause"/>
        </w:rPr>
        <w:t>la Commission des normes, de l’équité, de la santé et de la sécurité du travail instituée par la Loi sur la santé et la sécurité du travail (</w:t>
      </w:r>
      <w:r w:rsidRPr="00162982">
        <w:rPr>
          <w:rStyle w:val="Hyperlien"/>
          <w:color w:val="auto"/>
          <w:u w:val="none"/>
        </w:rPr>
        <w:t>chapitre S-2.1</w:t>
      </w:r>
      <w:r w:rsidRPr="00162982">
        <w:rPr>
          <w:rStyle w:val="clause"/>
        </w:rPr>
        <w:t>), un bureau de révision constitué en vertu de la Loi sur les accidents du travail (</w:t>
      </w:r>
      <w:r w:rsidRPr="00162982">
        <w:rPr>
          <w:rStyle w:val="Hyperlien"/>
          <w:color w:val="auto"/>
          <w:u w:val="none"/>
        </w:rPr>
        <w:t>chapitre A-3</w:t>
      </w:r>
      <w:r w:rsidRPr="00162982">
        <w:rPr>
          <w:rStyle w:val="clause"/>
        </w:rPr>
        <w:t>) ou la section des affaires sociales du Tribunal administratif du Québec, institué en vertu de la Loi sur la justice administrative (</w:t>
      </w:r>
      <w:r w:rsidRPr="00162982">
        <w:rPr>
          <w:rStyle w:val="Hyperlien"/>
          <w:color w:val="auto"/>
          <w:u w:val="none"/>
        </w:rPr>
        <w:t>chapitre J-3</w:t>
      </w:r>
      <w:r w:rsidRPr="00162982">
        <w:rPr>
          <w:rStyle w:val="clause"/>
        </w:rPr>
        <w:t>), s’il s’agit d’un recours portant sur l’indemnisation des personnes victimes d’infractions criminelles ou des sauveteurs et des autres réclamants d’une aide financière en vertu de la Loi visant à favoriser le civisme (</w:t>
      </w:r>
      <w:r w:rsidRPr="00162982">
        <w:rPr>
          <w:rStyle w:val="Hyperlien"/>
          <w:color w:val="auto"/>
          <w:u w:val="none"/>
        </w:rPr>
        <w:t>chapitre C-20</w:t>
      </w:r>
      <w:r w:rsidRPr="00162982">
        <w:rPr>
          <w:rStyle w:val="clause"/>
        </w:rPr>
        <w:t>), d’un recours formé en vertu de l’article 65 de la Loi sur les accidents du travail ou d’un recours formé en vertu de l’article 12 de la Loi sur l’indemnisation des victimes d’amiantose ou de silicose dans les mines et les carrières (</w:t>
      </w:r>
      <w:r w:rsidRPr="00162982">
        <w:rPr>
          <w:rStyle w:val="Hyperlien"/>
          <w:color w:val="auto"/>
          <w:u w:val="none"/>
        </w:rPr>
        <w:t>chapitre I</w:t>
      </w:r>
      <w:r w:rsidR="008C7FE7">
        <w:noBreakHyphen/>
      </w:r>
      <w:r w:rsidRPr="00162982">
        <w:rPr>
          <w:rStyle w:val="Hyperlien"/>
          <w:color w:val="auto"/>
          <w:u w:val="none"/>
        </w:rPr>
        <w:t>7</w:t>
      </w:r>
      <w:r w:rsidRPr="00162982">
        <w:rPr>
          <w:rStyle w:val="clause"/>
        </w:rPr>
        <w:t>);</w:t>
      </w:r>
    </w:p>
    <w:p w14:paraId="5D8B1D9A" w14:textId="77777777" w:rsidR="00146142" w:rsidRDefault="00893AC8" w:rsidP="008A1100">
      <w:pPr>
        <w:pStyle w:val="Citationenretrait"/>
        <w:ind w:left="993"/>
      </w:pPr>
      <w:r w:rsidRPr="00162982">
        <w:rPr>
          <w:rStyle w:val="label-z"/>
        </w:rPr>
        <w:t>4° </w:t>
      </w:r>
      <w:r w:rsidRPr="00162982">
        <w:rPr>
          <w:rStyle w:val="widthfixforlabel"/>
        </w:rPr>
        <w:t> </w:t>
      </w:r>
      <w:r w:rsidRPr="00162982">
        <w:rPr>
          <w:rStyle w:val="clause"/>
        </w:rPr>
        <w:t>le Tribunal administratif du logement institué en vertu de la Loi sur le Tribunal administratif du logement (</w:t>
      </w:r>
      <w:r w:rsidRPr="00162982">
        <w:rPr>
          <w:rStyle w:val="Hyperlien"/>
          <w:color w:val="auto"/>
          <w:u w:val="none"/>
        </w:rPr>
        <w:t>chapitre T-15.01</w:t>
      </w:r>
      <w:r w:rsidRPr="00162982">
        <w:rPr>
          <w:rStyle w:val="clause"/>
        </w:rPr>
        <w:t>);</w:t>
      </w:r>
    </w:p>
    <w:p w14:paraId="3CFB74FD" w14:textId="77777777" w:rsidR="00146142" w:rsidRDefault="00893AC8" w:rsidP="008A1100">
      <w:pPr>
        <w:pStyle w:val="Citationenretrait"/>
        <w:ind w:left="993"/>
      </w:pPr>
      <w:r w:rsidRPr="00162982">
        <w:rPr>
          <w:rStyle w:val="label-z"/>
        </w:rPr>
        <w:lastRenderedPageBreak/>
        <w:t>5° </w:t>
      </w:r>
      <w:r w:rsidRPr="00162982">
        <w:rPr>
          <w:rStyle w:val="widthfixforlabel"/>
        </w:rPr>
        <w:t> </w:t>
      </w:r>
      <w:r w:rsidRPr="00162982">
        <w:rPr>
          <w:rStyle w:val="clause"/>
        </w:rPr>
        <w:t>la section des affaires sociales du Tribunal administratif du Québec, dans la mesure où il s’agit pour le ministre de l’Emploi et de la Solidarité sociale, ou pour un organisme qui est son délégataire dans l’application de la Loi sur l’aide aux personnes et aux familles (</w:t>
      </w:r>
      <w:r w:rsidRPr="00162982">
        <w:rPr>
          <w:rStyle w:val="Hyperlien"/>
          <w:color w:val="auto"/>
          <w:u w:val="none"/>
        </w:rPr>
        <w:t>chapitre A-13.1.1</w:t>
      </w:r>
      <w:r w:rsidRPr="00162982">
        <w:rPr>
          <w:rStyle w:val="clause"/>
        </w:rPr>
        <w:t>), de se faire représenter pour plaider ou agir en son nom;</w:t>
      </w:r>
    </w:p>
    <w:p w14:paraId="15C3D1CC" w14:textId="77777777" w:rsidR="00146142" w:rsidRDefault="00893AC8" w:rsidP="008A1100">
      <w:pPr>
        <w:pStyle w:val="Citationenretrait"/>
        <w:ind w:left="993"/>
      </w:pPr>
      <w:r w:rsidRPr="00162982">
        <w:rPr>
          <w:rStyle w:val="label-z"/>
        </w:rPr>
        <w:t>6° </w:t>
      </w:r>
      <w:r w:rsidRPr="00162982">
        <w:rPr>
          <w:rStyle w:val="widthfixforlabel"/>
        </w:rPr>
        <w:t> </w:t>
      </w:r>
      <w:r w:rsidRPr="00162982">
        <w:rPr>
          <w:rStyle w:val="clause"/>
        </w:rPr>
        <w:t>un arbitre, un conciliateur, un conseil d’arbitrage ou un enquêteur, au sens de la Loi sur les relations du travail, la formation professionnelle et la gestion de la main-d’oeuvre dans l’industrie de la construction (</w:t>
      </w:r>
      <w:r w:rsidRPr="00162982">
        <w:rPr>
          <w:rStyle w:val="Hyperlien"/>
          <w:color w:val="auto"/>
          <w:u w:val="none"/>
        </w:rPr>
        <w:t>chapitre R-20</w:t>
      </w:r>
      <w:r w:rsidRPr="00162982">
        <w:rPr>
          <w:rStyle w:val="clause"/>
        </w:rPr>
        <w:t>);</w:t>
      </w:r>
    </w:p>
    <w:p w14:paraId="14544851" w14:textId="77777777" w:rsidR="00146142" w:rsidRDefault="00893AC8" w:rsidP="008A1100">
      <w:pPr>
        <w:pStyle w:val="Citationenretrait"/>
        <w:ind w:left="993"/>
      </w:pPr>
      <w:r w:rsidRPr="00162982">
        <w:rPr>
          <w:rStyle w:val="label-z"/>
        </w:rPr>
        <w:t>7° </w:t>
      </w:r>
      <w:r w:rsidRPr="00162982">
        <w:rPr>
          <w:rStyle w:val="widthfixforlabel"/>
        </w:rPr>
        <w:t> </w:t>
      </w:r>
      <w:r w:rsidRPr="00162982">
        <w:rPr>
          <w:rStyle w:val="clause"/>
        </w:rPr>
        <w:t>en matière d’immigration, la section des affaires sociales du Tribunal administratif du Québec, dans le cas et aux conditions prévus au troisième alinéa de l’article 102 de la Loi sur la justice administrative;</w:t>
      </w:r>
    </w:p>
    <w:p w14:paraId="006710AA" w14:textId="77777777" w:rsidR="00146142" w:rsidRDefault="00893AC8" w:rsidP="008A1100">
      <w:pPr>
        <w:pStyle w:val="Citationenretrait"/>
        <w:ind w:left="851"/>
      </w:pPr>
      <w:r w:rsidRPr="00162982">
        <w:rPr>
          <w:rStyle w:val="label-l"/>
        </w:rPr>
        <w:t>b</w:t>
      </w:r>
      <w:r w:rsidRPr="00162982">
        <w:rPr>
          <w:rStyle w:val="Normal1"/>
        </w:rPr>
        <w:t>) </w:t>
      </w:r>
      <w:r w:rsidRPr="00162982">
        <w:rPr>
          <w:rStyle w:val="widthfixforlabel"/>
        </w:rPr>
        <w:t> </w:t>
      </w:r>
      <w:r w:rsidRPr="00162982">
        <w:rPr>
          <w:rStyle w:val="subparagraph"/>
        </w:rPr>
        <w:t>préparer et rédiger un testament, un codicille ou une quittance et tout contrat ou document, sauf les baux, affectant des immeubles et requérant l’inscription ou la radiation d’une inscription au Québec;</w:t>
      </w:r>
    </w:p>
    <w:p w14:paraId="0CF6F6F1" w14:textId="77777777" w:rsidR="00146142" w:rsidRDefault="00893AC8" w:rsidP="008A1100">
      <w:pPr>
        <w:pStyle w:val="Citationenretrait"/>
        <w:ind w:left="851"/>
      </w:pPr>
      <w:r w:rsidRPr="00162982">
        <w:rPr>
          <w:rStyle w:val="label-l"/>
        </w:rPr>
        <w:t>c</w:t>
      </w:r>
      <w:r w:rsidRPr="00162982">
        <w:rPr>
          <w:rStyle w:val="Normal1"/>
        </w:rPr>
        <w:t>) </w:t>
      </w:r>
      <w:r w:rsidRPr="00162982">
        <w:rPr>
          <w:rStyle w:val="widthfixforlabel"/>
        </w:rPr>
        <w:t> </w:t>
      </w:r>
      <w:r w:rsidRPr="00162982">
        <w:rPr>
          <w:rStyle w:val="subparagraph"/>
        </w:rPr>
        <w:t>préparer, rédiger et produire la déclaration de la valeur d’une succession, requise par les lois fiscales; le présent sous-paragraphe </w:t>
      </w:r>
      <w:r w:rsidRPr="00162982">
        <w:rPr>
          <w:rStyle w:val="italic"/>
        </w:rPr>
        <w:t>c</w:t>
      </w:r>
      <w:r w:rsidRPr="00162982">
        <w:rPr>
          <w:rStyle w:val="subparagraph"/>
        </w:rPr>
        <w:t> ne s’applique pas aux personnes morales autorisées par la loi à remplir les fonctions de liquidateur de succession ou de fiduciaire;</w:t>
      </w:r>
    </w:p>
    <w:p w14:paraId="796C4355" w14:textId="77777777" w:rsidR="00146142" w:rsidRDefault="00893AC8" w:rsidP="008A1100">
      <w:pPr>
        <w:pStyle w:val="Citationenretrait"/>
        <w:ind w:left="851"/>
      </w:pPr>
      <w:r w:rsidRPr="00162982">
        <w:rPr>
          <w:rStyle w:val="label-l"/>
        </w:rPr>
        <w:t>d</w:t>
      </w:r>
      <w:r w:rsidRPr="00162982">
        <w:rPr>
          <w:rStyle w:val="Normal1"/>
        </w:rPr>
        <w:t>) </w:t>
      </w:r>
      <w:r w:rsidRPr="00162982">
        <w:rPr>
          <w:rStyle w:val="widthfixforlabel"/>
        </w:rPr>
        <w:t> </w:t>
      </w:r>
      <w:r w:rsidRPr="00162982">
        <w:rPr>
          <w:rStyle w:val="subparagraph"/>
        </w:rPr>
        <w:t>préparer et rédiger un document ou une procédure pour l’enregistrement prescrit par la loi, d’une personne ou d’une société exploitant un commerce ou exerçant une industrie;</w:t>
      </w:r>
    </w:p>
    <w:p w14:paraId="495FFC8B" w14:textId="77777777" w:rsidR="00146142" w:rsidRDefault="00893AC8" w:rsidP="008A1100">
      <w:pPr>
        <w:pStyle w:val="Citationenretrait"/>
        <w:ind w:left="851"/>
      </w:pPr>
      <w:r w:rsidRPr="00162982">
        <w:rPr>
          <w:rStyle w:val="label-l"/>
        </w:rPr>
        <w:t>e</w:t>
      </w:r>
      <w:r w:rsidRPr="00162982">
        <w:rPr>
          <w:rStyle w:val="Normal1"/>
        </w:rPr>
        <w:t>) </w:t>
      </w:r>
      <w:r w:rsidRPr="00162982">
        <w:rPr>
          <w:rStyle w:val="widthfixforlabel"/>
        </w:rPr>
        <w:t> </w:t>
      </w:r>
      <w:r w:rsidRPr="00162982">
        <w:rPr>
          <w:rStyle w:val="subparagraph"/>
        </w:rPr>
        <w:t>faire de la perception ou réclamer avec frais ou suggérer que des procédures judiciaires seront intentées;</w:t>
      </w:r>
    </w:p>
    <w:p w14:paraId="026847FA" w14:textId="77777777" w:rsidR="00146142" w:rsidRPr="00162982" w:rsidRDefault="00893AC8" w:rsidP="008A1100">
      <w:pPr>
        <w:pStyle w:val="Citationenretrait"/>
        <w:ind w:left="851"/>
        <w:rPr>
          <w:rStyle w:val="subparagraph"/>
        </w:rPr>
      </w:pPr>
      <w:r w:rsidRPr="00162982">
        <w:rPr>
          <w:rStyle w:val="label-l"/>
        </w:rPr>
        <w:t>f</w:t>
      </w:r>
      <w:r w:rsidRPr="00162982">
        <w:rPr>
          <w:rStyle w:val="Normal1"/>
        </w:rPr>
        <w:t>) </w:t>
      </w:r>
      <w:r w:rsidRPr="00162982">
        <w:rPr>
          <w:rStyle w:val="widthfixforlabel"/>
        </w:rPr>
        <w:t> </w:t>
      </w:r>
      <w:r w:rsidRPr="00162982">
        <w:rPr>
          <w:rStyle w:val="subparagraph"/>
        </w:rPr>
        <w:t>faire les opérations préalables à la reconnaissance d’un assistant au majeur par le curateur public.</w:t>
      </w:r>
    </w:p>
    <w:p w14:paraId="759DEF60" w14:textId="77777777" w:rsidR="00C962B3" w:rsidRPr="00162982" w:rsidRDefault="00893AC8" w:rsidP="008A1100">
      <w:pPr>
        <w:pStyle w:val="Citationenretrait"/>
        <w:rPr>
          <w:rStyle w:val="label-l"/>
        </w:rPr>
      </w:pPr>
      <w:r w:rsidRPr="00162982">
        <w:rPr>
          <w:rStyle w:val="label-l"/>
        </w:rPr>
        <w:t>…</w:t>
      </w:r>
    </w:p>
    <w:p w14:paraId="46F52080" w14:textId="77777777" w:rsidR="00C962B3" w:rsidRPr="00162982" w:rsidRDefault="00893AC8" w:rsidP="008A1100">
      <w:pPr>
        <w:pStyle w:val="Citationenretrait"/>
        <w:rPr>
          <w:b/>
        </w:rPr>
      </w:pPr>
      <w:r w:rsidRPr="00C962B3">
        <w:rPr>
          <w:b/>
          <w:bCs/>
        </w:rPr>
        <w:t>SECTION XIV</w:t>
      </w:r>
    </w:p>
    <w:p w14:paraId="44ECAB30" w14:textId="77777777" w:rsidR="00C962B3" w:rsidRPr="00C962B3" w:rsidRDefault="00893AC8" w:rsidP="008A1100">
      <w:pPr>
        <w:pStyle w:val="Citationenretrait"/>
      </w:pPr>
      <w:r w:rsidRPr="00C962B3">
        <w:t>EXERCICE ILLÉGAL DE LA PROFESSION D’AVOCAT</w:t>
      </w:r>
    </w:p>
    <w:p w14:paraId="46701E5D" w14:textId="77777777" w:rsidR="00C962B3" w:rsidRPr="00C962B3" w:rsidRDefault="00893AC8" w:rsidP="008A1100">
      <w:pPr>
        <w:pStyle w:val="Citationenretrait"/>
      </w:pPr>
      <w:r w:rsidRPr="00162982">
        <w:rPr>
          <w:rStyle w:val="Hyperlien"/>
          <w:color w:val="auto"/>
          <w:u w:val="none"/>
        </w:rPr>
        <w:t>132.</w:t>
      </w:r>
      <w:r w:rsidRPr="00C962B3">
        <w:t> Nonobstant toute loi contraire et sans restreindre la portée de la présente loi, quiconque exerce la profession d’avocat sans être inscrit au Tableau commet une infraction et est passible des peines prévues à l’article 188 du Code des professions (</w:t>
      </w:r>
      <w:r w:rsidRPr="00162982">
        <w:rPr>
          <w:rStyle w:val="Hyperlien"/>
          <w:color w:val="auto"/>
          <w:u w:val="none"/>
        </w:rPr>
        <w:t>chapitre C-26</w:t>
      </w:r>
      <w:r w:rsidRPr="00C962B3">
        <w:t>).</w:t>
      </w:r>
    </w:p>
    <w:p w14:paraId="5649AC07" w14:textId="77777777" w:rsidR="00C962B3" w:rsidRPr="00C962B3" w:rsidRDefault="00893AC8" w:rsidP="008A1100">
      <w:pPr>
        <w:pStyle w:val="Citationenretrait"/>
      </w:pPr>
      <w:r w:rsidRPr="00162982">
        <w:rPr>
          <w:rStyle w:val="Hyperlien"/>
          <w:color w:val="auto"/>
          <w:u w:val="none"/>
        </w:rPr>
        <w:t>133.</w:t>
      </w:r>
      <w:r w:rsidRPr="00C962B3">
        <w:t> Exerce illégalement la profession d’avocat au sens de l’article 132 et dans chacun des cas suivants, toute personne autre qu’un membre du Barreau qui:</w:t>
      </w:r>
    </w:p>
    <w:p w14:paraId="63596501" w14:textId="77777777" w:rsidR="00C962B3" w:rsidRPr="00C962B3" w:rsidRDefault="00893AC8" w:rsidP="008A1100">
      <w:pPr>
        <w:pStyle w:val="Citationenretrait"/>
        <w:ind w:left="851"/>
      </w:pPr>
      <w:r w:rsidRPr="00162982">
        <w:t>a</w:t>
      </w:r>
      <w:r w:rsidRPr="00C962B3">
        <w:t>) </w:t>
      </w:r>
      <w:r w:rsidRPr="00162982">
        <w:t> </w:t>
      </w:r>
      <w:r w:rsidRPr="00C962B3">
        <w:t>usurpe les fonctions d’avocat;</w:t>
      </w:r>
    </w:p>
    <w:p w14:paraId="7784B6BE" w14:textId="77777777" w:rsidR="00C962B3" w:rsidRPr="00C962B3" w:rsidRDefault="00893AC8" w:rsidP="008A1100">
      <w:pPr>
        <w:pStyle w:val="Citationenretrait"/>
        <w:ind w:left="851"/>
      </w:pPr>
      <w:r w:rsidRPr="00162982">
        <w:lastRenderedPageBreak/>
        <w:t>b</w:t>
      </w:r>
      <w:r w:rsidRPr="00C962B3">
        <w:t>) </w:t>
      </w:r>
      <w:r w:rsidRPr="00162982">
        <w:t> </w:t>
      </w:r>
      <w:r w:rsidRPr="00C962B3">
        <w:t>en fait ou prétend en faire les actes;</w:t>
      </w:r>
    </w:p>
    <w:p w14:paraId="39639FFE" w14:textId="77777777" w:rsidR="001958D5" w:rsidRPr="007904FE" w:rsidRDefault="00893AC8" w:rsidP="008A1100">
      <w:pPr>
        <w:pStyle w:val="Citationenretrait"/>
        <w:ind w:left="851"/>
      </w:pPr>
      <w:r w:rsidRPr="00162982">
        <w:t>c</w:t>
      </w:r>
      <w:r w:rsidRPr="00C962B3">
        <w:t>) </w:t>
      </w:r>
      <w:r w:rsidRPr="00162982">
        <w:t> </w:t>
      </w:r>
      <w:r w:rsidRPr="00C962B3">
        <w:t>agit de manière à donner lieu de croire qu’elle est autorisée à remplir les fonctions d’avocat ou à en faire les actes.</w:t>
      </w:r>
    </w:p>
    <w:p w14:paraId="3DFDAE9D" w14:textId="77777777" w:rsidR="00702A6F" w:rsidRPr="00DF3CA8" w:rsidRDefault="00893AC8" w:rsidP="008A1100">
      <w:pPr>
        <w:pStyle w:val="Titre3"/>
        <w:numPr>
          <w:ilvl w:val="1"/>
          <w:numId w:val="9"/>
        </w:numPr>
        <w:ind w:left="1701" w:hanging="567"/>
        <w:rPr>
          <w:b/>
        </w:rPr>
      </w:pPr>
      <w:bookmarkStart w:id="20" w:name="_Toc256000006"/>
      <w:bookmarkStart w:id="21" w:name="_Toc224727325"/>
      <w:r w:rsidRPr="00DF3CA8">
        <w:rPr>
          <w:b/>
        </w:rPr>
        <w:t>Application aux faits en l’espèce</w:t>
      </w:r>
      <w:bookmarkEnd w:id="20"/>
      <w:bookmarkEnd w:id="21"/>
    </w:p>
    <w:p w14:paraId="4820809F" w14:textId="77777777" w:rsidR="00047907" w:rsidRDefault="00893AC8" w:rsidP="008A1100">
      <w:pPr>
        <w:pStyle w:val="Paragraphe"/>
        <w:numPr>
          <w:ilvl w:val="0"/>
          <w:numId w:val="3"/>
        </w:numPr>
        <w:spacing w:line="240" w:lineRule="auto"/>
      </w:pPr>
      <w:r>
        <w:t>Voici ce que le Tribunal retient de la preuve.</w:t>
      </w:r>
    </w:p>
    <w:p w14:paraId="21F32775" w14:textId="77777777" w:rsidR="008E11F0" w:rsidRDefault="00893AC8" w:rsidP="008A1100">
      <w:pPr>
        <w:pStyle w:val="Paragraphe"/>
        <w:numPr>
          <w:ilvl w:val="0"/>
          <w:numId w:val="3"/>
        </w:numPr>
        <w:spacing w:line="240" w:lineRule="auto"/>
      </w:pPr>
      <w:r>
        <w:t xml:space="preserve">M. Roy n’est pas membre du </w:t>
      </w:r>
      <w:r w:rsidR="007904FE">
        <w:t>B</w:t>
      </w:r>
      <w:r>
        <w:t>arreau</w:t>
      </w:r>
      <w:r>
        <w:rPr>
          <w:rStyle w:val="Appelnotedebasdep"/>
        </w:rPr>
        <w:footnoteReference w:id="24"/>
      </w:r>
      <w:r w:rsidR="007904FE">
        <w:t>.</w:t>
      </w:r>
    </w:p>
    <w:p w14:paraId="083D893A" w14:textId="77777777" w:rsidR="00FF6493" w:rsidRDefault="00893AC8" w:rsidP="008A1100">
      <w:pPr>
        <w:pStyle w:val="Paragraphe"/>
        <w:numPr>
          <w:ilvl w:val="0"/>
          <w:numId w:val="3"/>
        </w:numPr>
        <w:spacing w:line="240" w:lineRule="auto"/>
      </w:pPr>
      <w:r>
        <w:t>L’</w:t>
      </w:r>
      <w:r w:rsidR="00EC6DCC">
        <w:t>U</w:t>
      </w:r>
      <w:r>
        <w:t xml:space="preserve">nité n’est non plus </w:t>
      </w:r>
      <w:r w:rsidR="00EC6DCC">
        <w:t>inscrite au registre du Barreau</w:t>
      </w:r>
      <w:r>
        <w:rPr>
          <w:rStyle w:val="Appelnotedebasdep"/>
        </w:rPr>
        <w:footnoteReference w:id="25"/>
      </w:r>
    </w:p>
    <w:p w14:paraId="3BC621C1" w14:textId="77777777" w:rsidR="00047FBD" w:rsidRDefault="00893AC8" w:rsidP="008A1100">
      <w:pPr>
        <w:pStyle w:val="Paragraphe"/>
        <w:spacing w:line="240" w:lineRule="auto"/>
      </w:pPr>
      <w:r>
        <w:t xml:space="preserve">M. Roy </w:t>
      </w:r>
      <w:r w:rsidR="000F4F0F">
        <w:t>reconna</w:t>
      </w:r>
      <w:r w:rsidR="008C7FE7">
        <w:t>î</w:t>
      </w:r>
      <w:r w:rsidR="000F4F0F">
        <w:t xml:space="preserve">t qu’il est l’auteur des </w:t>
      </w:r>
      <w:r w:rsidR="00EC6DCC">
        <w:t>nombreu</w:t>
      </w:r>
      <w:r w:rsidR="008C7FE7">
        <w:t>ses</w:t>
      </w:r>
      <w:r w:rsidR="00EC6DCC">
        <w:t xml:space="preserve"> </w:t>
      </w:r>
      <w:r w:rsidR="000F4F0F">
        <w:t xml:space="preserve">vidéos </w:t>
      </w:r>
      <w:r w:rsidR="00E557CB">
        <w:t>déposé</w:t>
      </w:r>
      <w:r w:rsidR="008C7FE7">
        <w:t>e</w:t>
      </w:r>
      <w:r w:rsidR="00E557CB">
        <w:t>s en preuve par le Barreau</w:t>
      </w:r>
      <w:r w:rsidR="00DF02AE">
        <w:t xml:space="preserve"> pour </w:t>
      </w:r>
      <w:r w:rsidR="00A71A8A">
        <w:t xml:space="preserve">établir que les défendeurs ne respectent pas l’article </w:t>
      </w:r>
      <w:r w:rsidR="00576BE9">
        <w:t>128</w:t>
      </w:r>
      <w:r w:rsidR="008C7FE7">
        <w:t>.</w:t>
      </w:r>
      <w:r w:rsidR="00576BE9">
        <w:t xml:space="preserve">1b) de </w:t>
      </w:r>
      <w:r w:rsidR="00576BE9" w:rsidRPr="00576BE9">
        <w:rPr>
          <w:i/>
          <w:iCs/>
        </w:rPr>
        <w:t>la Loi sur le Barreau</w:t>
      </w:r>
      <w:r w:rsidR="00576BE9">
        <w:t>.</w:t>
      </w:r>
    </w:p>
    <w:p w14:paraId="3B09BEFB" w14:textId="77777777" w:rsidR="00472594" w:rsidRDefault="00893AC8" w:rsidP="008A1100">
      <w:pPr>
        <w:pStyle w:val="Paragraphe"/>
        <w:spacing w:line="240" w:lineRule="auto"/>
      </w:pPr>
      <w:r w:rsidRPr="0065567A">
        <w:t xml:space="preserve">M. Roy </w:t>
      </w:r>
      <w:r w:rsidRPr="00472594">
        <w:t>admet</w:t>
      </w:r>
      <w:r>
        <w:t xml:space="preserve"> avoir </w:t>
      </w:r>
      <w:r w:rsidR="00F75EC4">
        <w:t xml:space="preserve">été mandaté par un enfant </w:t>
      </w:r>
      <w:r w:rsidR="00FE59F8">
        <w:t xml:space="preserve">et sa mère dans un dossier en cours devant la </w:t>
      </w:r>
      <w:r w:rsidR="00FE59F8" w:rsidRPr="00FE59F8">
        <w:t>Cour du Québec, Chambre de la jeunesse</w:t>
      </w:r>
      <w:r w:rsidR="00FE59F8">
        <w:t xml:space="preserve">, dans le </w:t>
      </w:r>
      <w:r w:rsidR="007904FE">
        <w:t>d</w:t>
      </w:r>
      <w:r w:rsidR="00FE59F8">
        <w:t>istrict de Joliette</w:t>
      </w:r>
      <w:r w:rsidR="0013500B">
        <w:t xml:space="preserve"> afin de négocier avec </w:t>
      </w:r>
      <w:r w:rsidR="008525F2">
        <w:t xml:space="preserve">l’avocate de la Directrice de la protection de la jeunesse </w:t>
      </w:r>
    </w:p>
    <w:p w14:paraId="7FF0832A" w14:textId="77777777" w:rsidR="00133E14" w:rsidRDefault="00893AC8" w:rsidP="008A1100">
      <w:pPr>
        <w:pStyle w:val="Paragraphe"/>
        <w:spacing w:line="240" w:lineRule="auto"/>
      </w:pPr>
      <w:r w:rsidRPr="00472594">
        <w:t xml:space="preserve">M. Roy </w:t>
      </w:r>
      <w:r w:rsidR="007D7D69">
        <w:t xml:space="preserve">admet </w:t>
      </w:r>
      <w:r w:rsidR="008525F2">
        <w:t xml:space="preserve">aussi </w:t>
      </w:r>
      <w:r w:rsidR="007D7D69">
        <w:t xml:space="preserve">avoir </w:t>
      </w:r>
      <w:r w:rsidR="002C0314">
        <w:t xml:space="preserve">préparé et </w:t>
      </w:r>
      <w:r w:rsidR="007D7D69">
        <w:t xml:space="preserve">rédigé </w:t>
      </w:r>
      <w:r w:rsidR="008525F2">
        <w:t>plusieurs</w:t>
      </w:r>
      <w:r w:rsidR="007D7D69">
        <w:t xml:space="preserve"> requêtes</w:t>
      </w:r>
      <w:r w:rsidR="002C0314">
        <w:t xml:space="preserve"> afin qu’elle</w:t>
      </w:r>
      <w:r w:rsidR="00C829AC">
        <w:t>s</w:t>
      </w:r>
      <w:r w:rsidR="002C0314">
        <w:t xml:space="preserve"> soi</w:t>
      </w:r>
      <w:r w:rsidR="00C829AC">
        <w:t>en</w:t>
      </w:r>
      <w:r w:rsidR="002C0314">
        <w:t xml:space="preserve">t </w:t>
      </w:r>
      <w:r w:rsidR="00047FBD">
        <w:t>déposées</w:t>
      </w:r>
      <w:r w:rsidR="002C0314">
        <w:t xml:space="preserve"> </w:t>
      </w:r>
      <w:r w:rsidR="0001586D">
        <w:t xml:space="preserve">par des parents dans des instances en cours </w:t>
      </w:r>
      <w:r w:rsidR="002C0314">
        <w:t>devant la Cour du Québec, Chambre de la jeunesse</w:t>
      </w:r>
      <w:r>
        <w:rPr>
          <w:rStyle w:val="Appelnotedebasdep"/>
        </w:rPr>
        <w:footnoteReference w:id="26"/>
      </w:r>
      <w:r w:rsidR="00C829AC">
        <w:t>.</w:t>
      </w:r>
    </w:p>
    <w:p w14:paraId="48E4D63F" w14:textId="77777777" w:rsidR="00FB7DFE" w:rsidRDefault="00893AC8" w:rsidP="008A1100">
      <w:pPr>
        <w:pStyle w:val="Paragraphe"/>
        <w:spacing w:line="240" w:lineRule="auto"/>
      </w:pPr>
      <w:r>
        <w:t xml:space="preserve">Il affirme </w:t>
      </w:r>
      <w:r w:rsidR="00E9613A">
        <w:t xml:space="preserve">à l’instruction </w:t>
      </w:r>
      <w:r w:rsidR="002D0198">
        <w:t>:</w:t>
      </w:r>
      <w:r w:rsidR="00FD0D48">
        <w:t xml:space="preserve"> </w:t>
      </w:r>
      <w:r>
        <w:t>«</w:t>
      </w:r>
      <w:r w:rsidR="00685B19">
        <w:t xml:space="preserve"> </w:t>
      </w:r>
      <w:r w:rsidR="00FD0D48">
        <w:t>J</w:t>
      </w:r>
      <w:r w:rsidRPr="00FB7DFE">
        <w:t xml:space="preserve">amais je </w:t>
      </w:r>
      <w:r w:rsidR="00685B19">
        <w:t xml:space="preserve">ne </w:t>
      </w:r>
      <w:r w:rsidRPr="00FB7DFE">
        <w:t xml:space="preserve">vais nier </w:t>
      </w:r>
      <w:r w:rsidR="007A0A2E">
        <w:t>avoir faite</w:t>
      </w:r>
      <w:r w:rsidRPr="00FB7DFE">
        <w:t xml:space="preserve"> des requêtes</w:t>
      </w:r>
      <w:r>
        <w:t>! »</w:t>
      </w:r>
      <w:r>
        <w:rPr>
          <w:rStyle w:val="Appelnotedebasdep"/>
        </w:rPr>
        <w:footnoteReference w:id="27"/>
      </w:r>
      <w:r w:rsidR="002D0198">
        <w:t>.</w:t>
      </w:r>
    </w:p>
    <w:p w14:paraId="0DFC0F9F" w14:textId="77777777" w:rsidR="00E9613A" w:rsidRDefault="00893AC8" w:rsidP="008A1100">
      <w:pPr>
        <w:pStyle w:val="Paragraphe"/>
        <w:spacing w:line="240" w:lineRule="auto"/>
      </w:pPr>
      <w:r>
        <w:t>I</w:t>
      </w:r>
      <w:r w:rsidR="002A491B">
        <w:t>l fait une admission similaire devant la Cour du Québec, Chambre criminelle et pénale</w:t>
      </w:r>
      <w:r w:rsidR="0035756F">
        <w:t xml:space="preserve"> dans l’instance </w:t>
      </w:r>
      <w:r w:rsidR="00B67F4F">
        <w:t xml:space="preserve">qui a mené à une déclaration de culpabilité </w:t>
      </w:r>
      <w:r w:rsidR="00687A80">
        <w:t xml:space="preserve">pour avoir exercé </w:t>
      </w:r>
      <w:r w:rsidR="00723C42">
        <w:t>illégalement</w:t>
      </w:r>
      <w:r w:rsidR="00687A80">
        <w:t xml:space="preserve"> la profession d’avocat</w:t>
      </w:r>
      <w:r>
        <w:rPr>
          <w:rStyle w:val="Appelnotedebasdep"/>
        </w:rPr>
        <w:footnoteReference w:id="28"/>
      </w:r>
      <w:r w:rsidR="00723C42">
        <w:t>.</w:t>
      </w:r>
    </w:p>
    <w:p w14:paraId="19F00D59" w14:textId="77777777" w:rsidR="00BB63B9" w:rsidRDefault="00893AC8" w:rsidP="008A1100">
      <w:pPr>
        <w:pStyle w:val="Paragraphe"/>
        <w:spacing w:line="240" w:lineRule="auto"/>
      </w:pPr>
      <w:r>
        <w:lastRenderedPageBreak/>
        <w:t>Dans l’instance qui donne lieu au Jugement Outrage n</w:t>
      </w:r>
      <w:r w:rsidR="005C6DEB">
        <w:rPr>
          <w:vertAlign w:val="superscript"/>
        </w:rPr>
        <w:t>o</w:t>
      </w:r>
      <w:r>
        <w:t xml:space="preserve"> 2, M. Roy ne conteste pas </w:t>
      </w:r>
      <w:r w:rsidR="0055026A">
        <w:t>la preuve présentée</w:t>
      </w:r>
      <w:r>
        <w:t xml:space="preserve"> par le Barreau</w:t>
      </w:r>
      <w:r>
        <w:rPr>
          <w:rStyle w:val="Appelnotedebasdep"/>
        </w:rPr>
        <w:footnoteReference w:id="29"/>
      </w:r>
      <w:r w:rsidR="0055026A">
        <w:t>.</w:t>
      </w:r>
    </w:p>
    <w:p w14:paraId="293CC6DB" w14:textId="77777777" w:rsidR="00BD24A2" w:rsidRDefault="00893AC8" w:rsidP="008A1100">
      <w:pPr>
        <w:pStyle w:val="Paragraphe"/>
        <w:spacing w:line="240" w:lineRule="auto"/>
      </w:pPr>
      <w:r>
        <w:t xml:space="preserve">M. Roy a aussi admis </w:t>
      </w:r>
      <w:r w:rsidR="009678F0">
        <w:t xml:space="preserve">lors de l’audience sur la demande du </w:t>
      </w:r>
      <w:r w:rsidR="003D32DF">
        <w:t>B</w:t>
      </w:r>
      <w:r w:rsidR="009678F0">
        <w:t xml:space="preserve">arreau pour l’émission d’une injonction interlocutoire </w:t>
      </w:r>
      <w:r w:rsidR="00EB3713">
        <w:t xml:space="preserve">dans la présente instance </w:t>
      </w:r>
      <w:r w:rsidR="003D32DF">
        <w:t>d’</w:t>
      </w:r>
      <w:r w:rsidR="009678F0">
        <w:t xml:space="preserve">avoir rédigé </w:t>
      </w:r>
      <w:r w:rsidR="00170358">
        <w:t xml:space="preserve">pour des parents </w:t>
      </w:r>
      <w:r w:rsidR="00671A2E">
        <w:t xml:space="preserve">deux avis d’appel </w:t>
      </w:r>
      <w:r w:rsidR="00016273">
        <w:t xml:space="preserve">visant l’appel à la Cour supérieure de jugements rendu par </w:t>
      </w:r>
      <w:bookmarkStart w:id="22" w:name="_Hlk209106648"/>
      <w:r w:rsidR="00016273">
        <w:t>la Cour du Québec, Chambre de la jeunesse</w:t>
      </w:r>
      <w:bookmarkEnd w:id="22"/>
      <w:r>
        <w:rPr>
          <w:rStyle w:val="Appelnotedebasdep"/>
        </w:rPr>
        <w:footnoteReference w:id="30"/>
      </w:r>
      <w:r w:rsidR="00016273">
        <w:t xml:space="preserve">, ainsi qu’un mémoire d’appel </w:t>
      </w:r>
      <w:r w:rsidR="00170358">
        <w:t>pour</w:t>
      </w:r>
      <w:r w:rsidR="008229F6">
        <w:t xml:space="preserve"> l’appel à la Cour supérieure d’un jugement de </w:t>
      </w:r>
      <w:r w:rsidR="008229F6" w:rsidRPr="008229F6">
        <w:t>la Cour du Québec, Chambre de la jeunesse</w:t>
      </w:r>
      <w:r>
        <w:rPr>
          <w:rStyle w:val="Appelnotedebasdep"/>
        </w:rPr>
        <w:footnoteReference w:id="31"/>
      </w:r>
      <w:r w:rsidR="008C7FE7">
        <w:t xml:space="preserve"> </w:t>
      </w:r>
      <w:r>
        <w:rPr>
          <w:rStyle w:val="Appelnotedebasdep"/>
        </w:rPr>
        <w:footnoteReference w:id="32"/>
      </w:r>
      <w:r w:rsidR="00AD420A">
        <w:t>.</w:t>
      </w:r>
    </w:p>
    <w:p w14:paraId="1BA589E4" w14:textId="77777777" w:rsidR="00C25993" w:rsidRDefault="00893AC8" w:rsidP="008A1100">
      <w:pPr>
        <w:pStyle w:val="Paragraphe"/>
        <w:spacing w:line="240" w:lineRule="auto"/>
      </w:pPr>
      <w:r>
        <w:t>Bref, que ce soit dans le cadre de l’instance pénale, les ins</w:t>
      </w:r>
      <w:r w:rsidR="00D045CC">
        <w:t>tances pour outrage, lors de l’</w:t>
      </w:r>
      <w:r w:rsidR="00931D11">
        <w:t>audition pour l’émission de l’injonction interlocutoire</w:t>
      </w:r>
      <w:r w:rsidR="00D045CC">
        <w:t xml:space="preserve"> et lors de l’instruction au fond, M. Roy ne conteste pas</w:t>
      </w:r>
      <w:r w:rsidR="00A27404">
        <w:t xml:space="preserve"> plusieurs d</w:t>
      </w:r>
      <w:r w:rsidR="00D045CC">
        <w:t xml:space="preserve">es faits qui lui sont reprochés par le Barreau ou </w:t>
      </w:r>
      <w:r w:rsidR="00A27404">
        <w:t xml:space="preserve">encore, </w:t>
      </w:r>
      <w:r w:rsidR="00D045CC">
        <w:t>il les admet carrément.</w:t>
      </w:r>
    </w:p>
    <w:p w14:paraId="38A7AA7F" w14:textId="77777777" w:rsidR="009221E7" w:rsidRDefault="00893AC8" w:rsidP="008A1100">
      <w:pPr>
        <w:pStyle w:val="Paragraphe"/>
        <w:spacing w:line="240" w:lineRule="auto"/>
      </w:pPr>
      <w:r w:rsidRPr="009221E7">
        <w:t>Vu les faits admis par M. Roy, et considérant que ces admissions établissent à elles seules que les défendeurs ont accompli des actes qui relèvent du ressort exclusif de l’avocat en exercice au sens de l’article 128</w:t>
      </w:r>
      <w:r w:rsidR="008C7FE7">
        <w:t>.</w:t>
      </w:r>
      <w:r w:rsidRPr="009221E7">
        <w:t xml:space="preserve">1 de la </w:t>
      </w:r>
      <w:r w:rsidRPr="00B01C2A">
        <w:rPr>
          <w:i/>
          <w:iCs/>
        </w:rPr>
        <w:t>Loi sur le Barreau</w:t>
      </w:r>
      <w:r w:rsidRPr="009221E7">
        <w:t>, il est superflu de dresser une liste exhaustive de la preuve volumineuse administrée par le Barreau et par M. Roy lui-même démontrant le non-respect de cette disposition.</w:t>
      </w:r>
    </w:p>
    <w:p w14:paraId="1344AC98" w14:textId="77777777" w:rsidR="006558A4" w:rsidRDefault="00893AC8" w:rsidP="008A1100">
      <w:pPr>
        <w:pStyle w:val="Paragraphe"/>
        <w:spacing w:line="240" w:lineRule="auto"/>
      </w:pPr>
      <w:r>
        <w:t xml:space="preserve">Cela dit, </w:t>
      </w:r>
      <w:r w:rsidR="00C77F70">
        <w:t xml:space="preserve">le Tribunal </w:t>
      </w:r>
      <w:r w:rsidR="00F46DBC">
        <w:t>résum</w:t>
      </w:r>
      <w:r w:rsidR="008958B6">
        <w:t>era ci-dessous</w:t>
      </w:r>
      <w:r w:rsidR="00DF5D5E">
        <w:t xml:space="preserve"> une partie de la preuve administrée.</w:t>
      </w:r>
    </w:p>
    <w:p w14:paraId="4C9E109F" w14:textId="77777777" w:rsidR="008C492F" w:rsidRDefault="00893AC8" w:rsidP="008A1100">
      <w:pPr>
        <w:pStyle w:val="Paragraphe"/>
        <w:spacing w:line="240" w:lineRule="auto"/>
      </w:pPr>
      <w:r w:rsidRPr="008C492F">
        <w:t>Outre les aveux de M. Roy, la preuve administrée est abondante quant au non</w:t>
      </w:r>
      <w:r w:rsidR="008262B5">
        <w:noBreakHyphen/>
      </w:r>
      <w:r w:rsidRPr="008C492F">
        <w:t xml:space="preserve">respect par les défendeurs de l’article 128 de la </w:t>
      </w:r>
      <w:r w:rsidRPr="008C492F">
        <w:rPr>
          <w:i/>
          <w:iCs/>
        </w:rPr>
        <w:t>Loi sur le Barreau</w:t>
      </w:r>
      <w:r w:rsidRPr="008C492F">
        <w:t>. Le verdict de culpabilité prononcé le 20 juillet 201</w:t>
      </w:r>
      <w:r w:rsidR="00EC47E6">
        <w:t>8</w:t>
      </w:r>
      <w:r w:rsidRPr="008C492F">
        <w:t xml:space="preserve"> contre M. Roy et l’Unité, les Jugements Outrage n</w:t>
      </w:r>
      <w:r w:rsidRPr="008C7FE7">
        <w:rPr>
          <w:vertAlign w:val="superscript"/>
        </w:rPr>
        <w:t>o</w:t>
      </w:r>
      <w:r w:rsidR="008262B5">
        <w:t> </w:t>
      </w:r>
      <w:r w:rsidRPr="008C492F">
        <w:t>1 et n</w:t>
      </w:r>
      <w:r w:rsidRPr="008C7FE7">
        <w:rPr>
          <w:vertAlign w:val="superscript"/>
        </w:rPr>
        <w:t>o</w:t>
      </w:r>
      <w:r w:rsidRPr="008C492F">
        <w:t xml:space="preserve"> 2, ainsi que la preuve testimoniale, documentaire, vidéo et audio et les publications diffusées sur leur compte Facebook en font largement foi.</w:t>
      </w:r>
    </w:p>
    <w:p w14:paraId="66F06F96" w14:textId="77777777" w:rsidR="009B6C0B" w:rsidRDefault="00893AC8" w:rsidP="008A1100">
      <w:pPr>
        <w:pStyle w:val="Paragraphe"/>
        <w:spacing w:line="240" w:lineRule="auto"/>
      </w:pPr>
      <w:r>
        <w:t>Traitons d’abord de la force probante résultant des verdi</w:t>
      </w:r>
      <w:r w:rsidR="000A2592">
        <w:t>cts de culpabilité prononc</w:t>
      </w:r>
      <w:r w:rsidR="00CD0E50">
        <w:t>és</w:t>
      </w:r>
      <w:r w:rsidR="000A2592">
        <w:t xml:space="preserve"> contre M</w:t>
      </w:r>
      <w:r w:rsidR="00341FCA">
        <w:t>.</w:t>
      </w:r>
      <w:r w:rsidR="000A2592">
        <w:t xml:space="preserve"> Roy et l’</w:t>
      </w:r>
      <w:r w:rsidR="00341FCA">
        <w:t>U</w:t>
      </w:r>
      <w:r w:rsidR="000A2592">
        <w:t>nité le 20 juillet 201</w:t>
      </w:r>
      <w:r w:rsidR="00844A84">
        <w:t>8.</w:t>
      </w:r>
    </w:p>
    <w:p w14:paraId="30F5C6CD" w14:textId="77777777" w:rsidR="00590282" w:rsidRDefault="00893AC8" w:rsidP="008A1100">
      <w:pPr>
        <w:pStyle w:val="Paragraphe"/>
        <w:spacing w:line="240" w:lineRule="auto"/>
      </w:pPr>
      <w:r>
        <w:t xml:space="preserve">À la suite de son enquête menée par Me Hogue, le </w:t>
      </w:r>
      <w:r w:rsidR="008F214A">
        <w:t>18 juillet 2017</w:t>
      </w:r>
      <w:r w:rsidR="008C7FE7">
        <w:t>,</w:t>
      </w:r>
      <w:r w:rsidR="008F214A">
        <w:t xml:space="preserve"> </w:t>
      </w:r>
      <w:r>
        <w:t>le Barreau dé</w:t>
      </w:r>
      <w:r w:rsidR="00D328C2">
        <w:t>livre un constat d’infraction à M. Roy et l’U</w:t>
      </w:r>
      <w:r w:rsidR="0022291D">
        <w:t>n</w:t>
      </w:r>
      <w:r w:rsidR="00D328C2">
        <w:t>it</w:t>
      </w:r>
      <w:r w:rsidR="0022291D">
        <w:t xml:space="preserve">é leur </w:t>
      </w:r>
      <w:r w:rsidR="00EE450D">
        <w:t>reprochant</w:t>
      </w:r>
      <w:r w:rsidR="0022291D">
        <w:t xml:space="preserve"> d’avoir illégalement </w:t>
      </w:r>
      <w:r w:rsidR="00EE450D">
        <w:t>exercé la profession d’avocat</w:t>
      </w:r>
      <w:r>
        <w:rPr>
          <w:rStyle w:val="Appelnotedebasdep"/>
        </w:rPr>
        <w:footnoteReference w:id="33"/>
      </w:r>
      <w:r w:rsidR="00EE450D">
        <w:t>.</w:t>
      </w:r>
      <w:r>
        <w:t xml:space="preserve"> </w:t>
      </w:r>
    </w:p>
    <w:p w14:paraId="5FD8833B" w14:textId="77777777" w:rsidR="00FD6092" w:rsidRDefault="00893AC8" w:rsidP="008A1100">
      <w:pPr>
        <w:pStyle w:val="Paragraphe"/>
        <w:spacing w:line="240" w:lineRule="auto"/>
      </w:pPr>
      <w:r>
        <w:lastRenderedPageBreak/>
        <w:t>L</w:t>
      </w:r>
      <w:r w:rsidRPr="00767F27">
        <w:t>e 20 juillet 2018</w:t>
      </w:r>
      <w:r>
        <w:t>, a</w:t>
      </w:r>
      <w:r w:rsidR="00707ACA">
        <w:t xml:space="preserve">u terme d’un procès </w:t>
      </w:r>
      <w:r>
        <w:t>de</w:t>
      </w:r>
      <w:r w:rsidR="00707ACA">
        <w:t xml:space="preserve"> deux jours, </w:t>
      </w:r>
      <w:r w:rsidR="00767F27" w:rsidRPr="00767F27">
        <w:t xml:space="preserve">la Cour du Québec (le juge Gilles Lafrenière) condamne </w:t>
      </w:r>
      <w:r w:rsidR="00D65996">
        <w:t xml:space="preserve">les défendeurs </w:t>
      </w:r>
      <w:r w:rsidR="00767F27" w:rsidRPr="00767F27">
        <w:t xml:space="preserve">d’avoir illégalement exercé la profession d’avocat sans être inscrits au </w:t>
      </w:r>
      <w:r w:rsidR="00767F27" w:rsidRPr="008C7FE7">
        <w:t>Tableau de l’</w:t>
      </w:r>
      <w:r w:rsidR="008C7FE7">
        <w:t>O</w:t>
      </w:r>
      <w:r w:rsidR="00767F27" w:rsidRPr="008C7FE7">
        <w:t>rdre des avocats</w:t>
      </w:r>
      <w:r w:rsidR="00767F27" w:rsidRPr="00767F27">
        <w:t xml:space="preserve">, en contravention aux articles 133c), 128a) et b), 137 et 132 de la </w:t>
      </w:r>
      <w:r w:rsidR="00767F27" w:rsidRPr="0084386C">
        <w:rPr>
          <w:i/>
          <w:iCs/>
        </w:rPr>
        <w:t>Loi sur le Barreau</w:t>
      </w:r>
      <w:r>
        <w:rPr>
          <w:vertAlign w:val="superscript"/>
        </w:rPr>
        <w:footnoteReference w:id="34"/>
      </w:r>
      <w:r w:rsidR="007A740E">
        <w:t>.</w:t>
      </w:r>
    </w:p>
    <w:p w14:paraId="102F69B2" w14:textId="77777777" w:rsidR="00D7433F" w:rsidRDefault="00893AC8" w:rsidP="008A1100">
      <w:pPr>
        <w:pStyle w:val="Paragraphe"/>
        <w:spacing w:line="240" w:lineRule="auto"/>
        <w:rPr>
          <w:lang w:eastAsia="fr-CA"/>
        </w:rPr>
      </w:pPr>
      <w:r>
        <w:t>L’Unité citoyenne est reconnue coupable par la Cour du Québec d</w:t>
      </w:r>
      <w:r w:rsidR="00B8683F">
        <w:t>u chef suivant</w:t>
      </w:r>
      <w:r>
        <w:t> :</w:t>
      </w:r>
    </w:p>
    <w:p w14:paraId="05F67D6D" w14:textId="77777777" w:rsidR="00D7433F" w:rsidRDefault="00893AC8" w:rsidP="008A1100">
      <w:pPr>
        <w:pStyle w:val="Citationenretrait"/>
      </w:pPr>
      <w:r>
        <w:t>Chef 1 :  À Drummondville, district de Drummond, entre le 14 novembre 2016 et le 1</w:t>
      </w:r>
      <w:r>
        <w:rPr>
          <w:vertAlign w:val="superscript"/>
        </w:rPr>
        <w:t>er</w:t>
      </w:r>
      <w:r>
        <w:t> mars 2017, a exercé illégalement la profession d’avocat sans être inscrit au </w:t>
      </w:r>
      <w:r>
        <w:rPr>
          <w:i/>
          <w:iCs/>
        </w:rPr>
        <w:t>Tableau de l’Ordre des avocats</w:t>
      </w:r>
      <w:r>
        <w:t>, en agissant de manière à donner lieu de croire qu’il était autorisé à remplir les fonctions d’avocat ou à en faire les actes, en contravention aux </w:t>
      </w:r>
      <w:r w:rsidRPr="00023B78">
        <w:t>articles 133</w:t>
      </w:r>
      <w:r>
        <w:t> c), </w:t>
      </w:r>
      <w:r w:rsidRPr="00023B78">
        <w:rPr>
          <w:rFonts w:cs="Arial"/>
          <w:szCs w:val="22"/>
        </w:rPr>
        <w:t>128</w:t>
      </w:r>
      <w:r>
        <w:t> a) et b), </w:t>
      </w:r>
      <w:r w:rsidRPr="00023B78">
        <w:rPr>
          <w:rFonts w:cs="Arial"/>
          <w:szCs w:val="22"/>
        </w:rPr>
        <w:t>137</w:t>
      </w:r>
      <w:r>
        <w:t> et</w:t>
      </w:r>
      <w:r w:rsidRPr="00023B78">
        <w:rPr>
          <w:rFonts w:cs="Arial"/>
          <w:szCs w:val="22"/>
        </w:rPr>
        <w:t> 132</w:t>
      </w:r>
      <w:r>
        <w:t> de la </w:t>
      </w:r>
      <w:r w:rsidRPr="00023B78">
        <w:rPr>
          <w:rFonts w:cs="Arial"/>
          <w:i/>
          <w:iCs/>
          <w:szCs w:val="22"/>
        </w:rPr>
        <w:t>Loi sur le Barreau</w:t>
      </w:r>
      <w:r>
        <w:t>, RLRQ C. B-1, le rendant passible de la peine prévue à l’</w:t>
      </w:r>
      <w:r w:rsidRPr="00023B78">
        <w:rPr>
          <w:rFonts w:cs="Arial"/>
          <w:szCs w:val="22"/>
        </w:rPr>
        <w:t>article 188</w:t>
      </w:r>
      <w:r>
        <w:t> du </w:t>
      </w:r>
      <w:r w:rsidRPr="00023B78">
        <w:rPr>
          <w:rFonts w:cs="Arial"/>
          <w:i/>
          <w:iCs/>
          <w:szCs w:val="22"/>
        </w:rPr>
        <w:t>Code des professions</w:t>
      </w:r>
      <w:r>
        <w:t>, RLRQ, c. C-26.</w:t>
      </w:r>
    </w:p>
    <w:p w14:paraId="5C367512" w14:textId="77777777" w:rsidR="00D7433F" w:rsidRDefault="00893AC8" w:rsidP="008A1100">
      <w:pPr>
        <w:pStyle w:val="paragraphe0"/>
        <w:spacing w:before="120" w:beforeAutospacing="0" w:after="120" w:afterAutospacing="0"/>
        <w:jc w:val="both"/>
        <w:rPr>
          <w:rFonts w:ascii="Arial" w:hAnsi="Arial" w:cs="Arial"/>
          <w:color w:val="000000"/>
        </w:rPr>
      </w:pPr>
      <w:r>
        <w:rPr>
          <w:rFonts w:ascii="Arial" w:hAnsi="Arial" w:cs="Arial"/>
          <w:color w:val="000000"/>
        </w:rPr>
        <w:t>[</w:t>
      </w:r>
      <w:bookmarkStart w:id="23" w:name="par4"/>
      <w:r>
        <w:rPr>
          <w:rFonts w:ascii="Arial" w:hAnsi="Arial" w:cs="Arial"/>
          <w:color w:val="000000"/>
        </w:rPr>
        <w:t>4</w:t>
      </w:r>
      <w:bookmarkEnd w:id="23"/>
      <w:r>
        <w:rPr>
          <w:rFonts w:ascii="Arial" w:hAnsi="Arial" w:cs="Arial"/>
          <w:color w:val="000000"/>
        </w:rPr>
        <w:t>]</w:t>
      </w:r>
      <w:r>
        <w:rPr>
          <w:color w:val="000000"/>
          <w:sz w:val="14"/>
          <w:szCs w:val="14"/>
        </w:rPr>
        <w:t>         </w:t>
      </w:r>
      <w:r>
        <w:rPr>
          <w:rFonts w:ascii="Arial" w:hAnsi="Arial" w:cs="Arial"/>
          <w:color w:val="000000"/>
        </w:rPr>
        <w:t>Mario Roy est reconnu coupable des chefs suivants :</w:t>
      </w:r>
    </w:p>
    <w:p w14:paraId="30360F67" w14:textId="77777777" w:rsidR="00D7433F" w:rsidRDefault="00893AC8" w:rsidP="008A1100">
      <w:pPr>
        <w:pStyle w:val="Citationenretrait"/>
      </w:pPr>
      <w:r>
        <w:t>Chef 2 :  À Drummondville, district de Drummond, entre le 14 novembre 2016 et le 1</w:t>
      </w:r>
      <w:r>
        <w:rPr>
          <w:vertAlign w:val="superscript"/>
        </w:rPr>
        <w:t>er </w:t>
      </w:r>
      <w:r>
        <w:t>mars 2017, a exercé illégalement la profession d’avocat sans être inscrit au Tableau de l’Ordre des avocats, en agissant de manière à donner lieu de croire qu’il était autorisé à remplir les fonctions d’avocat ou à en faire les actes, en contravention aux </w:t>
      </w:r>
      <w:r w:rsidRPr="00EE6CA8">
        <w:rPr>
          <w:rStyle w:val="Hyperlien"/>
          <w:rFonts w:cs="Arial"/>
          <w:color w:val="auto"/>
          <w:szCs w:val="22"/>
          <w:u w:val="none"/>
        </w:rPr>
        <w:t>articles 133</w:t>
      </w:r>
      <w:r>
        <w:t> c), </w:t>
      </w:r>
      <w:r w:rsidRPr="00EE6CA8">
        <w:rPr>
          <w:rStyle w:val="Hyperlien"/>
          <w:rFonts w:cs="Arial"/>
          <w:color w:val="auto"/>
          <w:szCs w:val="22"/>
          <w:u w:val="none"/>
        </w:rPr>
        <w:t>128</w:t>
      </w:r>
      <w:r>
        <w:t> a) et b), </w:t>
      </w:r>
      <w:r w:rsidRPr="00EE6CA8">
        <w:rPr>
          <w:rStyle w:val="Hyperlien"/>
          <w:rFonts w:cs="Arial"/>
          <w:color w:val="auto"/>
          <w:szCs w:val="22"/>
          <w:u w:val="none"/>
        </w:rPr>
        <w:t>137</w:t>
      </w:r>
      <w:r>
        <w:t> et</w:t>
      </w:r>
      <w:r w:rsidRPr="00EE6CA8">
        <w:rPr>
          <w:rStyle w:val="Hyperlien"/>
          <w:rFonts w:cs="Arial"/>
          <w:color w:val="auto"/>
          <w:szCs w:val="22"/>
          <w:u w:val="none"/>
        </w:rPr>
        <w:t> 132</w:t>
      </w:r>
      <w:r w:rsidRPr="00EE6CA8">
        <w:t> </w:t>
      </w:r>
      <w:r>
        <w:t>de la </w:t>
      </w:r>
      <w:r w:rsidRPr="00023B78">
        <w:rPr>
          <w:rFonts w:cs="Arial"/>
          <w:i/>
          <w:iCs/>
          <w:szCs w:val="22"/>
        </w:rPr>
        <w:t>Loi sur le Barreau</w:t>
      </w:r>
      <w:r>
        <w:t>, RLRQ, c. B-1, le rendant passible de la peine prévue à l’</w:t>
      </w:r>
      <w:r w:rsidRPr="00023B78">
        <w:rPr>
          <w:rFonts w:cs="Arial"/>
          <w:szCs w:val="22"/>
        </w:rPr>
        <w:t>article 188</w:t>
      </w:r>
      <w:r>
        <w:t> du </w:t>
      </w:r>
      <w:r w:rsidRPr="00023B78">
        <w:rPr>
          <w:rFonts w:cs="Arial"/>
          <w:i/>
          <w:iCs/>
          <w:szCs w:val="22"/>
        </w:rPr>
        <w:t>Code des professions</w:t>
      </w:r>
      <w:r>
        <w:t>, RLRQ, c. C-26.</w:t>
      </w:r>
    </w:p>
    <w:p w14:paraId="24F9B06C" w14:textId="77777777" w:rsidR="00D7433F" w:rsidRDefault="00893AC8" w:rsidP="008A1100">
      <w:pPr>
        <w:pStyle w:val="Citationenretrait"/>
      </w:pPr>
      <w:r>
        <w:t xml:space="preserve">Chef 3 :  À Drummondville, district de Drummond, le ou vers le 14 novembre 2016, a exercé illégalement la profession d’avocat sans être inscrit au Tableau de l’Ordre des avocats, en préparant et rédigeant une Demande en révision dans le dossier portant le numéro </w:t>
      </w:r>
      <w:bookmarkStart w:id="24" w:name="_Hlk209091850"/>
      <w:r w:rsidR="009E434C">
        <w:t>405-41-</w:t>
      </w:r>
      <w:r w:rsidR="000D5803">
        <w:t>002401-136</w:t>
      </w:r>
      <w:bookmarkEnd w:id="24"/>
      <w:r>
        <w:t>, en contravention aux </w:t>
      </w:r>
      <w:r w:rsidRPr="00023B78">
        <w:rPr>
          <w:rFonts w:cs="Arial"/>
          <w:szCs w:val="22"/>
        </w:rPr>
        <w:t>articles 128</w:t>
      </w:r>
      <w:r>
        <w:t> b),</w:t>
      </w:r>
      <w:r w:rsidRPr="00023B78">
        <w:rPr>
          <w:rFonts w:cs="Arial"/>
          <w:szCs w:val="22"/>
        </w:rPr>
        <w:t> 132</w:t>
      </w:r>
      <w:r>
        <w:t> de la </w:t>
      </w:r>
      <w:r w:rsidRPr="00023B78">
        <w:rPr>
          <w:rFonts w:cs="Arial"/>
          <w:i/>
          <w:iCs/>
          <w:szCs w:val="22"/>
        </w:rPr>
        <w:t>Loi sur le Barreau</w:t>
      </w:r>
      <w:r>
        <w:t>, RLRQ, c. B-1, le rendant passible de la peine prévue à l’</w:t>
      </w:r>
      <w:r w:rsidRPr="00023B78">
        <w:rPr>
          <w:rFonts w:cs="Arial"/>
          <w:szCs w:val="22"/>
        </w:rPr>
        <w:t>article 188</w:t>
      </w:r>
      <w:r>
        <w:t> du </w:t>
      </w:r>
      <w:r w:rsidRPr="00023B78">
        <w:rPr>
          <w:rFonts w:cs="Arial"/>
          <w:i/>
          <w:iCs/>
          <w:szCs w:val="22"/>
        </w:rPr>
        <w:t>Code des professions</w:t>
      </w:r>
      <w:r>
        <w:t>, RLRQ, c. C-26.</w:t>
      </w:r>
    </w:p>
    <w:p w14:paraId="19F1D616" w14:textId="77777777" w:rsidR="00D7433F" w:rsidRDefault="00893AC8" w:rsidP="008A1100">
      <w:pPr>
        <w:pStyle w:val="Citationenretrait"/>
      </w:pPr>
      <w:r>
        <w:t>Chef 4 :  À Drummondville, district de Drummond, le ou vers le 12 novembre 2016, a exercé illégalement la profession d’avocat sans être inscrit au Tableau de l’Ordre des avocats, en agissant de manière à donner lieu de croire qu’il était autorisé à remplir les fonctions d’avocat ou à en faire les actes, en informant Mme Cindy Boucher lors d’un message laissé sur sa boite vocale téléphonique, qu’il ne contesterait pas sa Requête en révision et qu’il ferait une « reconventionnelle » et ce pour autrui, en contravention aux </w:t>
      </w:r>
      <w:r w:rsidRPr="00023B78">
        <w:rPr>
          <w:rFonts w:cs="Arial"/>
          <w:szCs w:val="22"/>
        </w:rPr>
        <w:t>articles 133</w:t>
      </w:r>
      <w:r>
        <w:t> c), </w:t>
      </w:r>
      <w:r w:rsidRPr="00023B78">
        <w:rPr>
          <w:rFonts w:cs="Arial"/>
          <w:szCs w:val="22"/>
        </w:rPr>
        <w:t>137</w:t>
      </w:r>
      <w:r>
        <w:t> et</w:t>
      </w:r>
      <w:r w:rsidRPr="00023B78">
        <w:rPr>
          <w:rFonts w:cs="Arial"/>
          <w:szCs w:val="22"/>
        </w:rPr>
        <w:t> 132</w:t>
      </w:r>
      <w:r>
        <w:t> de la </w:t>
      </w:r>
      <w:r w:rsidRPr="00023B78">
        <w:rPr>
          <w:rFonts w:cs="Arial"/>
          <w:i/>
          <w:iCs/>
          <w:szCs w:val="22"/>
        </w:rPr>
        <w:t>Loi sur le Barreau</w:t>
      </w:r>
      <w:r>
        <w:t>, RLRQ, c. B-1, le rendant passible de la peine prévue à l’</w:t>
      </w:r>
      <w:r w:rsidRPr="00023B78">
        <w:rPr>
          <w:rFonts w:cs="Arial"/>
          <w:szCs w:val="22"/>
        </w:rPr>
        <w:t>article 188</w:t>
      </w:r>
      <w:r>
        <w:t> du </w:t>
      </w:r>
      <w:r w:rsidRPr="00023B78">
        <w:rPr>
          <w:rFonts w:cs="Arial"/>
          <w:i/>
          <w:iCs/>
          <w:szCs w:val="22"/>
        </w:rPr>
        <w:t>Code des professions</w:t>
      </w:r>
      <w:r>
        <w:t>, RLRQ, c. C-26.</w:t>
      </w:r>
    </w:p>
    <w:p w14:paraId="6DAEBBF8" w14:textId="77777777" w:rsidR="00720573" w:rsidRDefault="00893AC8">
      <w:pPr>
        <w:rPr>
          <w:kern w:val="28"/>
        </w:rPr>
      </w:pPr>
      <w:r>
        <w:br w:type="page"/>
      </w:r>
    </w:p>
    <w:p w14:paraId="636DF8DA" w14:textId="77777777" w:rsidR="000E4560" w:rsidRDefault="00893AC8" w:rsidP="008A1100">
      <w:pPr>
        <w:pStyle w:val="Paragraphe"/>
        <w:spacing w:line="240" w:lineRule="auto"/>
      </w:pPr>
      <w:r>
        <w:lastRenderedPageBreak/>
        <w:t xml:space="preserve">Il </w:t>
      </w:r>
      <w:r w:rsidRPr="000E4560">
        <w:t>convient de noter que l’ensemble des gestes pour lesquels M. Roy et l’Unité ont été déclarés coupables par la Cour du Québec servent également d’assise factuelle à la demande du Barreau visant l’émission d’une injonction permanente contre les défendeurs, demande sur laquelle statue le présent jugement.</w:t>
      </w:r>
    </w:p>
    <w:p w14:paraId="0CF0A26F" w14:textId="77777777" w:rsidR="00A47A8A" w:rsidRDefault="00893AC8" w:rsidP="008A1100">
      <w:pPr>
        <w:pStyle w:val="Paragraphe"/>
        <w:spacing w:line="240" w:lineRule="auto"/>
      </w:pPr>
      <w:r>
        <w:t>Le</w:t>
      </w:r>
      <w:r w:rsidR="003B061D">
        <w:t xml:space="preserve"> chef 3 réfère à la </w:t>
      </w:r>
      <w:r w:rsidR="005200AA">
        <w:t>préparation</w:t>
      </w:r>
      <w:r w:rsidR="003B061D">
        <w:t xml:space="preserve"> </w:t>
      </w:r>
      <w:r w:rsidR="005200AA">
        <w:t xml:space="preserve">et la rédaction par M. Roy de la requête déposé par les parents </w:t>
      </w:r>
      <w:r w:rsidR="00C46329">
        <w:t xml:space="preserve">devant la Cour du Québec, Chambre de la jeunesse, </w:t>
      </w:r>
      <w:r w:rsidR="00C47C2E">
        <w:t xml:space="preserve">dans le dossier </w:t>
      </w:r>
      <w:r w:rsidR="00C47C2E" w:rsidRPr="00C47C2E">
        <w:t>405</w:t>
      </w:r>
      <w:r w:rsidR="008C7FE7">
        <w:noBreakHyphen/>
      </w:r>
      <w:r w:rsidR="00C47C2E" w:rsidRPr="00C47C2E">
        <w:t>41-002401-136</w:t>
      </w:r>
      <w:r w:rsidR="00C47C2E">
        <w:t xml:space="preserve"> </w:t>
      </w:r>
      <w:r w:rsidR="00C46329">
        <w:t>dont l’</w:t>
      </w:r>
      <w:r>
        <w:t>audition</w:t>
      </w:r>
      <w:r w:rsidR="00C46329">
        <w:t xml:space="preserve"> a lieu le 16 novembre 2016</w:t>
      </w:r>
      <w:r>
        <w:t>, faits qui sont résumé</w:t>
      </w:r>
      <w:r w:rsidR="00C47C2E">
        <w:t>s</w:t>
      </w:r>
      <w:r>
        <w:t xml:space="preserve"> par le Tribunal </w:t>
      </w:r>
      <w:r w:rsidR="002A06EE">
        <w:t>ci-dessus</w:t>
      </w:r>
      <w:r>
        <w:t>.</w:t>
      </w:r>
    </w:p>
    <w:p w14:paraId="06942AA2" w14:textId="77777777" w:rsidR="00590282" w:rsidRDefault="00893AC8" w:rsidP="008A1100">
      <w:pPr>
        <w:pStyle w:val="Paragraphe"/>
        <w:spacing w:line="240" w:lineRule="auto"/>
      </w:pPr>
      <w:r>
        <w:t xml:space="preserve">De </w:t>
      </w:r>
      <w:r w:rsidR="009F62E5">
        <w:t>même,</w:t>
      </w:r>
      <w:r w:rsidR="00B62818">
        <w:t xml:space="preserve"> l</w:t>
      </w:r>
      <w:r>
        <w:t>e</w:t>
      </w:r>
      <w:r w:rsidR="00E74CBF">
        <w:t>s</w:t>
      </w:r>
      <w:r>
        <w:t xml:space="preserve"> chef </w:t>
      </w:r>
      <w:r w:rsidR="00E74CBF">
        <w:t xml:space="preserve">1 et </w:t>
      </w:r>
      <w:r w:rsidR="00B62818">
        <w:t>2 porte</w:t>
      </w:r>
      <w:r w:rsidR="004F39F4">
        <w:t>nt</w:t>
      </w:r>
      <w:r w:rsidR="00B62818">
        <w:t xml:space="preserve"> sur </w:t>
      </w:r>
      <w:r w:rsidR="00640875">
        <w:t>un</w:t>
      </w:r>
      <w:r w:rsidR="003956E2">
        <w:t>e publication</w:t>
      </w:r>
      <w:r w:rsidR="00196833">
        <w:t xml:space="preserve"> </w:t>
      </w:r>
      <w:r w:rsidR="00FC7F07">
        <w:t>p</w:t>
      </w:r>
      <w:r w:rsidR="0047001B">
        <w:t>ar</w:t>
      </w:r>
      <w:r w:rsidR="00196833">
        <w:t xml:space="preserve"> l’Unité (alors le Centre)</w:t>
      </w:r>
      <w:r w:rsidR="00640875">
        <w:t xml:space="preserve"> </w:t>
      </w:r>
      <w:r w:rsidR="00196833">
        <w:t>sur sa page Facebook le 18 novembre 2016</w:t>
      </w:r>
      <w:r>
        <w:rPr>
          <w:rStyle w:val="Appelnotedebasdep"/>
        </w:rPr>
        <w:footnoteReference w:id="35"/>
      </w:r>
      <w:r w:rsidR="00AD6681">
        <w:t xml:space="preserve">, une mise en demeure datée du </w:t>
      </w:r>
      <w:r w:rsidR="00D33B00">
        <w:t xml:space="preserve">23 février 2017 </w:t>
      </w:r>
      <w:r w:rsidR="00AD6681">
        <w:t>tra</w:t>
      </w:r>
      <w:r w:rsidR="00D33B00">
        <w:t>n</w:t>
      </w:r>
      <w:r w:rsidR="00AD6681">
        <w:t xml:space="preserve">smise </w:t>
      </w:r>
      <w:r w:rsidR="00D33B00">
        <w:t>par l’Unité (alors le Centre) à la Directrice de la protection de la jeunesse</w:t>
      </w:r>
      <w:r w:rsidR="00815136">
        <w:t xml:space="preserve"> de la Mauricie et du Centre</w:t>
      </w:r>
      <w:r w:rsidR="004814AF">
        <w:t>-</w:t>
      </w:r>
      <w:r w:rsidR="00815136">
        <w:t>du</w:t>
      </w:r>
      <w:r w:rsidR="004814AF">
        <w:t>-</w:t>
      </w:r>
      <w:r w:rsidR="00815136">
        <w:t>Québec</w:t>
      </w:r>
      <w:r>
        <w:rPr>
          <w:rStyle w:val="Appelnotedebasdep"/>
        </w:rPr>
        <w:footnoteReference w:id="36"/>
      </w:r>
      <w:r w:rsidR="00196833">
        <w:t xml:space="preserve"> et </w:t>
      </w:r>
      <w:r w:rsidR="00EA607E">
        <w:t>une vidéo mise</w:t>
      </w:r>
      <w:r w:rsidR="00640875">
        <w:t xml:space="preserve"> en ligne par l’Unité </w:t>
      </w:r>
      <w:r w:rsidR="009F62E5">
        <w:t xml:space="preserve">le </w:t>
      </w:r>
      <w:r w:rsidR="00414650">
        <w:t xml:space="preserve">22 novembre 2017 sur </w:t>
      </w:r>
      <w:r w:rsidR="008262B5">
        <w:t>YouTube</w:t>
      </w:r>
      <w:r>
        <w:rPr>
          <w:rStyle w:val="Appelnotedebasdep"/>
        </w:rPr>
        <w:footnoteReference w:id="37"/>
      </w:r>
      <w:r w:rsidR="00441EE6">
        <w:t>.</w:t>
      </w:r>
    </w:p>
    <w:p w14:paraId="7D344611" w14:textId="77777777" w:rsidR="009F62E5" w:rsidRDefault="00893AC8" w:rsidP="008A1100">
      <w:pPr>
        <w:pStyle w:val="Paragraphe"/>
        <w:spacing w:line="240" w:lineRule="auto"/>
      </w:pPr>
      <w:r>
        <w:t>Enfin, le chef 4</w:t>
      </w:r>
      <w:r w:rsidR="000954D7">
        <w:t xml:space="preserve"> </w:t>
      </w:r>
      <w:r w:rsidR="00836E8C">
        <w:t>porte</w:t>
      </w:r>
      <w:r w:rsidR="000954D7">
        <w:t xml:space="preserve"> sur un</w:t>
      </w:r>
      <w:r w:rsidR="00563A57">
        <w:t xml:space="preserve"> message téléphonique laissé par M. Roy le 12 novembre 2016 </w:t>
      </w:r>
      <w:r w:rsidR="00167C71">
        <w:t>à Mme Cindy Boucher</w:t>
      </w:r>
      <w:r w:rsidR="00615C30">
        <w:t>, représentante de la Directrice de la protection de la jeunesse dans un dossier pendant devant la Cour du Québec, Chambre de la jeunesse</w:t>
      </w:r>
      <w:r w:rsidR="00BD7211">
        <w:t xml:space="preserve"> dans lequel </w:t>
      </w:r>
      <w:r w:rsidR="00BD7211" w:rsidRPr="00BD7211">
        <w:t xml:space="preserve">il </w:t>
      </w:r>
      <w:r w:rsidR="00BD7211">
        <w:t>l’</w:t>
      </w:r>
      <w:r w:rsidR="00BD7211" w:rsidRPr="00BD7211">
        <w:t xml:space="preserve">informe qu’il ne contestera pas la </w:t>
      </w:r>
      <w:r w:rsidR="00BD7211">
        <w:t>requête</w:t>
      </w:r>
      <w:r w:rsidR="003F6E1F">
        <w:t xml:space="preserve"> en révision</w:t>
      </w:r>
      <w:r w:rsidR="00BD7211" w:rsidRPr="00BD7211">
        <w:t xml:space="preserve"> d</w:t>
      </w:r>
      <w:r w:rsidR="003F6E1F">
        <w:t>e la Directrice</w:t>
      </w:r>
      <w:r w:rsidR="00BD7211" w:rsidRPr="00BD7211">
        <w:t>, mais qu’il présentera plutôt une « demande reconventionnelle »</w:t>
      </w:r>
      <w:r w:rsidR="00056135">
        <w:t xml:space="preserve"> et demandera possiblement son arrestation</w:t>
      </w:r>
      <w:r>
        <w:rPr>
          <w:rStyle w:val="Appelnotedebasdep"/>
        </w:rPr>
        <w:footnoteReference w:id="38"/>
      </w:r>
      <w:r w:rsidR="009E5CD4">
        <w:t>.</w:t>
      </w:r>
    </w:p>
    <w:p w14:paraId="5970E360" w14:textId="77777777" w:rsidR="009E5CD4" w:rsidRDefault="00893AC8" w:rsidP="008A1100">
      <w:pPr>
        <w:pStyle w:val="Paragraphe"/>
        <w:spacing w:line="240" w:lineRule="auto"/>
      </w:pPr>
      <w:r>
        <w:t xml:space="preserve">Le </w:t>
      </w:r>
      <w:r w:rsidR="00C905E8">
        <w:t xml:space="preserve">verdict de culpabilité </w:t>
      </w:r>
      <w:r>
        <w:t>de la Cour du Québec</w:t>
      </w:r>
      <w:r w:rsidR="00C905E8">
        <w:t xml:space="preserve"> (</w:t>
      </w:r>
      <w:r w:rsidR="00C905E8" w:rsidRPr="00C905E8">
        <w:t>juge Lafrenière</w:t>
      </w:r>
      <w:r w:rsidR="00C905E8">
        <w:t xml:space="preserve">) à l’égard de ces chefs </w:t>
      </w:r>
      <w:r w:rsidR="00AD4D48">
        <w:t xml:space="preserve">bénéficie d’une </w:t>
      </w:r>
      <w:r w:rsidR="00FA7185">
        <w:t xml:space="preserve">présomption </w:t>
      </w:r>
      <w:r w:rsidR="00992BA7">
        <w:t>simple de vérité</w:t>
      </w:r>
      <w:r w:rsidR="00BD0CDA">
        <w:t>,</w:t>
      </w:r>
      <w:r w:rsidR="00BD0CDA" w:rsidRPr="00BD0CDA">
        <w:rPr>
          <w:rFonts w:cs="Arial"/>
          <w:color w:val="000000"/>
          <w:szCs w:val="24"/>
          <w:lang w:eastAsia="fr-CA"/>
        </w:rPr>
        <w:t xml:space="preserve"> </w:t>
      </w:r>
      <w:r w:rsidR="00BD0CDA" w:rsidRPr="00BD0CDA">
        <w:t>de véracité ou encore d’exactitude</w:t>
      </w:r>
      <w:r>
        <w:rPr>
          <w:rStyle w:val="Appelnotedebasdep"/>
        </w:rPr>
        <w:footnoteReference w:id="39"/>
      </w:r>
      <w:r w:rsidR="00992BA7">
        <w:t>.</w:t>
      </w:r>
    </w:p>
    <w:p w14:paraId="5ACFB49D" w14:textId="77777777" w:rsidR="00992BA7" w:rsidRDefault="00893AC8" w:rsidP="008A1100">
      <w:pPr>
        <w:pStyle w:val="Paragraphe"/>
        <w:spacing w:line="240" w:lineRule="auto"/>
      </w:pPr>
      <w:r w:rsidRPr="00836E8C">
        <w:t>S'agissant d'un jugement pénal</w:t>
      </w:r>
      <w:r w:rsidR="00256B34" w:rsidRPr="00836E8C">
        <w:t>, le Tribunal attache une force probante élevée</w:t>
      </w:r>
      <w:r w:rsidR="00C97F32" w:rsidRPr="00836E8C">
        <w:rPr>
          <w:rFonts w:cs="Arial"/>
          <w:color w:val="000000"/>
          <w:kern w:val="0"/>
        </w:rPr>
        <w:t xml:space="preserve"> </w:t>
      </w:r>
      <w:r w:rsidR="00C97F32" w:rsidRPr="00836E8C">
        <w:t>aux constats de fait établi</w:t>
      </w:r>
      <w:r w:rsidR="004814AF">
        <w:t>s</w:t>
      </w:r>
      <w:r w:rsidR="00C97F32" w:rsidRPr="00836E8C">
        <w:t xml:space="preserve"> dans le jugement de la Cour du Québec</w:t>
      </w:r>
      <w:r>
        <w:rPr>
          <w:rStyle w:val="Appelnotedebasdep"/>
        </w:rPr>
        <w:footnoteReference w:id="40"/>
      </w:r>
      <w:r w:rsidR="00677164">
        <w:t>.</w:t>
      </w:r>
    </w:p>
    <w:p w14:paraId="6D50C399" w14:textId="77777777" w:rsidR="004E4855" w:rsidRDefault="00893AC8" w:rsidP="008A1100">
      <w:pPr>
        <w:pStyle w:val="Paragraphe"/>
        <w:spacing w:line="240" w:lineRule="auto"/>
      </w:pPr>
      <w:r w:rsidRPr="004E4855">
        <w:lastRenderedPageBreak/>
        <w:t>La preuve administrée par M. Roy ne permet pas au Tribunal de re</w:t>
      </w:r>
      <w:r>
        <w:t>futer</w:t>
      </w:r>
      <w:r w:rsidRPr="004E4855">
        <w:t xml:space="preserve"> la présomption de vérité ni d’écarter les constats de fait retenus par la Cour du Québec dans le jugement du 20 juillet 2018. Bien qu’il ait présenté une preuve, celle-ci demeure insuffisante pour remettre en cause ces constats. De plus, M. Roy a lui-même admis plusieurs des faits qui sous-tendent les chefs d’accusation.</w:t>
      </w:r>
    </w:p>
    <w:p w14:paraId="4E6CB93F" w14:textId="77777777" w:rsidR="00BC3429" w:rsidRDefault="00893AC8" w:rsidP="008A1100">
      <w:pPr>
        <w:pStyle w:val="Paragraphe"/>
        <w:spacing w:line="240" w:lineRule="auto"/>
      </w:pPr>
      <w:r>
        <w:t>Il faut souligner qu</w:t>
      </w:r>
      <w:r w:rsidR="00C30A92">
        <w:t xml:space="preserve">e </w:t>
      </w:r>
      <w:r w:rsidR="000C6FF9">
        <w:t>1</w:t>
      </w:r>
      <w:r w:rsidR="000C6FF9" w:rsidRPr="000C6FF9">
        <w:t xml:space="preserve">7 septembre 2018, </w:t>
      </w:r>
      <w:r w:rsidR="000C6FF9">
        <w:t xml:space="preserve">M. Roy et l’Unité </w:t>
      </w:r>
      <w:r w:rsidR="000C6FF9" w:rsidRPr="000C6FF9">
        <w:t>se pourvoient en appel d</w:t>
      </w:r>
      <w:r w:rsidR="0012583C">
        <w:t>u verdict de</w:t>
      </w:r>
      <w:r w:rsidR="000C6FF9" w:rsidRPr="000C6FF9">
        <w:t xml:space="preserve"> leur culpabilité</w:t>
      </w:r>
      <w:r w:rsidR="000F1373">
        <w:t>.</w:t>
      </w:r>
    </w:p>
    <w:p w14:paraId="3C0B78AF" w14:textId="77777777" w:rsidR="00C30A92" w:rsidRDefault="00893AC8" w:rsidP="008A1100">
      <w:pPr>
        <w:pStyle w:val="Paragraphe"/>
        <w:spacing w:line="240" w:lineRule="auto"/>
      </w:pPr>
      <w:r>
        <w:t xml:space="preserve">Le 28 janvier 2019, la Cour supérieure </w:t>
      </w:r>
      <w:r w:rsidR="00BC3429">
        <w:t>accueille la requête en rejet sommaire</w:t>
      </w:r>
      <w:r w:rsidR="00590282">
        <w:t xml:space="preserve"> de l’appel de </w:t>
      </w:r>
      <w:r w:rsidR="00590282" w:rsidRPr="00590282">
        <w:t>M. Roy et l’Unité</w:t>
      </w:r>
      <w:r w:rsidR="003C5991">
        <w:t xml:space="preserve"> au motif que les moyens d’appel sont manifestement sans fondement</w:t>
      </w:r>
      <w:r w:rsidR="001456A7">
        <w:t xml:space="preserve"> et rejette </w:t>
      </w:r>
      <w:r w:rsidR="0062055A">
        <w:t>leur appel des décl</w:t>
      </w:r>
      <w:r w:rsidR="00480BA7">
        <w:t>a</w:t>
      </w:r>
      <w:r w:rsidR="0062055A">
        <w:t>rations de culpabilité prononcé</w:t>
      </w:r>
      <w:r w:rsidR="00480BA7">
        <w:t>es</w:t>
      </w:r>
      <w:r w:rsidR="0062055A">
        <w:t xml:space="preserve"> par la Cour du Québec le 20 juillet 2018</w:t>
      </w:r>
      <w:r>
        <w:rPr>
          <w:rStyle w:val="Appelnotedebasdep"/>
        </w:rPr>
        <w:footnoteReference w:id="41"/>
      </w:r>
      <w:r w:rsidR="00590282">
        <w:t>.</w:t>
      </w:r>
    </w:p>
    <w:p w14:paraId="1F21A067" w14:textId="77777777" w:rsidR="00864A8E" w:rsidRDefault="00893AC8" w:rsidP="008A1100">
      <w:pPr>
        <w:pStyle w:val="Paragraphe"/>
        <w:spacing w:line="240" w:lineRule="auto"/>
      </w:pPr>
      <w:r>
        <w:t xml:space="preserve">Le </w:t>
      </w:r>
      <w:r w:rsidR="00DC202C">
        <w:t>1</w:t>
      </w:r>
      <w:r w:rsidR="00DC202C" w:rsidRPr="00DC202C">
        <w:rPr>
          <w:vertAlign w:val="superscript"/>
        </w:rPr>
        <w:t>er</w:t>
      </w:r>
      <w:r w:rsidR="00DC202C">
        <w:t xml:space="preserve"> mars 2019, M. Roy et l’Unité </w:t>
      </w:r>
      <w:r w:rsidR="002E71AD">
        <w:t>dépose</w:t>
      </w:r>
      <w:r w:rsidR="00C23953">
        <w:t>nt</w:t>
      </w:r>
      <w:r w:rsidR="002E71AD">
        <w:t xml:space="preserve"> au greffe de</w:t>
      </w:r>
      <w:r w:rsidR="00C23953">
        <w:t xml:space="preserve"> </w:t>
      </w:r>
      <w:r w:rsidR="002E71AD">
        <w:t>la Cour d’appel une « Requête pour permission d’appeler</w:t>
      </w:r>
      <w:r w:rsidR="00C23953">
        <w:t xml:space="preserve"> d’une déclaration de culpabilité » du jugement d</w:t>
      </w:r>
      <w:r w:rsidR="00BB057E">
        <w:t>e la Cour supérieure d</w:t>
      </w:r>
      <w:r w:rsidR="00C23953">
        <w:t>u 28 janvier 2019</w:t>
      </w:r>
      <w:r>
        <w:rPr>
          <w:rStyle w:val="Appelnotedebasdep"/>
        </w:rPr>
        <w:footnoteReference w:id="42"/>
      </w:r>
      <w:r w:rsidR="00BB057E">
        <w:t>.</w:t>
      </w:r>
    </w:p>
    <w:p w14:paraId="68134630" w14:textId="77777777" w:rsidR="009C75CE" w:rsidRDefault="00893AC8" w:rsidP="008A1100">
      <w:pPr>
        <w:pStyle w:val="Paragraphe"/>
        <w:spacing w:line="240" w:lineRule="auto"/>
      </w:pPr>
      <w:r>
        <w:t>Le Barreau</w:t>
      </w:r>
      <w:r w:rsidR="00C05BDA">
        <w:t>, s</w:t>
      </w:r>
      <w:r w:rsidR="00C05BDA" w:rsidRPr="00C05BDA">
        <w:t>’autorisant de l’article 279 </w:t>
      </w:r>
      <w:r w:rsidR="00C05BDA" w:rsidRPr="00C05BDA">
        <w:rPr>
          <w:i/>
          <w:iCs/>
        </w:rPr>
        <w:t>C.p.p</w:t>
      </w:r>
      <w:r w:rsidR="00316B3D">
        <w:rPr>
          <w:i/>
          <w:iCs/>
        </w:rPr>
        <w:t>.</w:t>
      </w:r>
      <w:r w:rsidR="004814AF">
        <w:t>,</w:t>
      </w:r>
      <w:r w:rsidR="00C05BDA" w:rsidRPr="00C05BDA">
        <w:t xml:space="preserve"> </w:t>
      </w:r>
      <w:r>
        <w:t xml:space="preserve">présente </w:t>
      </w:r>
      <w:r w:rsidR="00885067">
        <w:t>une requête</w:t>
      </w:r>
      <w:r>
        <w:t xml:space="preserve"> en rejet sommaire de l’appel des </w:t>
      </w:r>
      <w:r w:rsidR="00C05BDA">
        <w:t>défendeurs</w:t>
      </w:r>
      <w:r>
        <w:rPr>
          <w:rStyle w:val="Appelnotedebasdep"/>
        </w:rPr>
        <w:footnoteReference w:id="43"/>
      </w:r>
      <w:r w:rsidR="00C05BDA">
        <w:t>.</w:t>
      </w:r>
      <w:r>
        <w:t xml:space="preserve"> </w:t>
      </w:r>
    </w:p>
    <w:p w14:paraId="4678972C" w14:textId="77777777" w:rsidR="00864A8E" w:rsidRDefault="00893AC8" w:rsidP="008A1100">
      <w:pPr>
        <w:pStyle w:val="Paragraphe"/>
        <w:spacing w:line="240" w:lineRule="auto"/>
      </w:pPr>
      <w:r>
        <w:t xml:space="preserve">Le </w:t>
      </w:r>
      <w:r w:rsidRPr="00864A8E">
        <w:t>8 mars 2022</w:t>
      </w:r>
      <w:r>
        <w:t>, la Cour d’appel accueille la requête du Barrea</w:t>
      </w:r>
      <w:r w:rsidR="00885067">
        <w:t xml:space="preserve">u et </w:t>
      </w:r>
      <w:r w:rsidR="00BA01CD">
        <w:t>rejette</w:t>
      </w:r>
      <w:r w:rsidR="00101948">
        <w:t xml:space="preserve"> </w:t>
      </w:r>
      <w:r w:rsidR="009C75CE">
        <w:t xml:space="preserve">sommairement </w:t>
      </w:r>
      <w:r w:rsidR="00101948">
        <w:t>l’appel de M. Roy et de l’Unité</w:t>
      </w:r>
      <w:r>
        <w:rPr>
          <w:rStyle w:val="Appelnotedebasdep"/>
        </w:rPr>
        <w:footnoteReference w:id="44"/>
      </w:r>
      <w:r w:rsidR="00D65892">
        <w:t>.</w:t>
      </w:r>
    </w:p>
    <w:p w14:paraId="1B4C56DE" w14:textId="77777777" w:rsidR="005F097E" w:rsidRDefault="00893AC8" w:rsidP="008A1100">
      <w:pPr>
        <w:pStyle w:val="Paragraphe"/>
        <w:spacing w:line="240" w:lineRule="auto"/>
      </w:pPr>
      <w:r>
        <w:t>De plus</w:t>
      </w:r>
      <w:r w:rsidR="008265AA">
        <w:t xml:space="preserve">, </w:t>
      </w:r>
      <w:r w:rsidR="00893795" w:rsidRPr="00893795">
        <w:t>le</w:t>
      </w:r>
      <w:r w:rsidR="00295FCF">
        <w:t xml:space="preserve">s </w:t>
      </w:r>
      <w:r w:rsidR="00162982">
        <w:t>verdicts</w:t>
      </w:r>
      <w:r w:rsidR="00295FCF">
        <w:t xml:space="preserve"> d</w:t>
      </w:r>
      <w:r w:rsidR="00611B71">
        <w:t xml:space="preserve">e culpabilité pour </w:t>
      </w:r>
      <w:r w:rsidR="00295FCF">
        <w:t xml:space="preserve">outrage au tribunal </w:t>
      </w:r>
      <w:r w:rsidR="00611B71">
        <w:t>dans le</w:t>
      </w:r>
      <w:r w:rsidR="00893795" w:rsidRPr="00893795">
        <w:t xml:space="preserve"> Jugement Outrage n</w:t>
      </w:r>
      <w:r w:rsidR="00893795" w:rsidRPr="00893795">
        <w:rPr>
          <w:vertAlign w:val="superscript"/>
        </w:rPr>
        <w:t>o</w:t>
      </w:r>
      <w:r w:rsidR="00893795" w:rsidRPr="00893795">
        <w:t xml:space="preserve"> 1 et </w:t>
      </w:r>
      <w:r w:rsidR="00893795">
        <w:t xml:space="preserve">le </w:t>
      </w:r>
      <w:r w:rsidR="00893795" w:rsidRPr="00893795">
        <w:t>Jugement Outrage n</w:t>
      </w:r>
      <w:r w:rsidR="00893795" w:rsidRPr="00893795">
        <w:rPr>
          <w:vertAlign w:val="superscript"/>
        </w:rPr>
        <w:t>o</w:t>
      </w:r>
      <w:r w:rsidR="00893795" w:rsidRPr="00893795">
        <w:t xml:space="preserve"> 2</w:t>
      </w:r>
      <w:r>
        <w:t xml:space="preserve"> </w:t>
      </w:r>
      <w:r w:rsidRPr="00C723FE">
        <w:t>bénéficie</w:t>
      </w:r>
      <w:r w:rsidR="001B6530">
        <w:t>nt aussi</w:t>
      </w:r>
      <w:r w:rsidRPr="00C723FE">
        <w:t xml:space="preserve"> d’une présomption simple de véracité</w:t>
      </w:r>
      <w:r w:rsidR="001B6530">
        <w:t>.</w:t>
      </w:r>
    </w:p>
    <w:p w14:paraId="5AAD3AFE" w14:textId="77777777" w:rsidR="008F34EA" w:rsidRDefault="00893AC8" w:rsidP="008A1100">
      <w:pPr>
        <w:pStyle w:val="Paragraphe"/>
        <w:spacing w:line="240" w:lineRule="auto"/>
      </w:pPr>
      <w:r>
        <w:t>Le</w:t>
      </w:r>
      <w:r w:rsidR="001B6530">
        <w:t xml:space="preserve"> </w:t>
      </w:r>
      <w:r>
        <w:t>Tribunal croit utile de reproduire ci-dessous les con</w:t>
      </w:r>
      <w:r w:rsidR="00086CC5">
        <w:t xml:space="preserve">statations de faits du </w:t>
      </w:r>
      <w:r w:rsidR="00162982">
        <w:t>j</w:t>
      </w:r>
      <w:r w:rsidR="00086CC5">
        <w:t xml:space="preserve">uge Dumas </w:t>
      </w:r>
      <w:r w:rsidR="00767136">
        <w:t>dans</w:t>
      </w:r>
      <w:r w:rsidR="00086CC5">
        <w:t xml:space="preserve"> le </w:t>
      </w:r>
      <w:r w:rsidR="00086CC5" w:rsidRPr="00086CC5">
        <w:t>Jugement Outrage n</w:t>
      </w:r>
      <w:r w:rsidR="00086CC5" w:rsidRPr="00086CC5">
        <w:rPr>
          <w:vertAlign w:val="superscript"/>
        </w:rPr>
        <w:t>o</w:t>
      </w:r>
      <w:r w:rsidR="00086CC5" w:rsidRPr="00086CC5">
        <w:t xml:space="preserve"> 1</w:t>
      </w:r>
      <w:r>
        <w:rPr>
          <w:rStyle w:val="Appelnotedebasdep"/>
        </w:rPr>
        <w:footnoteReference w:id="45"/>
      </w:r>
      <w:r w:rsidR="00086CC5" w:rsidRPr="00086CC5">
        <w:t> </w:t>
      </w:r>
      <w:r w:rsidR="00086CC5">
        <w:t>:</w:t>
      </w:r>
    </w:p>
    <w:p w14:paraId="42BD12E4" w14:textId="77777777" w:rsidR="00D96881" w:rsidRPr="00D96881" w:rsidRDefault="00893AC8" w:rsidP="008A1100">
      <w:pPr>
        <w:pStyle w:val="Citationenretrait"/>
        <w:rPr>
          <w:lang w:eastAsia="fr-CA"/>
        </w:rPr>
      </w:pPr>
      <w:r w:rsidRPr="00C87F7A">
        <w:rPr>
          <w:rFonts w:cs="Arial"/>
          <w:color w:val="000000"/>
          <w:lang w:eastAsia="fr-CA"/>
        </w:rPr>
        <w:t>[18]</w:t>
      </w:r>
      <w:r w:rsidRPr="00C87F7A">
        <w:rPr>
          <w:rFonts w:ascii="Times New Roman" w:hAnsi="Times New Roman"/>
          <w:color w:val="000000"/>
          <w:sz w:val="14"/>
          <w:szCs w:val="14"/>
          <w:lang w:eastAsia="fr-CA"/>
        </w:rPr>
        <w:t>        </w:t>
      </w:r>
      <w:r w:rsidRPr="00D96881">
        <w:rPr>
          <w:lang w:eastAsia="fr-CA"/>
        </w:rPr>
        <w:t xml:space="preserve">Ainsi, en juillet 2018, M... R... diffuse sur sa page Facebook une vidéo dans laquelle il donne publiquement des avis d’ordre juridique et agit de manière à donner lieu de croire qu’il est autorisé à faire des actes réservés aux membres du </w:t>
      </w:r>
      <w:r w:rsidRPr="00D96881">
        <w:rPr>
          <w:lang w:eastAsia="fr-CA"/>
        </w:rPr>
        <w:lastRenderedPageBreak/>
        <w:t>Barreau. Notamment, le défendeur, M... R..., tient les propos mentionnés au paragraphe précédent.</w:t>
      </w:r>
    </w:p>
    <w:p w14:paraId="6A8A8EE4" w14:textId="77777777" w:rsidR="00D96881" w:rsidRPr="00D96881" w:rsidRDefault="00893AC8" w:rsidP="008A1100">
      <w:pPr>
        <w:pStyle w:val="Citationenretrait"/>
        <w:rPr>
          <w:lang w:eastAsia="fr-CA"/>
        </w:rPr>
      </w:pPr>
      <w:r w:rsidRPr="00D96881">
        <w:rPr>
          <w:lang w:eastAsia="fr-CA"/>
        </w:rPr>
        <w:t>[19]</w:t>
      </w:r>
      <w:r w:rsidRPr="00D96881">
        <w:rPr>
          <w:rFonts w:ascii="Times New Roman" w:hAnsi="Times New Roman"/>
          <w:sz w:val="14"/>
          <w:szCs w:val="14"/>
          <w:lang w:eastAsia="fr-CA"/>
        </w:rPr>
        <w:t>        </w:t>
      </w:r>
      <w:r w:rsidRPr="00D96881">
        <w:rPr>
          <w:lang w:eastAsia="fr-CA"/>
        </w:rPr>
        <w:t>Le défendeur sait qu’un jugement a été rendu contre lui. Il sait qu’il ne peut donner de conseils juridiques. Il déclare dès le départ : </w:t>
      </w:r>
    </w:p>
    <w:p w14:paraId="6098A767" w14:textId="77777777" w:rsidR="006A414C" w:rsidRDefault="00893AC8" w:rsidP="008A1100">
      <w:pPr>
        <w:pStyle w:val="Citationenretrait"/>
        <w:ind w:left="851" w:right="1140"/>
        <w:rPr>
          <w:szCs w:val="22"/>
          <w:lang w:eastAsia="fr-CA"/>
        </w:rPr>
      </w:pPr>
      <w:r w:rsidRPr="00D96881">
        <w:rPr>
          <w:szCs w:val="22"/>
          <w:lang w:eastAsia="fr-CA"/>
        </w:rPr>
        <w:t>« Premièrement, je vais faire attention à ce que je vais dire aujourd’hui, mais je vais être clair et net, je vais vous citer les textes de droit. »</w:t>
      </w:r>
    </w:p>
    <w:p w14:paraId="5B5B0DCE" w14:textId="77777777" w:rsidR="00D96881" w:rsidRPr="00D96881" w:rsidRDefault="00893AC8" w:rsidP="008A1100">
      <w:pPr>
        <w:pStyle w:val="Citationenretrait"/>
        <w:rPr>
          <w:lang w:eastAsia="fr-CA"/>
        </w:rPr>
      </w:pPr>
      <w:r>
        <w:rPr>
          <w:szCs w:val="22"/>
          <w:lang w:eastAsia="fr-CA"/>
        </w:rPr>
        <w:t>…</w:t>
      </w:r>
      <w:r w:rsidRPr="00D96881">
        <w:rPr>
          <w:lang w:eastAsia="fr-CA"/>
        </w:rPr>
        <w:t xml:space="preserve"> </w:t>
      </w:r>
    </w:p>
    <w:p w14:paraId="4F2D8D8C" w14:textId="77777777" w:rsidR="006A414C" w:rsidRDefault="00893AC8" w:rsidP="008A1100">
      <w:pPr>
        <w:pStyle w:val="Citationenretrait"/>
        <w:rPr>
          <w:sz w:val="24"/>
          <w:lang w:eastAsia="fr-CA"/>
        </w:rPr>
      </w:pPr>
      <w:r>
        <w:t>[34]</w:t>
      </w:r>
      <w:r>
        <w:rPr>
          <w:sz w:val="14"/>
          <w:szCs w:val="14"/>
        </w:rPr>
        <w:t>        </w:t>
      </w:r>
      <w:r>
        <w:t>En l’espèce, et bien que le Tribunal n’ait pas à en décider, il semble évident que le défendeur veut entraîner des citoyens dans son délire juridique.</w:t>
      </w:r>
    </w:p>
    <w:p w14:paraId="219C1B6A" w14:textId="77777777" w:rsidR="00086CC5" w:rsidRDefault="00893AC8" w:rsidP="008A1100">
      <w:pPr>
        <w:pStyle w:val="Citationenretrait"/>
      </w:pPr>
      <w:r>
        <w:t>[35]</w:t>
      </w:r>
      <w:r>
        <w:rPr>
          <w:sz w:val="14"/>
          <w:szCs w:val="14"/>
        </w:rPr>
        <w:t>        </w:t>
      </w:r>
      <w:r>
        <w:t>Il prétend vouloir monter ce que l’on pourrait qualifier de milice pour procéder à des arrestations citoyennes de policiers, d’avocats et de juges.</w:t>
      </w:r>
    </w:p>
    <w:p w14:paraId="7CD46607" w14:textId="77777777" w:rsidR="001B6530" w:rsidRDefault="00893AC8" w:rsidP="008A1100">
      <w:pPr>
        <w:pStyle w:val="Paragraphe"/>
        <w:spacing w:line="240" w:lineRule="auto"/>
      </w:pPr>
      <w:r>
        <w:t xml:space="preserve">Le </w:t>
      </w:r>
      <w:r w:rsidRPr="001B6530">
        <w:t>Jugement Outrage n</w:t>
      </w:r>
      <w:r w:rsidRPr="001B6530">
        <w:rPr>
          <w:vertAlign w:val="superscript"/>
        </w:rPr>
        <w:t>o</w:t>
      </w:r>
      <w:r w:rsidRPr="001B6530">
        <w:t xml:space="preserve"> 1</w:t>
      </w:r>
      <w:r>
        <w:t> </w:t>
      </w:r>
      <w:r w:rsidR="008E087D">
        <w:t xml:space="preserve">conclut </w:t>
      </w:r>
      <w:r>
        <w:t>:</w:t>
      </w:r>
    </w:p>
    <w:p w14:paraId="7B5B2768" w14:textId="77777777" w:rsidR="008E087D" w:rsidRDefault="00893AC8" w:rsidP="008A1100">
      <w:pPr>
        <w:pStyle w:val="Citationenretrait"/>
        <w:rPr>
          <w:lang w:eastAsia="fr-CA"/>
        </w:rPr>
      </w:pPr>
      <w:r>
        <w:t>[38]</w:t>
      </w:r>
      <w:r>
        <w:rPr>
          <w:sz w:val="14"/>
          <w:szCs w:val="14"/>
        </w:rPr>
        <w:t>        </w:t>
      </w:r>
      <w:r>
        <w:t>Il y a donc une preuve hors de tout doute raisonnable que le défendeur, en son nom et au nom de la défenderesse Unité citoyenne d’enquêtes anti-corruption a contrevenu à l’ordonnance spécifique du juge Jean-Guy Dubois en donnant publiquement des consultations et des avis d’ordre juridique.</w:t>
      </w:r>
    </w:p>
    <w:p w14:paraId="7303AD33" w14:textId="77777777" w:rsidR="008E087D" w:rsidRDefault="00893AC8" w:rsidP="008A1100">
      <w:pPr>
        <w:pStyle w:val="Citationenretrait"/>
      </w:pPr>
      <w:r>
        <w:t>[39]</w:t>
      </w:r>
      <w:r>
        <w:rPr>
          <w:sz w:val="14"/>
          <w:szCs w:val="14"/>
        </w:rPr>
        <w:t>        </w:t>
      </w:r>
      <w:r>
        <w:t>Le Tribunal ne croit pas que le défendeur a agi de manière à donner lieu de croire qu’il était autorisé à remplir les fonctions d’avocat. Il mentionne d’ailleurs qu’il n’est pas avocat. Par contre, il agit de manière à donner lieu de croire qu’il est autorisé à en faire les actes, se disant autorisé par deux juges de la Cour du Québec et un juge de la Cour supérieure d’Ontario.</w:t>
      </w:r>
    </w:p>
    <w:p w14:paraId="6F18776F" w14:textId="77777777" w:rsidR="00690252" w:rsidRDefault="00893AC8" w:rsidP="008A1100">
      <w:pPr>
        <w:pStyle w:val="Citationenretrait"/>
      </w:pPr>
      <w:r>
        <w:t>…</w:t>
      </w:r>
    </w:p>
    <w:p w14:paraId="18AACB8C" w14:textId="77777777" w:rsidR="00690252" w:rsidRPr="00690252" w:rsidRDefault="00893AC8" w:rsidP="008A1100">
      <w:pPr>
        <w:pStyle w:val="Citationenretrait"/>
      </w:pPr>
      <w:r w:rsidRPr="00690252">
        <w:t>[48]        Le défendeur M… R… a pleinement connaissance qu’il enfreint l’ordonnance. Il mentionne d’ailleurs :</w:t>
      </w:r>
    </w:p>
    <w:p w14:paraId="6B4F74D3" w14:textId="77777777" w:rsidR="00690252" w:rsidRPr="00690252" w:rsidRDefault="00893AC8" w:rsidP="008A1100">
      <w:pPr>
        <w:pStyle w:val="Citationenretrait"/>
        <w:ind w:left="993"/>
      </w:pPr>
      <w:r w:rsidRPr="00690252">
        <w:t>« Même si le Barreau dit que je n’ai pas le droit de dire des choses de la loi, je la dis, parce que c’est notre devoir puis il n’y a personne qui peut nous empêcher de s’instruire. »</w:t>
      </w:r>
    </w:p>
    <w:p w14:paraId="6241C0FB" w14:textId="77777777" w:rsidR="00690252" w:rsidRPr="00690252" w:rsidRDefault="00893AC8" w:rsidP="008A1100">
      <w:pPr>
        <w:pStyle w:val="Citationenretrait"/>
      </w:pPr>
      <w:r w:rsidRPr="00690252">
        <w:t>[49]        Le Tribunal trouve donc les défendeurs coupables d’outrage au tribunal.</w:t>
      </w:r>
    </w:p>
    <w:p w14:paraId="0F95409E" w14:textId="77777777" w:rsidR="00690252" w:rsidRDefault="00893AC8" w:rsidP="008A1100">
      <w:pPr>
        <w:pStyle w:val="Citationenretrait"/>
      </w:pPr>
      <w:r>
        <w:t>…</w:t>
      </w:r>
    </w:p>
    <w:p w14:paraId="6BDCA24C" w14:textId="77777777" w:rsidR="00773B24" w:rsidRPr="00773B24" w:rsidRDefault="00893AC8" w:rsidP="008A1100">
      <w:pPr>
        <w:pStyle w:val="Citationenretrait"/>
      </w:pPr>
      <w:r w:rsidRPr="00773B24">
        <w:t>[56]        En l’espèce, le défendeur désobéit volontairement aux ordonnances prononcées. Il se pose en victime du système judiciaire dont il revendique pourtant l’utilisation. Il promet de déposer des plaintes criminelles privées contre ceux qui « osent » témoigner contre lui.</w:t>
      </w:r>
    </w:p>
    <w:p w14:paraId="0A4B2098" w14:textId="77777777" w:rsidR="00773B24" w:rsidRPr="00773B24" w:rsidRDefault="00893AC8" w:rsidP="008A1100">
      <w:pPr>
        <w:pStyle w:val="Citationenretrait"/>
      </w:pPr>
      <w:r w:rsidRPr="00773B24">
        <w:lastRenderedPageBreak/>
        <w:t>[57]        Il a toutes les caractéristiques du plaideur quérulent que notre collègue Clément Gascon énumérait dans </w:t>
      </w:r>
      <w:r w:rsidRPr="00767136">
        <w:rPr>
          <w:i/>
          <w:iCs/>
        </w:rPr>
        <w:t>Pogan c. Barreau du Québec</w:t>
      </w:r>
      <w:bookmarkStart w:id="25" w:name="_ftnref22"/>
      <w:r w:rsidR="00767136">
        <w:rPr>
          <w:rStyle w:val="Hyperlien"/>
          <w:color w:val="auto"/>
          <w:u w:val="none"/>
        </w:rPr>
        <w:t>..</w:t>
      </w:r>
      <w:bookmarkEnd w:id="25"/>
    </w:p>
    <w:p w14:paraId="7F2E18BE" w14:textId="77777777" w:rsidR="005F097E" w:rsidRDefault="00893AC8" w:rsidP="008A1100">
      <w:pPr>
        <w:pStyle w:val="Paragraphe"/>
        <w:spacing w:line="240" w:lineRule="auto"/>
      </w:pPr>
      <w:r>
        <w:t>Le Barreau a aussi prouvé qu’</w:t>
      </w:r>
      <w:r w:rsidR="00F625C0">
        <w:t>au-delà</w:t>
      </w:r>
      <w:r>
        <w:t xml:space="preserve"> des </w:t>
      </w:r>
      <w:r w:rsidR="009555D5">
        <w:t>actes et geste</w:t>
      </w:r>
      <w:r w:rsidR="00BE35B7">
        <w:t>s visé</w:t>
      </w:r>
      <w:r w:rsidR="009555D5">
        <w:t>s</w:t>
      </w:r>
      <w:r w:rsidR="00BE35B7">
        <w:t xml:space="preserve"> par ces constats d’infraction, les </w:t>
      </w:r>
      <w:r w:rsidR="00F625C0">
        <w:t>défendeurs</w:t>
      </w:r>
      <w:r w:rsidR="00BE35B7">
        <w:t xml:space="preserve"> ont exercé </w:t>
      </w:r>
      <w:r w:rsidR="00F625C0">
        <w:t>illégalement</w:t>
      </w:r>
      <w:r w:rsidR="00BE35B7">
        <w:t xml:space="preserve"> la pro</w:t>
      </w:r>
      <w:r w:rsidR="00F625C0">
        <w:t xml:space="preserve">fession d’avocats </w:t>
      </w:r>
      <w:r w:rsidR="002220C9">
        <w:t xml:space="preserve">à </w:t>
      </w:r>
      <w:r w:rsidR="00F625C0">
        <w:t xml:space="preserve">plusieurs autres </w:t>
      </w:r>
      <w:r w:rsidR="002220C9">
        <w:t>occasions</w:t>
      </w:r>
      <w:r w:rsidR="00F625C0">
        <w:t>.</w:t>
      </w:r>
    </w:p>
    <w:p w14:paraId="267833B3" w14:textId="77777777" w:rsidR="00E86A9E" w:rsidRDefault="00893AC8" w:rsidP="008A1100">
      <w:pPr>
        <w:pStyle w:val="Paragraphe"/>
        <w:spacing w:line="240" w:lineRule="auto"/>
      </w:pPr>
      <w:r>
        <w:t>À titre d’exemple, e</w:t>
      </w:r>
      <w:r w:rsidR="00614438">
        <w:t>n mai 2016</w:t>
      </w:r>
      <w:r w:rsidR="000A79AE">
        <w:t>, M. Roy</w:t>
      </w:r>
      <w:r w:rsidR="00AB3186">
        <w:t>, en sa capacité de directeur de l’Unité,</w:t>
      </w:r>
      <w:r w:rsidR="000A79AE">
        <w:t xml:space="preserve"> prépare et rédige un document</w:t>
      </w:r>
      <w:r w:rsidR="00A338A3">
        <w:t xml:space="preserve"> intitul</w:t>
      </w:r>
      <w:r w:rsidR="008C7D14">
        <w:t>é « Rapport d’évaluation »</w:t>
      </w:r>
      <w:r w:rsidR="00AB3186">
        <w:t xml:space="preserve"> dans </w:t>
      </w:r>
      <w:r w:rsidR="00181E1B">
        <w:t>les dossiers</w:t>
      </w:r>
      <w:r w:rsidR="00AB3186">
        <w:t xml:space="preserve"> </w:t>
      </w:r>
      <w:r w:rsidR="002535F9">
        <w:t xml:space="preserve">portant les numéros </w:t>
      </w:r>
      <w:r w:rsidR="0034104E">
        <w:t xml:space="preserve">405-41-002847-155 et </w:t>
      </w:r>
      <w:r w:rsidR="0034104E" w:rsidRPr="0034104E">
        <w:t>405-41-002</w:t>
      </w:r>
      <w:r w:rsidR="00181E1B">
        <w:t>628-142</w:t>
      </w:r>
      <w:r w:rsidR="0034104E">
        <w:t xml:space="preserve"> </w:t>
      </w:r>
      <w:r w:rsidR="00181E1B">
        <w:t xml:space="preserve">de la Cour du Québec, Chambre </w:t>
      </w:r>
      <w:r w:rsidR="00E948E3">
        <w:t>de la jeunesse</w:t>
      </w:r>
      <w:r w:rsidR="007764E9">
        <w:t>,</w:t>
      </w:r>
      <w:r w:rsidR="00E948E3">
        <w:t xml:space="preserve"> destiné</w:t>
      </w:r>
      <w:r>
        <w:t xml:space="preserve"> </w:t>
      </w:r>
      <w:r w:rsidR="00294BC2">
        <w:t>à la juge saisie</w:t>
      </w:r>
      <w:r>
        <w:t xml:space="preserve"> de ces causes</w:t>
      </w:r>
      <w:r>
        <w:rPr>
          <w:rStyle w:val="Appelnotedebasdep"/>
        </w:rPr>
        <w:footnoteReference w:id="46"/>
      </w:r>
      <w:r>
        <w:t>.</w:t>
      </w:r>
    </w:p>
    <w:p w14:paraId="6C642B79" w14:textId="77777777" w:rsidR="00E3359C" w:rsidRDefault="00893AC8" w:rsidP="008A1100">
      <w:pPr>
        <w:pStyle w:val="Paragraphe"/>
        <w:spacing w:line="240" w:lineRule="auto"/>
      </w:pPr>
      <w:r>
        <w:t xml:space="preserve"> Le </w:t>
      </w:r>
      <w:r w:rsidRPr="00E86A9E">
        <w:t>Rapport d’évaluation </w:t>
      </w:r>
      <w:r w:rsidR="00553E5F">
        <w:t xml:space="preserve">indique notamment que </w:t>
      </w:r>
      <w:r w:rsidR="001B1A55">
        <w:t>parmi les service offert</w:t>
      </w:r>
      <w:r w:rsidR="004814AF">
        <w:t>s</w:t>
      </w:r>
      <w:r w:rsidR="001B1A55">
        <w:t xml:space="preserve"> par </w:t>
      </w:r>
      <w:r w:rsidR="00553E5F">
        <w:t>l’Unité</w:t>
      </w:r>
      <w:r w:rsidR="001B1A55">
        <w:t xml:space="preserve">, celle-ci </w:t>
      </w:r>
      <w:r w:rsidR="00553E5F">
        <w:t>offre</w:t>
      </w:r>
      <w:r w:rsidR="001B1A55">
        <w:t xml:space="preserve"> d</w:t>
      </w:r>
      <w:r w:rsidR="00D80159">
        <w:t>’« étudier</w:t>
      </w:r>
      <w:r w:rsidR="001B1A55">
        <w:t xml:space="preserve"> </w:t>
      </w:r>
      <w:r>
        <w:t xml:space="preserve">les dossiers juridiques afin de mettre fin aux motifs de compromission ». </w:t>
      </w:r>
    </w:p>
    <w:p w14:paraId="59E4ABCE" w14:textId="77777777" w:rsidR="00507286" w:rsidRDefault="00893AC8" w:rsidP="008A1100">
      <w:pPr>
        <w:pStyle w:val="Paragraphe"/>
        <w:spacing w:line="240" w:lineRule="auto"/>
      </w:pPr>
      <w:r>
        <w:t xml:space="preserve">Le Rapport </w:t>
      </w:r>
      <w:r w:rsidR="004814AF">
        <w:t>d’évaluation</w:t>
      </w:r>
      <w:r>
        <w:t xml:space="preserve"> </w:t>
      </w:r>
      <w:r w:rsidR="00F019F6">
        <w:t xml:space="preserve">a pour but de répondre aux </w:t>
      </w:r>
      <w:r w:rsidR="00A762AD">
        <w:t xml:space="preserve">motifs de compromission </w:t>
      </w:r>
      <w:r w:rsidR="00352B00">
        <w:t xml:space="preserve">allégués </w:t>
      </w:r>
      <w:r w:rsidR="00A762AD">
        <w:t xml:space="preserve">par la Directrice de la protection de la </w:t>
      </w:r>
      <w:r w:rsidR="005D32CF">
        <w:t>jeunesse</w:t>
      </w:r>
      <w:r w:rsidR="00A762AD">
        <w:t xml:space="preserve"> dans sa demande </w:t>
      </w:r>
      <w:r w:rsidR="005D32CF">
        <w:t xml:space="preserve">en révision </w:t>
      </w:r>
      <w:r>
        <w:t>datée d’avril 2016</w:t>
      </w:r>
      <w:r w:rsidR="004814AF">
        <w:t>,</w:t>
      </w:r>
      <w:r w:rsidR="00867D61">
        <w:t xml:space="preserve"> et ce, à la lumière des faits </w:t>
      </w:r>
      <w:r w:rsidR="006946C1">
        <w:t xml:space="preserve">que M. Roy a </w:t>
      </w:r>
      <w:r w:rsidR="00213495">
        <w:t>colligés</w:t>
      </w:r>
      <w:r w:rsidR="006946C1">
        <w:t xml:space="preserve"> lors de s</w:t>
      </w:r>
      <w:r w:rsidR="00CD51A8">
        <w:t>es</w:t>
      </w:r>
      <w:r w:rsidR="006946C1">
        <w:t xml:space="preserve"> </w:t>
      </w:r>
      <w:r w:rsidR="00CD51A8">
        <w:t xml:space="preserve">trois </w:t>
      </w:r>
      <w:r w:rsidR="006946C1">
        <w:t>rencontre</w:t>
      </w:r>
      <w:r w:rsidR="00CD51A8">
        <w:t>s</w:t>
      </w:r>
      <w:r w:rsidR="006946C1">
        <w:t xml:space="preserve"> avec les parents</w:t>
      </w:r>
      <w:r>
        <w:t xml:space="preserve">. Il s’agit ni plus ni moins </w:t>
      </w:r>
      <w:r w:rsidR="00D71586">
        <w:t xml:space="preserve">d’une plaidoirie écrite </w:t>
      </w:r>
      <w:r w:rsidR="006946C1">
        <w:t xml:space="preserve">au nom des parents et </w:t>
      </w:r>
      <w:r w:rsidR="00CD51A8">
        <w:t>destiné</w:t>
      </w:r>
      <w:r w:rsidR="004814AF">
        <w:t>e</w:t>
      </w:r>
      <w:r w:rsidR="006946C1">
        <w:t xml:space="preserve"> à la juge saisie de la demande en révision.</w:t>
      </w:r>
    </w:p>
    <w:p w14:paraId="349FD893" w14:textId="77777777" w:rsidR="00B87A6D" w:rsidRDefault="00893AC8" w:rsidP="008A1100">
      <w:pPr>
        <w:pStyle w:val="Paragraphe"/>
        <w:spacing w:line="240" w:lineRule="auto"/>
      </w:pPr>
      <w:r>
        <w:t xml:space="preserve">La préparation et la rédaction du Rapport d’évaluation constitue </w:t>
      </w:r>
      <w:r w:rsidR="006872C9">
        <w:t xml:space="preserve">un acte qui est </w:t>
      </w:r>
      <w:r w:rsidR="006872C9" w:rsidRPr="006872C9">
        <w:t xml:space="preserve">du ressort exclusif de l’avocat en </w:t>
      </w:r>
      <w:r w:rsidRPr="006872C9">
        <w:t>exercice au</w:t>
      </w:r>
      <w:r w:rsidR="006872C9">
        <w:t xml:space="preserve"> sens de l’article 128</w:t>
      </w:r>
      <w:r w:rsidR="004814AF">
        <w:t>.</w:t>
      </w:r>
      <w:r w:rsidR="006872C9">
        <w:t>1b</w:t>
      </w:r>
      <w:r w:rsidR="00C63138">
        <w:t>)</w:t>
      </w:r>
      <w:r>
        <w:t xml:space="preserve"> de la </w:t>
      </w:r>
      <w:r w:rsidRPr="00B87A6D">
        <w:rPr>
          <w:i/>
          <w:iCs/>
        </w:rPr>
        <w:t>Loi sur le Barreau</w:t>
      </w:r>
      <w:r>
        <w:t>.</w:t>
      </w:r>
    </w:p>
    <w:p w14:paraId="734457F7" w14:textId="77777777" w:rsidR="00B87A6D" w:rsidRDefault="00893AC8" w:rsidP="008A1100">
      <w:pPr>
        <w:pStyle w:val="Paragraphe"/>
        <w:spacing w:line="240" w:lineRule="auto"/>
      </w:pPr>
      <w:r>
        <w:t xml:space="preserve">Le Tribunal conclut que le </w:t>
      </w:r>
      <w:r w:rsidR="00176971" w:rsidRPr="00C87F7A">
        <w:t>B</w:t>
      </w:r>
      <w:r w:rsidRPr="00C87F7A">
        <w:t>arreau</w:t>
      </w:r>
      <w:r>
        <w:t xml:space="preserve"> a prouvé par une preuve prépondérante et convaincante que les défendeurs </w:t>
      </w:r>
      <w:r w:rsidR="00B95038">
        <w:t xml:space="preserve">ont accompli à plusieurs reprises </w:t>
      </w:r>
      <w:r w:rsidR="00E138BF" w:rsidRPr="00E138BF">
        <w:t xml:space="preserve">des actes qui sont du ressort exclusif de l’avocat au sens de l’article 128 de la </w:t>
      </w:r>
      <w:r w:rsidR="00E138BF" w:rsidRPr="00A255DF">
        <w:rPr>
          <w:i/>
        </w:rPr>
        <w:t>Loi sur le Barreau</w:t>
      </w:r>
      <w:r w:rsidR="00B95038">
        <w:rPr>
          <w:iCs/>
        </w:rPr>
        <w:t>.</w:t>
      </w:r>
    </w:p>
    <w:p w14:paraId="1FEF9365" w14:textId="77777777" w:rsidR="006F3D5C" w:rsidRPr="00E87BF4" w:rsidRDefault="00893AC8" w:rsidP="008A1100">
      <w:pPr>
        <w:pStyle w:val="Titre2"/>
        <w:numPr>
          <w:ilvl w:val="0"/>
          <w:numId w:val="5"/>
        </w:numPr>
        <w:rPr>
          <w:iCs/>
        </w:rPr>
      </w:pPr>
      <w:bookmarkStart w:id="26" w:name="_Toc256000007"/>
      <w:bookmarkStart w:id="27" w:name="_Toc224727326"/>
      <w:r w:rsidRPr="00E87BF4">
        <w:t>Dans l’affirmative</w:t>
      </w:r>
      <w:bookmarkStart w:id="28" w:name="_Hlk224572559"/>
      <w:r w:rsidRPr="00E87BF4">
        <w:t xml:space="preserve">, </w:t>
      </w:r>
      <w:r w:rsidR="00C84B4D">
        <w:t>l’</w:t>
      </w:r>
      <w:r w:rsidRPr="00E87BF4">
        <w:t>article 4</w:t>
      </w:r>
      <w:r w:rsidR="00C84B4D">
        <w:t xml:space="preserve">2 </w:t>
      </w:r>
      <w:r w:rsidRPr="00E87BF4">
        <w:t>de la Loi sur la protection de la jeunesse</w:t>
      </w:r>
      <w:r w:rsidR="00C84B4D">
        <w:t xml:space="preserve"> autorise-</w:t>
      </w:r>
      <w:r w:rsidR="00E9722B">
        <w:t>t-</w:t>
      </w:r>
      <w:r w:rsidR="00C84B4D">
        <w:t xml:space="preserve">il </w:t>
      </w:r>
      <w:r w:rsidR="002769F3">
        <w:rPr>
          <w:iCs/>
        </w:rPr>
        <w:t>M.</w:t>
      </w:r>
      <w:r w:rsidR="00790AB1">
        <w:rPr>
          <w:iCs/>
        </w:rPr>
        <w:t xml:space="preserve"> Roy </w:t>
      </w:r>
      <w:r w:rsidR="00E9722B">
        <w:t>à</w:t>
      </w:r>
      <w:r w:rsidR="002769F3">
        <w:rPr>
          <w:iCs/>
        </w:rPr>
        <w:t xml:space="preserve"> </w:t>
      </w:r>
      <w:r w:rsidR="00D62A11">
        <w:rPr>
          <w:iCs/>
        </w:rPr>
        <w:t xml:space="preserve">rédiger des </w:t>
      </w:r>
      <w:r w:rsidR="00DE6F3C">
        <w:t>requêtes</w:t>
      </w:r>
      <w:r w:rsidR="00D62A11">
        <w:rPr>
          <w:iCs/>
        </w:rPr>
        <w:t xml:space="preserve"> et </w:t>
      </w:r>
      <w:r w:rsidR="0021592E" w:rsidRPr="0021592E">
        <w:rPr>
          <w:iCs/>
        </w:rPr>
        <w:t xml:space="preserve">à </w:t>
      </w:r>
      <w:r w:rsidR="00D62A11">
        <w:rPr>
          <w:iCs/>
        </w:rPr>
        <w:t xml:space="preserve">donner des </w:t>
      </w:r>
      <w:r w:rsidR="003C46C5">
        <w:t xml:space="preserve">avis </w:t>
      </w:r>
      <w:r w:rsidR="00DE6F3C">
        <w:t>juridiques</w:t>
      </w:r>
      <w:r w:rsidR="00D62A11">
        <w:rPr>
          <w:iCs/>
        </w:rPr>
        <w:t xml:space="preserve"> dans le </w:t>
      </w:r>
      <w:r w:rsidR="0021592E" w:rsidRPr="0021592E">
        <w:rPr>
          <w:iCs/>
        </w:rPr>
        <w:t>cadre</w:t>
      </w:r>
      <w:r w:rsidR="007B6A2E">
        <w:t xml:space="preserve"> de dossiers de</w:t>
      </w:r>
      <w:r w:rsidR="00D62A11">
        <w:rPr>
          <w:iCs/>
        </w:rPr>
        <w:t xml:space="preserve"> protection de la jeunesse</w:t>
      </w:r>
      <w:r w:rsidRPr="00E87BF4">
        <w:rPr>
          <w:iCs/>
        </w:rPr>
        <w:t>?</w:t>
      </w:r>
      <w:r w:rsidR="00C35A15">
        <w:rPr>
          <w:iCs/>
        </w:rPr>
        <w:t xml:space="preserve"> </w:t>
      </w:r>
      <w:r w:rsidR="0021592E" w:rsidRPr="0021592E">
        <w:rPr>
          <w:iCs/>
        </w:rPr>
        <w:t>Par ailleurs, l’article</w:t>
      </w:r>
      <w:r w:rsidR="00CF4462">
        <w:rPr>
          <w:iCs/>
        </w:rPr>
        <w:t xml:space="preserve"> 43 de cette </w:t>
      </w:r>
      <w:r w:rsidR="004814AF">
        <w:rPr>
          <w:iCs/>
        </w:rPr>
        <w:t>L</w:t>
      </w:r>
      <w:r w:rsidR="0021592E" w:rsidRPr="0021592E">
        <w:rPr>
          <w:iCs/>
        </w:rPr>
        <w:t>oi confère-t-il aux défendeurs une immunité contre toute poursuite</w:t>
      </w:r>
      <w:bookmarkEnd w:id="28"/>
      <w:r w:rsidR="00CF4462">
        <w:rPr>
          <w:iCs/>
        </w:rPr>
        <w:t>?</w:t>
      </w:r>
      <w:bookmarkEnd w:id="26"/>
      <w:bookmarkEnd w:id="27"/>
    </w:p>
    <w:p w14:paraId="44F65C7D" w14:textId="77777777" w:rsidR="0061193D" w:rsidRPr="0061193D" w:rsidRDefault="00893AC8" w:rsidP="008A1100">
      <w:pPr>
        <w:pStyle w:val="Titre3"/>
        <w:numPr>
          <w:ilvl w:val="1"/>
          <w:numId w:val="10"/>
        </w:numPr>
        <w:ind w:left="1701" w:hanging="567"/>
        <w:rPr>
          <w:b/>
          <w:bCs/>
        </w:rPr>
      </w:pPr>
      <w:bookmarkStart w:id="29" w:name="_Toc256000008"/>
      <w:bookmarkStart w:id="30" w:name="_Toc224727327"/>
      <w:r w:rsidRPr="0061193D">
        <w:rPr>
          <w:b/>
          <w:bCs/>
        </w:rPr>
        <w:t>Position des parties</w:t>
      </w:r>
      <w:bookmarkEnd w:id="29"/>
      <w:bookmarkEnd w:id="30"/>
    </w:p>
    <w:p w14:paraId="3A46F63C" w14:textId="77777777" w:rsidR="0061193D" w:rsidRDefault="00893AC8" w:rsidP="008A1100">
      <w:pPr>
        <w:pStyle w:val="Paragraphe"/>
        <w:spacing w:line="240" w:lineRule="auto"/>
      </w:pPr>
      <w:bookmarkStart w:id="31" w:name="_Hlk224209939"/>
      <w:r>
        <w:t>M</w:t>
      </w:r>
      <w:r w:rsidR="005359DE">
        <w:t>.</w:t>
      </w:r>
      <w:r>
        <w:t xml:space="preserve"> Roy reconna</w:t>
      </w:r>
      <w:r w:rsidR="005359DE">
        <w:t>î</w:t>
      </w:r>
      <w:r>
        <w:t>t avoir rédiger des procédures</w:t>
      </w:r>
      <w:r w:rsidR="00013A7A">
        <w:t xml:space="preserve"> et des requêtes </w:t>
      </w:r>
      <w:r w:rsidR="00013A7A" w:rsidRPr="00013A7A">
        <w:t>destinées à servir dans une affaire devant les tribunaux</w:t>
      </w:r>
      <w:r w:rsidR="00013A7A">
        <w:t>.</w:t>
      </w:r>
    </w:p>
    <w:p w14:paraId="4F6138EF" w14:textId="77777777" w:rsidR="00264FB8" w:rsidRDefault="00893AC8" w:rsidP="008A1100">
      <w:pPr>
        <w:pStyle w:val="Paragraphe"/>
        <w:spacing w:line="240" w:lineRule="auto"/>
      </w:pPr>
      <w:r>
        <w:lastRenderedPageBreak/>
        <w:t>Toutefois, il plaide qu’</w:t>
      </w:r>
      <w:r w:rsidR="00340A59">
        <w:t>il</w:t>
      </w:r>
      <w:bookmarkEnd w:id="31"/>
      <w:r w:rsidR="00340A59">
        <w:t xml:space="preserve"> ne commet aucun geste illégal </w:t>
      </w:r>
      <w:r w:rsidR="00D57299">
        <w:t>car ses actions ont été accomp</w:t>
      </w:r>
      <w:r w:rsidR="009C5253">
        <w:t>li</w:t>
      </w:r>
      <w:r w:rsidR="004814AF">
        <w:t>e</w:t>
      </w:r>
      <w:r w:rsidR="009C5253">
        <w:t xml:space="preserve">s </w:t>
      </w:r>
      <w:r>
        <w:t xml:space="preserve">en </w:t>
      </w:r>
      <w:r w:rsidR="009C5253">
        <w:t xml:space="preserve">vertu de la </w:t>
      </w:r>
      <w:r w:rsidR="00020B14" w:rsidRPr="00020B14">
        <w:rPr>
          <w:i/>
          <w:iCs/>
        </w:rPr>
        <w:t>L.p.j.</w:t>
      </w:r>
      <w:r w:rsidR="004814AF">
        <w:t>,</w:t>
      </w:r>
      <w:r w:rsidR="009C5253">
        <w:t xml:space="preserve"> notamment les articles 42 et 43 de la Loi</w:t>
      </w:r>
      <w:r>
        <w:t xml:space="preserve">, lesquels prévalent sur l’article 128 de la </w:t>
      </w:r>
      <w:r w:rsidRPr="002A3B3B">
        <w:rPr>
          <w:i/>
          <w:iCs/>
        </w:rPr>
        <w:t>Loi sur le Barreau</w:t>
      </w:r>
      <w:r>
        <w:t>.</w:t>
      </w:r>
    </w:p>
    <w:p w14:paraId="5FD1FA32" w14:textId="77777777" w:rsidR="001300E3" w:rsidRDefault="00893AC8" w:rsidP="008A1100">
      <w:pPr>
        <w:pStyle w:val="Paragraphe"/>
        <w:spacing w:line="240" w:lineRule="auto"/>
      </w:pPr>
      <w:r>
        <w:t xml:space="preserve">Il n’a pas violé l’article 128 </w:t>
      </w:r>
      <w:r w:rsidR="004814AF">
        <w:t>de la</w:t>
      </w:r>
      <w:r>
        <w:t xml:space="preserve"> </w:t>
      </w:r>
      <w:r w:rsidRPr="00C83582">
        <w:rPr>
          <w:i/>
          <w:iCs/>
        </w:rPr>
        <w:t>Lo</w:t>
      </w:r>
      <w:r w:rsidR="001711BD" w:rsidRPr="00C83582">
        <w:rPr>
          <w:i/>
          <w:iCs/>
        </w:rPr>
        <w:t>i</w:t>
      </w:r>
      <w:r w:rsidRPr="00C83582">
        <w:rPr>
          <w:i/>
          <w:iCs/>
        </w:rPr>
        <w:t xml:space="preserve"> sur le Barreau</w:t>
      </w:r>
      <w:r>
        <w:t xml:space="preserve"> parce</w:t>
      </w:r>
      <w:r w:rsidR="004814AF">
        <w:t xml:space="preserve"> </w:t>
      </w:r>
      <w:r w:rsidR="001711BD">
        <w:t xml:space="preserve">que </w:t>
      </w:r>
      <w:r w:rsidR="00791641">
        <w:t xml:space="preserve">cet article </w:t>
      </w:r>
      <w:r w:rsidR="003E304A">
        <w:t xml:space="preserve">ne peut s’appliquer </w:t>
      </w:r>
      <w:r w:rsidR="002C0268">
        <w:t>à</w:t>
      </w:r>
      <w:r w:rsidR="003E304A">
        <w:t xml:space="preserve"> lui sans violer </w:t>
      </w:r>
      <w:r w:rsidR="00791641">
        <w:t xml:space="preserve">le « principe de la primauté de la protection de l’enfant » et </w:t>
      </w:r>
      <w:r w:rsidR="002C0268">
        <w:t xml:space="preserve">vu </w:t>
      </w:r>
      <w:r w:rsidR="00791641">
        <w:t xml:space="preserve">l’immunité </w:t>
      </w:r>
      <w:r w:rsidR="00F43521">
        <w:t xml:space="preserve">légale </w:t>
      </w:r>
      <w:r w:rsidR="00791641">
        <w:t>accordé</w:t>
      </w:r>
      <w:r w:rsidR="004814AF">
        <w:t>e</w:t>
      </w:r>
      <w:r w:rsidR="00791641">
        <w:t xml:space="preserve"> par l</w:t>
      </w:r>
      <w:r w:rsidR="00F43521">
        <w:t xml:space="preserve">e législateur </w:t>
      </w:r>
      <w:r w:rsidR="002C0268">
        <w:t>à</w:t>
      </w:r>
      <w:r w:rsidR="00F43521">
        <w:t xml:space="preserve"> </w:t>
      </w:r>
      <w:r w:rsidR="004814AF">
        <w:t>l</w:t>
      </w:r>
      <w:r>
        <w:t xml:space="preserve">’article 43 de la </w:t>
      </w:r>
      <w:r w:rsidRPr="00C87F7A">
        <w:rPr>
          <w:i/>
          <w:iCs/>
        </w:rPr>
        <w:t>L</w:t>
      </w:r>
      <w:r w:rsidR="000F4130" w:rsidRPr="00C87F7A">
        <w:rPr>
          <w:i/>
          <w:iCs/>
        </w:rPr>
        <w:t>.</w:t>
      </w:r>
      <w:r w:rsidR="00995026" w:rsidRPr="00C87F7A">
        <w:rPr>
          <w:i/>
          <w:iCs/>
        </w:rPr>
        <w:t>p.j</w:t>
      </w:r>
      <w:r w:rsidRPr="00C87F7A">
        <w:rPr>
          <w:i/>
          <w:iCs/>
        </w:rPr>
        <w:t>.</w:t>
      </w:r>
      <w:r w:rsidR="006653CC" w:rsidRPr="00C87F7A">
        <w:t xml:space="preserve"> Il est donc injustement accusé d’avoir violé la </w:t>
      </w:r>
      <w:r w:rsidR="006653CC" w:rsidRPr="00C87F7A">
        <w:rPr>
          <w:i/>
          <w:iCs/>
        </w:rPr>
        <w:t>Loi sur le Barreau</w:t>
      </w:r>
      <w:r>
        <w:t>.</w:t>
      </w:r>
    </w:p>
    <w:p w14:paraId="1578340C" w14:textId="77777777" w:rsidR="006B30C4" w:rsidRDefault="00893AC8" w:rsidP="008A1100">
      <w:pPr>
        <w:pStyle w:val="Paragraphe"/>
        <w:spacing w:line="240" w:lineRule="auto"/>
      </w:pPr>
      <w:r w:rsidRPr="00C87F7A">
        <w:t>M. Roy</w:t>
      </w:r>
      <w:r w:rsidR="00E35619">
        <w:t xml:space="preserve"> plaide aussi qu’e</w:t>
      </w:r>
      <w:r>
        <w:t xml:space="preserve">n cas de conflit entre l’article 128 de la </w:t>
      </w:r>
      <w:r w:rsidRPr="00C87F7A">
        <w:rPr>
          <w:i/>
        </w:rPr>
        <w:t xml:space="preserve">Loi sur le </w:t>
      </w:r>
      <w:r w:rsidR="006653CC" w:rsidRPr="00C87F7A">
        <w:rPr>
          <w:i/>
          <w:iCs/>
        </w:rPr>
        <w:t>B</w:t>
      </w:r>
      <w:r w:rsidRPr="00C87F7A">
        <w:rPr>
          <w:i/>
          <w:iCs/>
        </w:rPr>
        <w:t>arreau</w:t>
      </w:r>
      <w:r w:rsidR="004D5E75">
        <w:t xml:space="preserve"> et les dispositions </w:t>
      </w:r>
      <w:r w:rsidR="007F5F33" w:rsidRPr="00C87F7A">
        <w:t>de</w:t>
      </w:r>
      <w:r w:rsidRPr="00C87F7A">
        <w:t xml:space="preserve">s </w:t>
      </w:r>
      <w:r w:rsidR="00613217" w:rsidRPr="00C87F7A">
        <w:t>articles 42 et 43</w:t>
      </w:r>
      <w:r w:rsidR="007F5F33">
        <w:t xml:space="preserve"> </w:t>
      </w:r>
      <w:r w:rsidR="00020B14" w:rsidRPr="00020B14">
        <w:rPr>
          <w:i/>
          <w:iCs/>
        </w:rPr>
        <w:t>L.p.j.</w:t>
      </w:r>
      <w:r w:rsidR="007F5F33">
        <w:t xml:space="preserve">, </w:t>
      </w:r>
      <w:r w:rsidR="00864AA8">
        <w:t>qui est une loi sp</w:t>
      </w:r>
      <w:r w:rsidR="00ED108F">
        <w:t xml:space="preserve">éciale qui vise la protection </w:t>
      </w:r>
      <w:r w:rsidR="00E35619">
        <w:t>des droits</w:t>
      </w:r>
      <w:r w:rsidR="00ED108F">
        <w:t xml:space="preserve"> des enfants, </w:t>
      </w:r>
      <w:r w:rsidR="00613217" w:rsidRPr="00C87F7A">
        <w:t>cette dernière</w:t>
      </w:r>
      <w:r w:rsidR="007F5F33" w:rsidRPr="00C87F7A">
        <w:t xml:space="preserve"> </w:t>
      </w:r>
      <w:r w:rsidR="004D5E75" w:rsidRPr="00C87F7A">
        <w:t>doi</w:t>
      </w:r>
      <w:r w:rsidR="00613217" w:rsidRPr="00C87F7A">
        <w:t>t</w:t>
      </w:r>
      <w:r w:rsidR="004D5E75">
        <w:t xml:space="preserve"> </w:t>
      </w:r>
      <w:r w:rsidR="007F5F33">
        <w:t xml:space="preserve">avoir préséance </w:t>
      </w:r>
      <w:r w:rsidR="00864AA8">
        <w:t xml:space="preserve">sur la </w:t>
      </w:r>
      <w:r w:rsidR="00864AA8" w:rsidRPr="00C87F7A">
        <w:rPr>
          <w:i/>
        </w:rPr>
        <w:t>Loi sur le Barreau</w:t>
      </w:r>
      <w:r w:rsidR="00E35619">
        <w:t>, une loi « corporative </w:t>
      </w:r>
      <w:r w:rsidR="00E35619" w:rsidRPr="00C87F7A">
        <w:t>»</w:t>
      </w:r>
      <w:r w:rsidRPr="00C87F7A">
        <w:t>.</w:t>
      </w:r>
    </w:p>
    <w:p w14:paraId="3F7168B5" w14:textId="77777777" w:rsidR="00F10AF3" w:rsidRPr="0061193D" w:rsidRDefault="00893AC8" w:rsidP="008A1100">
      <w:pPr>
        <w:pStyle w:val="Paragraphe"/>
        <w:spacing w:line="240" w:lineRule="auto"/>
      </w:pPr>
      <w:r>
        <w:t>Le Barreau plaide que cet argument est mal fondé</w:t>
      </w:r>
      <w:r w:rsidR="0007039C">
        <w:t>.</w:t>
      </w:r>
    </w:p>
    <w:p w14:paraId="7CCAB201" w14:textId="77777777" w:rsidR="00187217" w:rsidRPr="00023B78" w:rsidRDefault="00893AC8" w:rsidP="008A1100">
      <w:pPr>
        <w:pStyle w:val="Titre3"/>
        <w:numPr>
          <w:ilvl w:val="1"/>
          <w:numId w:val="10"/>
        </w:numPr>
        <w:ind w:left="1701" w:hanging="567"/>
        <w:rPr>
          <w:b/>
        </w:rPr>
      </w:pPr>
      <w:r w:rsidRPr="00023B78">
        <w:rPr>
          <w:b/>
        </w:rPr>
        <w:t xml:space="preserve"> </w:t>
      </w:r>
      <w:bookmarkStart w:id="32" w:name="_Toc256000009"/>
      <w:bookmarkStart w:id="33" w:name="_Toc224727328"/>
      <w:r w:rsidRPr="00023B78">
        <w:rPr>
          <w:b/>
        </w:rPr>
        <w:t>Cadre juridique</w:t>
      </w:r>
      <w:bookmarkEnd w:id="32"/>
      <w:bookmarkEnd w:id="33"/>
    </w:p>
    <w:p w14:paraId="071BD0CB" w14:textId="77777777" w:rsidR="007764E9" w:rsidRDefault="00893AC8" w:rsidP="008A1100">
      <w:pPr>
        <w:pStyle w:val="Paragraphe"/>
        <w:spacing w:line="240" w:lineRule="auto"/>
      </w:pPr>
      <w:r>
        <w:t>Pour trancher cet argument, l</w:t>
      </w:r>
      <w:r w:rsidR="0007039C">
        <w:t xml:space="preserve">es </w:t>
      </w:r>
      <w:r>
        <w:t>dispositions</w:t>
      </w:r>
      <w:r w:rsidR="0007039C">
        <w:t xml:space="preserve"> pertinent</w:t>
      </w:r>
      <w:r w:rsidR="004814AF">
        <w:t>e</w:t>
      </w:r>
      <w:r w:rsidR="0007039C">
        <w:t xml:space="preserve">s de la </w:t>
      </w:r>
      <w:r w:rsidR="00020B14" w:rsidRPr="00020B14">
        <w:rPr>
          <w:i/>
          <w:iCs/>
        </w:rPr>
        <w:t>L.</w:t>
      </w:r>
      <w:r w:rsidR="004814AF">
        <w:rPr>
          <w:i/>
          <w:iCs/>
        </w:rPr>
        <w:t>p.j</w:t>
      </w:r>
      <w:r w:rsidR="00020B14" w:rsidRPr="00020B14">
        <w:rPr>
          <w:i/>
          <w:iCs/>
        </w:rPr>
        <w:t>.</w:t>
      </w:r>
      <w:r>
        <w:t xml:space="preserve"> sont les suivantes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A34AC5" w14:paraId="1F6F506C" w14:textId="77777777" w:rsidTr="005359DE">
        <w:tc>
          <w:tcPr>
            <w:tcW w:w="4676" w:type="dxa"/>
          </w:tcPr>
          <w:p w14:paraId="5125BC1C" w14:textId="77777777" w:rsidR="00AD6448" w:rsidRPr="00AD6448" w:rsidRDefault="00893AC8" w:rsidP="008A1100">
            <w:pPr>
              <w:pStyle w:val="Citationenretrait"/>
              <w:rPr>
                <w:rFonts w:cs="Arial"/>
                <w:b/>
                <w:bCs/>
                <w:caps/>
                <w:color w:val="212529"/>
                <w:szCs w:val="22"/>
                <w:lang w:eastAsia="fr-CA"/>
              </w:rPr>
            </w:pPr>
            <w:r w:rsidRPr="005359DE">
              <w:rPr>
                <w:b/>
                <w:lang w:eastAsia="fr-CA"/>
              </w:rPr>
              <w:t>CHAPITRE IV</w:t>
            </w:r>
          </w:p>
          <w:p w14:paraId="2FAE5923" w14:textId="77777777" w:rsidR="00AD6448" w:rsidRPr="005359DE" w:rsidRDefault="00893AC8" w:rsidP="008A1100">
            <w:pPr>
              <w:pStyle w:val="Citationenretrait"/>
              <w:rPr>
                <w:rFonts w:cs="Arial"/>
                <w:b/>
                <w:caps/>
                <w:color w:val="212529"/>
                <w:szCs w:val="22"/>
                <w:lang w:eastAsia="fr-CA"/>
              </w:rPr>
            </w:pPr>
            <w:r w:rsidRPr="005359DE">
              <w:rPr>
                <w:b/>
                <w:lang w:eastAsia="fr-CA"/>
              </w:rPr>
              <w:t>INTERVENTION SOCIALE</w:t>
            </w:r>
          </w:p>
          <w:p w14:paraId="4E9E5AD2" w14:textId="77777777" w:rsidR="00AD6448" w:rsidRPr="005359DE" w:rsidRDefault="00893AC8" w:rsidP="008A1100">
            <w:pPr>
              <w:pStyle w:val="Citationenretrait"/>
              <w:rPr>
                <w:rFonts w:cs="Arial"/>
                <w:b/>
                <w:color w:val="212529"/>
                <w:szCs w:val="22"/>
                <w:lang w:eastAsia="fr-CA"/>
              </w:rPr>
            </w:pPr>
            <w:r w:rsidRPr="005359DE">
              <w:rPr>
                <w:b/>
                <w:lang w:eastAsia="fr-CA"/>
              </w:rPr>
              <w:t>SECTION I</w:t>
            </w:r>
          </w:p>
          <w:p w14:paraId="2C0F1297" w14:textId="77777777" w:rsidR="00AD6448" w:rsidRPr="005359DE" w:rsidRDefault="00893AC8" w:rsidP="008A1100">
            <w:pPr>
              <w:pStyle w:val="Citationenretrait"/>
              <w:rPr>
                <w:rFonts w:cs="Arial"/>
                <w:b/>
                <w:caps/>
                <w:color w:val="212529"/>
                <w:szCs w:val="22"/>
                <w:lang w:eastAsia="fr-CA"/>
              </w:rPr>
            </w:pPr>
            <w:r w:rsidRPr="005359DE">
              <w:rPr>
                <w:b/>
                <w:lang w:eastAsia="fr-CA"/>
              </w:rPr>
              <w:t>SÉCURITÉ ET DÉVELOPPEMENT D’UN ENFANT</w:t>
            </w:r>
          </w:p>
          <w:p w14:paraId="5948FEB3" w14:textId="77777777" w:rsidR="00DC424A" w:rsidRDefault="00893AC8" w:rsidP="008A1100">
            <w:pPr>
              <w:pStyle w:val="Citationenretrait"/>
            </w:pPr>
            <w:r>
              <w:t xml:space="preserve">39. </w:t>
            </w:r>
            <w:r w:rsidRPr="003A7C72">
              <w:rPr>
                <w:u w:val="single"/>
              </w:rPr>
              <w:t>Tout professionnel qui</w:t>
            </w:r>
            <w:r>
              <w:t xml:space="preserve">, par la nature même de sa profession, prodigue des soins ou toute autre forme d’assistance à des enfants et qui, dans l’exercice de sa profession, </w:t>
            </w:r>
            <w:r w:rsidRPr="003A7C72">
              <w:rPr>
                <w:u w:val="single"/>
              </w:rPr>
              <w:t>a un motif raisonnable de croire que la sécurité ou le développement d’un enfant est ou peut être considéré comme compromis au sens de l’article 38</w:t>
            </w:r>
            <w:r>
              <w:t xml:space="preserve"> ou au sens de l’article 38.1, </w:t>
            </w:r>
            <w:r w:rsidRPr="003A7C72">
              <w:rPr>
                <w:u w:val="single"/>
              </w:rPr>
              <w:t>est tenu de signaler sans délai la situation au directeur</w:t>
            </w:r>
            <w:r>
              <w:t xml:space="preserve">; la même </w:t>
            </w:r>
            <w:r>
              <w:lastRenderedPageBreak/>
              <w:t>obligation incombe à tout employé d’un établissement, à tout enseignant, à toute personne oeuvrant dans un milieu de garde ou à tout policier qui, dans l’exercice de ses fonctions, a un motif raisonnable de croire que la sécurité ou le développement d’un enfant est ou peut être considéré comme compromis au sens de ces dispositions.</w:t>
            </w:r>
          </w:p>
          <w:p w14:paraId="605FFCAE" w14:textId="77777777" w:rsidR="00DC424A" w:rsidRDefault="00893AC8" w:rsidP="008A1100">
            <w:pPr>
              <w:pStyle w:val="Citationenretrait"/>
            </w:pPr>
            <w:r>
              <w:t>Toute personne autre qu’une personne visée au premier alinéa qui a un motif raisonnable de croire que la sécurité ou le développement d’un enfant est considéré comme compromis au sens des paragraphes d et e du deuxième alinéa de l’article 38 est tenue de signaler sans délai la situation au directeur.</w:t>
            </w:r>
          </w:p>
          <w:p w14:paraId="5D6D8F61" w14:textId="77777777" w:rsidR="00DC424A" w:rsidRDefault="00893AC8" w:rsidP="008A1100">
            <w:pPr>
              <w:pStyle w:val="Citationenretrait"/>
            </w:pPr>
            <w:r>
              <w:t>Toute personne autre qu’une personne visée au premier alinéa qui a un motif raisonnable de croire que la sécurité ou le développement d’un enfant est ou peut être considéré comme compromis au sens des paragraphes a, b, c, c.1 ou f du deuxième alinéa de l’article 38 ou au sens de l’article 38.1, peut signaler la situation au directeur.</w:t>
            </w:r>
          </w:p>
          <w:p w14:paraId="4F2252DB" w14:textId="77777777" w:rsidR="005359DE" w:rsidRDefault="005359DE" w:rsidP="008A1100">
            <w:pPr>
              <w:pStyle w:val="Citationenretrait"/>
            </w:pPr>
          </w:p>
          <w:p w14:paraId="72D1747F" w14:textId="77777777" w:rsidR="00DC424A" w:rsidRDefault="00893AC8" w:rsidP="008A1100">
            <w:pPr>
              <w:pStyle w:val="Citationenretrait"/>
            </w:pPr>
            <w:r w:rsidRPr="005359DE">
              <w:rPr>
                <w:b/>
              </w:rPr>
              <w:t>39.1.</w:t>
            </w:r>
            <w:r>
              <w:t xml:space="preserve"> Toute personne qui a l’obligation de signaler une situation d’abus physiques ou d’abus sexuels en vertu de l’article 39 doit le faire sans égard aux moyens qui peuvent être pris par les parents pour mettre fin à la situation</w:t>
            </w:r>
            <w:r w:rsidR="007F158D">
              <w:t>.</w:t>
            </w:r>
          </w:p>
          <w:p w14:paraId="686F1D47" w14:textId="77777777" w:rsidR="00DC424A" w:rsidRDefault="00893AC8" w:rsidP="008A1100">
            <w:pPr>
              <w:pStyle w:val="Citationenretrait"/>
            </w:pPr>
            <w:r w:rsidRPr="005359DE">
              <w:rPr>
                <w:b/>
              </w:rPr>
              <w:t>40.</w:t>
            </w:r>
            <w:r>
              <w:t xml:space="preserve"> La personne qui a effectué un signalement en vertu de l’article 39 peut communiquer au directeur toute information pertinente liée au signalement concernant la situation de l’enfant, en vue d’assurer la protection de ce dernier.</w:t>
            </w:r>
          </w:p>
          <w:p w14:paraId="09C3116D" w14:textId="77777777" w:rsidR="00DC424A" w:rsidRDefault="00893AC8" w:rsidP="008A1100">
            <w:pPr>
              <w:pStyle w:val="Citationenretrait"/>
            </w:pPr>
            <w:r>
              <w:t>Il en est de même de la personne qui, dans l’exercice d’une profession ou d’une fonction visée au premier alinéa de cet article, a été impliquée dans un tel signalement.</w:t>
            </w:r>
          </w:p>
          <w:p w14:paraId="1B8033E7" w14:textId="77777777" w:rsidR="00AD6448" w:rsidRDefault="00893AC8" w:rsidP="008A1100">
            <w:pPr>
              <w:pStyle w:val="Citationenretrait"/>
            </w:pPr>
            <w:r w:rsidRPr="005359DE">
              <w:rPr>
                <w:b/>
              </w:rPr>
              <w:t>41.</w:t>
            </w:r>
            <w:r>
              <w:t xml:space="preserve"> Les articles 39 et 40 s’appliquent même aux personnes liées par le secret professionnel, sauf à l’avocat et au notaire qui, dans l’exercice de leur profession, reçoivent des informations concernant une situation visée à l’article 38 ou 38.1.</w:t>
            </w:r>
          </w:p>
          <w:p w14:paraId="2053EC54" w14:textId="77777777" w:rsidR="002956A4" w:rsidRDefault="00893AC8" w:rsidP="008A1100">
            <w:pPr>
              <w:pStyle w:val="Citationenretrait"/>
            </w:pPr>
            <w:r w:rsidRPr="005359DE">
              <w:rPr>
                <w:b/>
              </w:rPr>
              <w:t>42.</w:t>
            </w:r>
            <w:r>
              <w:t xml:space="preserve"> Un adulte </w:t>
            </w:r>
            <w:r w:rsidRPr="009D25FB">
              <w:rPr>
                <w:u w:val="single"/>
              </w:rPr>
              <w:t>est tenu d’apporter l’aide nécessaire à un enfant qui désire saisir les autorités compétentes d’une situation compromettant sa sécurité ou son développement</w:t>
            </w:r>
            <w:r>
              <w:t>, ceux de ses frères et soeurs ou ceux de tout autre enfant.</w:t>
            </w:r>
          </w:p>
          <w:p w14:paraId="4E9E09F6" w14:textId="77777777" w:rsidR="002956A4" w:rsidRDefault="00893AC8" w:rsidP="008A1100">
            <w:pPr>
              <w:pStyle w:val="Citationenretrait"/>
            </w:pPr>
            <w:r w:rsidRPr="005359DE">
              <w:rPr>
                <w:b/>
              </w:rPr>
              <w:t>43.</w:t>
            </w:r>
            <w:r>
              <w:t xml:space="preserve"> Une personne ne peut être poursuivie en justice pour des actes accomplis de bonne foi en vertu des articles 39, 40 ou 42.</w:t>
            </w:r>
          </w:p>
        </w:tc>
        <w:tc>
          <w:tcPr>
            <w:tcW w:w="4676" w:type="dxa"/>
          </w:tcPr>
          <w:p w14:paraId="1FF10C18" w14:textId="77777777" w:rsidR="00EA0D4C" w:rsidRPr="005359DE" w:rsidRDefault="00893AC8" w:rsidP="008A1100">
            <w:pPr>
              <w:pStyle w:val="Citationenretrait"/>
              <w:rPr>
                <w:rFonts w:cs="Arial"/>
                <w:b/>
                <w:caps/>
                <w:color w:val="212529"/>
                <w:szCs w:val="22"/>
                <w:lang w:val="en-CA" w:eastAsia="fr-CA"/>
              </w:rPr>
            </w:pPr>
            <w:r w:rsidRPr="005359DE">
              <w:rPr>
                <w:b/>
                <w:lang w:val="en-CA" w:eastAsia="fr-CA"/>
              </w:rPr>
              <w:lastRenderedPageBreak/>
              <w:t>CHAPTER IV</w:t>
            </w:r>
          </w:p>
          <w:p w14:paraId="7D69B381" w14:textId="77777777" w:rsidR="00EA0D4C" w:rsidRPr="005359DE" w:rsidRDefault="00893AC8" w:rsidP="008A1100">
            <w:pPr>
              <w:pStyle w:val="Citationenretrait"/>
              <w:rPr>
                <w:rFonts w:cs="Arial"/>
                <w:b/>
                <w:caps/>
                <w:color w:val="212529"/>
                <w:szCs w:val="22"/>
                <w:lang w:val="en-CA" w:eastAsia="fr-CA"/>
              </w:rPr>
            </w:pPr>
            <w:r w:rsidRPr="005359DE">
              <w:rPr>
                <w:b/>
                <w:lang w:val="en-CA" w:eastAsia="fr-CA"/>
              </w:rPr>
              <w:t>SOCIAL INTERVENTION</w:t>
            </w:r>
          </w:p>
          <w:p w14:paraId="5B18644E" w14:textId="77777777" w:rsidR="00EA0D4C" w:rsidRPr="005359DE" w:rsidRDefault="00893AC8" w:rsidP="008A1100">
            <w:pPr>
              <w:pStyle w:val="Citationenretrait"/>
              <w:rPr>
                <w:rFonts w:cs="Arial"/>
                <w:b/>
                <w:color w:val="212529"/>
                <w:szCs w:val="22"/>
                <w:lang w:val="en-CA" w:eastAsia="fr-CA"/>
              </w:rPr>
            </w:pPr>
            <w:r w:rsidRPr="005359DE">
              <w:rPr>
                <w:b/>
                <w:lang w:val="en-CA" w:eastAsia="fr-CA"/>
              </w:rPr>
              <w:t>DIVISION I</w:t>
            </w:r>
          </w:p>
          <w:p w14:paraId="51CCFBB2" w14:textId="77777777" w:rsidR="00EA0D4C" w:rsidRPr="005359DE" w:rsidRDefault="00893AC8" w:rsidP="008A1100">
            <w:pPr>
              <w:pStyle w:val="Citationenretrait"/>
              <w:rPr>
                <w:rFonts w:cs="Arial"/>
                <w:b/>
                <w:caps/>
                <w:color w:val="212529"/>
                <w:szCs w:val="22"/>
                <w:lang w:val="en-CA" w:eastAsia="fr-CA"/>
              </w:rPr>
            </w:pPr>
            <w:r w:rsidRPr="005359DE">
              <w:rPr>
                <w:b/>
                <w:lang w:val="en-CA" w:eastAsia="fr-CA"/>
              </w:rPr>
              <w:t>SECURITY AND DEVELOPMENT OF A CHILD</w:t>
            </w:r>
          </w:p>
          <w:p w14:paraId="3FE0C311" w14:textId="77777777" w:rsidR="00EC6D4B" w:rsidRPr="00DD30DC" w:rsidRDefault="00893AC8" w:rsidP="008A1100">
            <w:pPr>
              <w:pStyle w:val="Citationenretrait"/>
              <w:rPr>
                <w:lang w:val="en-CA"/>
              </w:rPr>
            </w:pPr>
            <w:r w:rsidRPr="00DD30DC">
              <w:rPr>
                <w:lang w:val="en-CA"/>
              </w:rPr>
              <w:t xml:space="preserve">39. </w:t>
            </w:r>
            <w:r w:rsidRPr="005359DE">
              <w:rPr>
                <w:u w:val="single"/>
                <w:lang w:val="en-CA"/>
              </w:rPr>
              <w:t>Every professional who</w:t>
            </w:r>
            <w:r w:rsidRPr="00DD30DC">
              <w:rPr>
                <w:lang w:val="en-CA"/>
              </w:rPr>
              <w:t xml:space="preserve">, by the very nature of his profession, provides care or any other form of assistance to children and who, in the practice of his profession, </w:t>
            </w:r>
            <w:r w:rsidRPr="005359DE">
              <w:rPr>
                <w:u w:val="single"/>
                <w:lang w:val="en-CA"/>
              </w:rPr>
              <w:t>has reasonable grounds to believe that the security or development of a child is or may be considered to be in danger within the meaning of section 38</w:t>
            </w:r>
            <w:r w:rsidRPr="00DD30DC">
              <w:rPr>
                <w:lang w:val="en-CA"/>
              </w:rPr>
              <w:t xml:space="preserve"> or 38.1, </w:t>
            </w:r>
            <w:r w:rsidRPr="005359DE">
              <w:rPr>
                <w:u w:val="single"/>
                <w:lang w:val="en-CA"/>
              </w:rPr>
              <w:t>must bring the situation to the attention of the director without delay</w:t>
            </w:r>
            <w:r w:rsidRPr="00DD30DC">
              <w:rPr>
                <w:lang w:val="en-CA"/>
              </w:rPr>
              <w:t xml:space="preserve">. The same obligation is incumbent upon any employee of an </w:t>
            </w:r>
            <w:r w:rsidRPr="00DD30DC">
              <w:rPr>
                <w:lang w:val="en-CA"/>
              </w:rPr>
              <w:lastRenderedPageBreak/>
              <w:t>institution, any teacher, any person working in a childcare establishment or any policeman who, in the performance of his duties, has reasonable grounds to believe that the security or development of a child is or may be considered to be in danger within the meaning of the said provisions.</w:t>
            </w:r>
          </w:p>
          <w:p w14:paraId="2CA83021" w14:textId="77777777" w:rsidR="00EC6D4B" w:rsidRPr="00DD30DC" w:rsidRDefault="00893AC8" w:rsidP="008A1100">
            <w:pPr>
              <w:pStyle w:val="Citationenretrait"/>
              <w:rPr>
                <w:lang w:val="en-CA"/>
              </w:rPr>
            </w:pPr>
            <w:r w:rsidRPr="00DD30DC">
              <w:rPr>
                <w:lang w:val="en-CA"/>
              </w:rPr>
              <w:t>Any person, other than a person referred to in the first paragraph, who has reasonable grounds to believe that the security or development of a child is considered to be in danger within the meaning of subparagraphs d and e of the second paragraph of section 38 must bring the situation to the attention of the director without delay.</w:t>
            </w:r>
          </w:p>
          <w:p w14:paraId="4B4B2A5E" w14:textId="77777777" w:rsidR="00EC6D4B" w:rsidRPr="00DD30DC" w:rsidRDefault="00893AC8" w:rsidP="008A1100">
            <w:pPr>
              <w:pStyle w:val="Citationenretrait"/>
              <w:rPr>
                <w:lang w:val="en-CA"/>
              </w:rPr>
            </w:pPr>
            <w:r w:rsidRPr="00DD30DC">
              <w:rPr>
                <w:lang w:val="en-CA"/>
              </w:rPr>
              <w:t>Any person, other than a person referred to in the first paragraph, who has reasonable grounds to believe that the security or development of a child is or may be considered to be in danger within the meaning of subparagraph a, b, c, c.1 or f of the second paragraph of section 38 or within the meaning of section 38.1 may bring the situation to the attention of the director.</w:t>
            </w:r>
          </w:p>
          <w:p w14:paraId="1DA543D3" w14:textId="77777777" w:rsidR="00EA0D4C" w:rsidRPr="00DD30DC" w:rsidRDefault="00893AC8" w:rsidP="008A1100">
            <w:pPr>
              <w:pStyle w:val="Citationenretrait"/>
              <w:rPr>
                <w:lang w:val="en-CA"/>
              </w:rPr>
            </w:pPr>
            <w:r w:rsidRPr="005359DE">
              <w:rPr>
                <w:b/>
                <w:lang w:val="en-CA"/>
              </w:rPr>
              <w:t>39.1.</w:t>
            </w:r>
            <w:r w:rsidRPr="00DD30DC">
              <w:rPr>
                <w:lang w:val="en-CA"/>
              </w:rPr>
              <w:t xml:space="preserve"> Any person who is required to report physical abuse or sexual abuse under section 39 must do so regardless of any steps taken by the parents to put an end to the situation.</w:t>
            </w:r>
          </w:p>
          <w:p w14:paraId="6827A9CD" w14:textId="77777777" w:rsidR="00D9303D" w:rsidRPr="00DD30DC" w:rsidRDefault="00893AC8" w:rsidP="008A1100">
            <w:pPr>
              <w:pStyle w:val="Citationenretrait"/>
              <w:rPr>
                <w:lang w:val="en-CA"/>
              </w:rPr>
            </w:pPr>
            <w:r w:rsidRPr="005359DE">
              <w:rPr>
                <w:b/>
                <w:lang w:val="en-CA"/>
              </w:rPr>
              <w:t>40.</w:t>
            </w:r>
            <w:r w:rsidRPr="00DD30DC">
              <w:rPr>
                <w:lang w:val="en-CA"/>
              </w:rPr>
              <w:t xml:space="preserve"> The person who reported a child’s situation under section 39 may communicate to the director any relevant information relating to the report about the child’s situation, with a view to ensuring the child’s protection.</w:t>
            </w:r>
          </w:p>
          <w:p w14:paraId="54AA077F" w14:textId="77777777" w:rsidR="00B628C4" w:rsidRPr="00DD30DC" w:rsidRDefault="00893AC8" w:rsidP="008A1100">
            <w:pPr>
              <w:pStyle w:val="Citationenretrait"/>
              <w:rPr>
                <w:lang w:val="en-CA"/>
              </w:rPr>
            </w:pPr>
            <w:r w:rsidRPr="00DD30DC">
              <w:rPr>
                <w:lang w:val="en-CA"/>
              </w:rPr>
              <w:t>The same applies to the person who, in the practice of a profession or the performance of a duty referred to in the first paragraph of that section, was involved in making such a report.</w:t>
            </w:r>
          </w:p>
          <w:p w14:paraId="19EE6DCD" w14:textId="77777777" w:rsidR="003E5374" w:rsidRPr="00DD30DC" w:rsidRDefault="00893AC8" w:rsidP="008A1100">
            <w:pPr>
              <w:pStyle w:val="Citationenretrait"/>
              <w:rPr>
                <w:lang w:val="en-CA"/>
              </w:rPr>
            </w:pPr>
            <w:r w:rsidRPr="00DD30DC">
              <w:rPr>
                <w:rStyle w:val="Hyperlien"/>
                <w:b/>
                <w:color w:val="auto"/>
                <w:u w:val="none"/>
                <w:lang w:val="en-CA"/>
              </w:rPr>
              <w:t>41.</w:t>
            </w:r>
            <w:r w:rsidRPr="00DD30DC">
              <w:rPr>
                <w:lang w:val="en-CA"/>
              </w:rPr>
              <w:t> Sections 39 and 40 apply even to persons who are bound by professional secrecy, except advocates and notaries who, in the practice of their profession, receive information concerning a situation described in section 38 or 38.1.</w:t>
            </w:r>
          </w:p>
          <w:p w14:paraId="6AF72311" w14:textId="77777777" w:rsidR="002956A4" w:rsidRDefault="00893AC8" w:rsidP="008A1100">
            <w:pPr>
              <w:pStyle w:val="Citationenretrait"/>
              <w:rPr>
                <w:lang w:val="en-CA"/>
              </w:rPr>
            </w:pPr>
            <w:r w:rsidRPr="005359DE">
              <w:rPr>
                <w:b/>
                <w:lang w:val="en-CA"/>
              </w:rPr>
              <w:t>42.</w:t>
            </w:r>
            <w:r w:rsidRPr="00DD30DC">
              <w:rPr>
                <w:lang w:val="en-CA"/>
              </w:rPr>
              <w:t xml:space="preserve"> An adult </w:t>
            </w:r>
            <w:r w:rsidRPr="00DD30DC">
              <w:rPr>
                <w:u w:val="single"/>
                <w:lang w:val="en-CA"/>
              </w:rPr>
              <w:t>is bound to bring the necessary assistance to a child who wishes to seize the competent authorities of a situation that endangers his security or development</w:t>
            </w:r>
            <w:r w:rsidRPr="00DD30DC">
              <w:rPr>
                <w:lang w:val="en-CA"/>
              </w:rPr>
              <w:t>, that of his brothers and sisters or that of any other child.</w:t>
            </w:r>
          </w:p>
          <w:p w14:paraId="26093BF6" w14:textId="77777777" w:rsidR="005359DE" w:rsidRPr="00DD30DC" w:rsidRDefault="005359DE" w:rsidP="008A1100">
            <w:pPr>
              <w:pStyle w:val="Citationenretrait"/>
              <w:rPr>
                <w:lang w:val="en-CA"/>
              </w:rPr>
            </w:pPr>
          </w:p>
          <w:p w14:paraId="4B4E1EB7" w14:textId="77777777" w:rsidR="008E55F5" w:rsidRDefault="00893AC8" w:rsidP="008A1100">
            <w:pPr>
              <w:pStyle w:val="Citationenretrait"/>
              <w:rPr>
                <w:lang w:val="en-CA"/>
              </w:rPr>
            </w:pPr>
            <w:r w:rsidRPr="005359DE">
              <w:rPr>
                <w:b/>
                <w:lang w:val="en-CA"/>
              </w:rPr>
              <w:t>43.</w:t>
            </w:r>
            <w:r w:rsidRPr="00DD30DC">
              <w:rPr>
                <w:lang w:val="en-CA"/>
              </w:rPr>
              <w:t xml:space="preserve"> No person may be prosecuted for acts done in good faith under section 39, 40 or 42.</w:t>
            </w:r>
          </w:p>
          <w:p w14:paraId="0EFD1DDD" w14:textId="77777777" w:rsidR="008E55F5" w:rsidRPr="005359DE" w:rsidRDefault="00893AC8" w:rsidP="008A1100">
            <w:pPr>
              <w:pStyle w:val="Citationenretrait"/>
              <w:jc w:val="right"/>
              <w:rPr>
                <w:lang w:val="en-CA"/>
              </w:rPr>
            </w:pPr>
            <w:r w:rsidRPr="005359DE">
              <w:rPr>
                <w:lang w:val="en-CA"/>
              </w:rPr>
              <w:t>[Soulignements du Tribunal]</w:t>
            </w:r>
          </w:p>
        </w:tc>
      </w:tr>
    </w:tbl>
    <w:p w14:paraId="0C6D0E5D" w14:textId="77777777" w:rsidR="007764E9" w:rsidRPr="007764E9" w:rsidRDefault="00893AC8" w:rsidP="008A1100">
      <w:pPr>
        <w:pStyle w:val="Titre3"/>
        <w:numPr>
          <w:ilvl w:val="1"/>
          <w:numId w:val="10"/>
        </w:numPr>
        <w:ind w:left="1701" w:hanging="567"/>
        <w:rPr>
          <w:b/>
          <w:bCs/>
        </w:rPr>
      </w:pPr>
      <w:r w:rsidRPr="00A10F0D">
        <w:rPr>
          <w:b/>
          <w:lang w:val="en-CA"/>
        </w:rPr>
        <w:lastRenderedPageBreak/>
        <w:t xml:space="preserve"> </w:t>
      </w:r>
      <w:bookmarkStart w:id="34" w:name="_Toc256000010"/>
      <w:bookmarkStart w:id="35" w:name="_Toc224727329"/>
      <w:r w:rsidRPr="00A10F0D">
        <w:rPr>
          <w:b/>
        </w:rPr>
        <w:t>Application aux faits</w:t>
      </w:r>
      <w:bookmarkEnd w:id="34"/>
      <w:bookmarkEnd w:id="35"/>
    </w:p>
    <w:p w14:paraId="4ECCB211" w14:textId="77777777" w:rsidR="00371C1F" w:rsidRDefault="00893AC8" w:rsidP="008A1100">
      <w:pPr>
        <w:pStyle w:val="Paragraphe"/>
        <w:spacing w:line="240" w:lineRule="auto"/>
      </w:pPr>
      <w:r>
        <w:t>M. Roy</w:t>
      </w:r>
      <w:r w:rsidR="003F6FE1">
        <w:t xml:space="preserve"> ne nie pas qu’il </w:t>
      </w:r>
      <w:r w:rsidR="009D6BE7">
        <w:t>ait</w:t>
      </w:r>
      <w:r w:rsidR="003F6FE1">
        <w:t xml:space="preserve"> effectué du travail d’ordre juridique « dans pleins de dossiers »</w:t>
      </w:r>
      <w:r w:rsidR="00341071">
        <w:t>.</w:t>
      </w:r>
    </w:p>
    <w:p w14:paraId="1DD81D6E" w14:textId="77777777" w:rsidR="00C736CF" w:rsidRDefault="00893AC8" w:rsidP="008A1100">
      <w:pPr>
        <w:pStyle w:val="Paragraphe"/>
        <w:spacing w:line="240" w:lineRule="auto"/>
      </w:pPr>
      <w:r>
        <w:t>Toutefois, il estime que la réd</w:t>
      </w:r>
      <w:r w:rsidR="00301DEC">
        <w:t>iger</w:t>
      </w:r>
      <w:r>
        <w:t xml:space="preserve"> de</w:t>
      </w:r>
      <w:r w:rsidR="00301DEC">
        <w:t>s</w:t>
      </w:r>
      <w:r>
        <w:t xml:space="preserve"> requêtes et </w:t>
      </w:r>
      <w:r w:rsidR="004F19C7">
        <w:t>offrir</w:t>
      </w:r>
      <w:r>
        <w:t xml:space="preserve"> des </w:t>
      </w:r>
      <w:r w:rsidR="004F19C7">
        <w:t>conseils</w:t>
      </w:r>
      <w:r>
        <w:t xml:space="preserve"> juridiques dans le domaine du droit </w:t>
      </w:r>
      <w:r w:rsidR="00301DEC">
        <w:t>d</w:t>
      </w:r>
      <w:r>
        <w:t>e la jeuness</w:t>
      </w:r>
      <w:r w:rsidR="004F19C7">
        <w:t>e</w:t>
      </w:r>
      <w:r>
        <w:t xml:space="preserve"> est justifié </w:t>
      </w:r>
      <w:r w:rsidR="004F19C7">
        <w:t>vu les circonstances suivantes.</w:t>
      </w:r>
    </w:p>
    <w:p w14:paraId="06EDC3FB" w14:textId="77777777" w:rsidR="003E751C" w:rsidRPr="00DB30C6" w:rsidRDefault="00893AC8" w:rsidP="008A1100">
      <w:pPr>
        <w:pStyle w:val="Paragraphe"/>
        <w:spacing w:line="240" w:lineRule="auto"/>
      </w:pPr>
      <w:r w:rsidRPr="00DB30C6">
        <w:t>Il reproche aux avocats représentant les parents dans les dossiers de protection de la jeunesse de dissimuler des éléments de preuve qui seraient favorables à ces derniers. C’est dans ce contexte que, dans ce qu’il considère être sa mission d’apporter aide, conseil et soutien aux enfants impliqués dans des dossiers mettant en cause la Direction de la protection de la jeunesse, il affirme avoir étudié de nombreux dossiers et rédigé des requêtes.</w:t>
      </w:r>
    </w:p>
    <w:p w14:paraId="6A841E71" w14:textId="77777777" w:rsidR="003E751C" w:rsidRPr="00DB30C6" w:rsidRDefault="00893AC8" w:rsidP="008A1100">
      <w:pPr>
        <w:pStyle w:val="Paragraphe"/>
        <w:spacing w:line="240" w:lineRule="auto"/>
      </w:pPr>
      <w:r w:rsidRPr="00DB30C6">
        <w:t>Selon M. Roy, dans 35 % à 40 % des dossiers qu’il dit avoir « enquêtés », il aurait constaté que les parents et/ou les enfants sont victimes de bavures judiciaires.</w:t>
      </w:r>
    </w:p>
    <w:p w14:paraId="6990BFF9" w14:textId="77777777" w:rsidR="003E751C" w:rsidRPr="00DB30C6" w:rsidRDefault="00893AC8" w:rsidP="008A1100">
      <w:pPr>
        <w:pStyle w:val="Paragraphe"/>
        <w:spacing w:line="240" w:lineRule="auto"/>
      </w:pPr>
      <w:r w:rsidRPr="00DB30C6">
        <w:t>Il est également profondément convaincu qu’il existe, au sein de la Direction de la protection de la jeunesse, un réseau d’enlèvement d’enfants auquel participeraient des avocats membres du Barreau du Québec pratiquant en droit de la jeunesse, ainsi que des juges de la Cour du Québec, Chambre de la jeunesse.</w:t>
      </w:r>
    </w:p>
    <w:p w14:paraId="71219503" w14:textId="77777777" w:rsidR="003E751C" w:rsidRPr="00DB30C6" w:rsidRDefault="00893AC8" w:rsidP="008A1100">
      <w:pPr>
        <w:pStyle w:val="Paragraphe"/>
        <w:spacing w:line="240" w:lineRule="auto"/>
      </w:pPr>
      <w:r w:rsidRPr="00DB30C6">
        <w:t>Selon lui, il s’agit d’un système corrompu. Il soutient que le huis clos à la Chambre de la jeunesse ne vise pas à protéger les enfants, mais plutôt à permettre aux acteurs du système judiciaire d’agir en toute impunité.</w:t>
      </w:r>
    </w:p>
    <w:p w14:paraId="305E80F6" w14:textId="77777777" w:rsidR="003E751C" w:rsidRPr="00DB30C6" w:rsidRDefault="00893AC8" w:rsidP="008A1100">
      <w:pPr>
        <w:pStyle w:val="Paragraphe"/>
        <w:spacing w:line="240" w:lineRule="auto"/>
      </w:pPr>
      <w:r w:rsidRPr="00DB30C6">
        <w:t>M. Roy répète ces affirmations devant les tribunaux depuis plusieurs années</w:t>
      </w:r>
      <w:r>
        <w:rPr>
          <w:vertAlign w:val="superscript"/>
        </w:rPr>
        <w:footnoteReference w:id="47"/>
      </w:r>
      <w:r w:rsidRPr="00DB30C6">
        <w:t>.</w:t>
      </w:r>
    </w:p>
    <w:p w14:paraId="3486345C" w14:textId="77777777" w:rsidR="003E751C" w:rsidRPr="00DB30C6" w:rsidRDefault="00893AC8" w:rsidP="008A1100">
      <w:pPr>
        <w:pStyle w:val="Paragraphe"/>
        <w:spacing w:line="240" w:lineRule="auto"/>
      </w:pPr>
      <w:r w:rsidRPr="00DB30C6">
        <w:t>Cette conviction remonterait à 2010, année où, selon lui, sa fille aînée aurait été victime d’abus sexuels de la part du nouveau conjoint de son ex-conjointe. Il allègue que les intervenants de la Chambre de la jeunesse auraient néanmoins permis qu’elle continue de vivre avec ces personnes, ce qui l’aurait profondément affecté.</w:t>
      </w:r>
    </w:p>
    <w:p w14:paraId="1B9382D8" w14:textId="77777777" w:rsidR="003E751C" w:rsidRPr="00DB30C6" w:rsidRDefault="00893AC8" w:rsidP="008A1100">
      <w:pPr>
        <w:pStyle w:val="Paragraphe"/>
        <w:spacing w:line="240" w:lineRule="auto"/>
      </w:pPr>
      <w:r w:rsidRPr="00DB30C6">
        <w:t>Depuis cet événement, M. Roy affirme avoir acquis, au fil des ans, une connaissance approfondie du droit de la protection de la jeunesse et du droit de la famille. Il précise ne pas prétendre posséder de compétences en droit civil, en dehors de ces domaines.</w:t>
      </w:r>
    </w:p>
    <w:p w14:paraId="050F4EA5" w14:textId="77777777" w:rsidR="00720573" w:rsidRDefault="00893AC8">
      <w:pPr>
        <w:rPr>
          <w:kern w:val="28"/>
        </w:rPr>
      </w:pPr>
      <w:r>
        <w:br w:type="page"/>
      </w:r>
    </w:p>
    <w:p w14:paraId="3748CFEE" w14:textId="77777777" w:rsidR="003E751C" w:rsidRPr="00DB30C6" w:rsidRDefault="00893AC8" w:rsidP="008A1100">
      <w:pPr>
        <w:pStyle w:val="Paragraphe"/>
        <w:spacing w:line="240" w:lineRule="auto"/>
      </w:pPr>
      <w:r w:rsidRPr="00DB30C6">
        <w:t>Il estime avoir pour mission de venir en aide aux parents et aux jeunes qu’il considère comme des « victimes de ce système corrompu », les intervenants du système de protection de la jeunesse, notamment les membres du Barreau du Québec, refusant selon lui de les assister.</w:t>
      </w:r>
    </w:p>
    <w:p w14:paraId="7F5DBBF1" w14:textId="77777777" w:rsidR="003E751C" w:rsidRPr="00DB30C6" w:rsidRDefault="00893AC8" w:rsidP="008A1100">
      <w:pPr>
        <w:pStyle w:val="Paragraphe"/>
        <w:spacing w:line="240" w:lineRule="auto"/>
      </w:pPr>
      <w:r w:rsidRPr="00DB30C6">
        <w:t>À son avis, ce devoir justifie qu’il rédige des procédures et prodigue des conseils juridiques à des personnes qui, selon lui, sont laissées à elles-mêmes par le système.</w:t>
      </w:r>
    </w:p>
    <w:p w14:paraId="4A000EA0" w14:textId="77777777" w:rsidR="003E751C" w:rsidRPr="00DB30C6" w:rsidRDefault="00893AC8" w:rsidP="008A1100">
      <w:pPr>
        <w:pStyle w:val="Paragraphe"/>
        <w:spacing w:line="240" w:lineRule="auto"/>
      </w:pPr>
      <w:r w:rsidRPr="00DB30C6">
        <w:t xml:space="preserve">M. Roy soutient ainsi que l’article 42 de la </w:t>
      </w:r>
      <w:r w:rsidRPr="000A7465">
        <w:rPr>
          <w:i/>
          <w:iCs/>
        </w:rPr>
        <w:t>L.p.j.</w:t>
      </w:r>
      <w:r w:rsidRPr="00DB30C6">
        <w:t xml:space="preserve"> non seulement l’autorise à poser des actes relevant du champ de pratique exclusif des avocats en vertu de la </w:t>
      </w:r>
      <w:r w:rsidRPr="000A7465">
        <w:rPr>
          <w:i/>
          <w:iCs/>
        </w:rPr>
        <w:t>Loi sur le Barreau</w:t>
      </w:r>
      <w:r w:rsidRPr="00DB30C6">
        <w:t>, mais lui impose également le devoir d’enquêter sur des dossiers de protection de la jeunesse, de colliger de la preuve et de rédiger des requêtes destinées à être produites dans des instances en cours devant la Cour du Québec, Chambre de la jeunesse.</w:t>
      </w:r>
    </w:p>
    <w:p w14:paraId="7F3DF68C" w14:textId="77777777" w:rsidR="003E751C" w:rsidRPr="00DB30C6" w:rsidRDefault="00893AC8" w:rsidP="008A1100">
      <w:pPr>
        <w:pStyle w:val="Paragraphe"/>
        <w:spacing w:line="240" w:lineRule="auto"/>
      </w:pPr>
      <w:r w:rsidRPr="00DB30C6">
        <w:t>Au procès, M. Roy s’est livré à des attaques virulentes contre le système de justice. Son témoignage est truffé de propos incendiaires, parfois décousus et souvent sans lien ni pertinence avec les questions en litige.</w:t>
      </w:r>
    </w:p>
    <w:p w14:paraId="072864AE" w14:textId="77777777" w:rsidR="003E751C" w:rsidRPr="00DB30C6" w:rsidRDefault="00893AC8" w:rsidP="008A1100">
      <w:pPr>
        <w:pStyle w:val="Paragraphe"/>
        <w:spacing w:line="240" w:lineRule="auto"/>
      </w:pPr>
      <w:r w:rsidRPr="00DB30C6">
        <w:t>À plusieurs reprises, il a élevé la voix, lancé des injures aux avocats représentant le Barreau du Québec, tenté de provoquer et s’est adressé non pas au tribunal, mais à ses partisans présents dans la salle d’audience ou en ligne.</w:t>
      </w:r>
    </w:p>
    <w:p w14:paraId="33AB1897" w14:textId="77777777" w:rsidR="003E751C" w:rsidRPr="00DB30C6" w:rsidRDefault="00893AC8" w:rsidP="008A1100">
      <w:pPr>
        <w:pStyle w:val="Paragraphe"/>
        <w:spacing w:line="240" w:lineRule="auto"/>
      </w:pPr>
      <w:r w:rsidRPr="00DB30C6">
        <w:t>Il a conclu son témoignage en confirmant avoir rédigé, pour des parents, plusieurs requêtes destinées à être produites dans des instances en cours devant la Cour du Québec, Chambre de la jeunesse.</w:t>
      </w:r>
    </w:p>
    <w:p w14:paraId="45DB273B" w14:textId="77777777" w:rsidR="003E751C" w:rsidRPr="00DB30C6" w:rsidRDefault="00893AC8" w:rsidP="008A1100">
      <w:pPr>
        <w:pStyle w:val="Paragraphe"/>
        <w:spacing w:line="240" w:lineRule="auto"/>
      </w:pPr>
      <w:r w:rsidRPr="00DB30C6">
        <w:t xml:space="preserve">Il soutient que ses actions ne constituent pas un exercice illégal de la profession d’avocat, mais plutôt l’exercice légitime d’un droit garanti par la </w:t>
      </w:r>
      <w:r w:rsidRPr="005E1D1D">
        <w:rPr>
          <w:i/>
          <w:iCs/>
        </w:rPr>
        <w:t>L.p.j</w:t>
      </w:r>
      <w:r w:rsidRPr="00DB30C6">
        <w:t>., au regard des termes de l’article 42.</w:t>
      </w:r>
    </w:p>
    <w:p w14:paraId="037CDC20" w14:textId="77777777" w:rsidR="003E751C" w:rsidRPr="00DB30C6" w:rsidRDefault="00893AC8" w:rsidP="008A1100">
      <w:pPr>
        <w:pStyle w:val="Paragraphe"/>
        <w:spacing w:line="240" w:lineRule="auto"/>
      </w:pPr>
      <w:r w:rsidRPr="00DB30C6">
        <w:t xml:space="preserve">Il plaide en outre que, puisqu’il a toujours agi de bonne foi, il bénéficie de l’immunité prévue à l’article 43 </w:t>
      </w:r>
      <w:r w:rsidRPr="00B014BB">
        <w:rPr>
          <w:i/>
          <w:iCs/>
        </w:rPr>
        <w:t>L.p.j.</w:t>
      </w:r>
    </w:p>
    <w:p w14:paraId="68157B5C" w14:textId="77777777" w:rsidR="00A85FA6" w:rsidRPr="00C87F7A" w:rsidRDefault="00893AC8" w:rsidP="008A1100">
      <w:pPr>
        <w:pStyle w:val="Paragraphe"/>
        <w:spacing w:line="240" w:lineRule="auto"/>
      </w:pPr>
      <w:r w:rsidRPr="00C87F7A">
        <w:t>Bref, selon M. Roy, la fin justifie les moyens.</w:t>
      </w:r>
    </w:p>
    <w:p w14:paraId="1B2A5A0E" w14:textId="77777777" w:rsidR="00A85FA6" w:rsidRPr="00C87F7A" w:rsidRDefault="00893AC8" w:rsidP="008A1100">
      <w:pPr>
        <w:pStyle w:val="Paragraphe"/>
        <w:spacing w:line="240" w:lineRule="auto"/>
      </w:pPr>
      <w:r w:rsidRPr="00C87F7A">
        <w:t>En conséquence, il demande au Tribunal de rejeter purement et simplement « les accusations » portées contre lui</w:t>
      </w:r>
      <w:r w:rsidR="007779DF">
        <w:t xml:space="preserve"> par le Barreau.</w:t>
      </w:r>
    </w:p>
    <w:p w14:paraId="42CD9890" w14:textId="77777777" w:rsidR="00AD5C50" w:rsidRDefault="00893AC8" w:rsidP="008A1100">
      <w:pPr>
        <w:pStyle w:val="Paragraphe"/>
        <w:spacing w:line="240" w:lineRule="auto"/>
      </w:pPr>
      <w:r w:rsidRPr="00454755">
        <w:t xml:space="preserve">Le moyen de défense de M. Roy, fondé sur les articles 42 et 43 </w:t>
      </w:r>
      <w:r w:rsidRPr="00454755">
        <w:rPr>
          <w:i/>
          <w:iCs/>
        </w:rPr>
        <w:t>L.p.j</w:t>
      </w:r>
      <w:r w:rsidRPr="00454755">
        <w:t xml:space="preserve">., est dépourvu de fondement pour deux raisons : i) la </w:t>
      </w:r>
      <w:r w:rsidRPr="00454755">
        <w:rPr>
          <w:i/>
          <w:iCs/>
        </w:rPr>
        <w:t xml:space="preserve">Loi sur le Barreau </w:t>
      </w:r>
      <w:r w:rsidRPr="00454755">
        <w:t xml:space="preserve">énonce expressément qu’elle a préséance sur toute autre loi, y compris la </w:t>
      </w:r>
      <w:r w:rsidRPr="00454755">
        <w:rPr>
          <w:i/>
          <w:iCs/>
        </w:rPr>
        <w:t>Loi sur la protection de la jeunesse</w:t>
      </w:r>
      <w:r w:rsidRPr="00454755">
        <w:t>, en matière d’exercice de la profession d’avocat; ii) l’application des principes d’interprétation des lois milite contre sa thèse.</w:t>
      </w:r>
    </w:p>
    <w:p w14:paraId="64629F1B" w14:textId="77777777" w:rsidR="00694803" w:rsidRPr="00DA3C3F" w:rsidRDefault="00893AC8" w:rsidP="008A1100">
      <w:pPr>
        <w:pStyle w:val="Paragraphe"/>
        <w:spacing w:line="240" w:lineRule="auto"/>
        <w:rPr>
          <w:kern w:val="0"/>
        </w:rPr>
      </w:pPr>
      <w:r w:rsidRPr="00C87F7A">
        <w:t xml:space="preserve">La </w:t>
      </w:r>
      <w:r w:rsidRPr="00C87F7A">
        <w:rPr>
          <w:i/>
          <w:iCs/>
        </w:rPr>
        <w:t>Loi sur le Barreau</w:t>
      </w:r>
      <w:r w:rsidRPr="00C87F7A">
        <w:t xml:space="preserve"> et ses règles encadrant la profession d</w:t>
      </w:r>
      <w:r w:rsidR="00ED05C0" w:rsidRPr="00C87F7A">
        <w:t>’avocat</w:t>
      </w:r>
      <w:r w:rsidR="00CD7EF7" w:rsidRPr="00C87F7A">
        <w:t xml:space="preserve"> préva</w:t>
      </w:r>
      <w:r w:rsidR="004814AF">
        <w:t>lent</w:t>
      </w:r>
      <w:r w:rsidR="00CD7EF7" w:rsidRPr="00C87F7A">
        <w:t xml:space="preserve"> sur toutes disposition</w:t>
      </w:r>
      <w:r w:rsidR="00531E29" w:rsidRPr="00C87F7A">
        <w:t xml:space="preserve"> </w:t>
      </w:r>
      <w:r w:rsidR="00CD7EF7" w:rsidRPr="00C87F7A">
        <w:t xml:space="preserve">de la </w:t>
      </w:r>
      <w:r w:rsidR="00CD7EF7" w:rsidRPr="00C87F7A">
        <w:rPr>
          <w:i/>
          <w:iCs/>
        </w:rPr>
        <w:t>Loi sur la protection de la jeunesse</w:t>
      </w:r>
      <w:r w:rsidR="00DA3C3F">
        <w:t xml:space="preserve"> </w:t>
      </w:r>
      <w:r w:rsidR="00643FE3">
        <w:t>vu les termes clairs de ces lois</w:t>
      </w:r>
      <w:r w:rsidR="004814AF">
        <w:t>.</w:t>
      </w:r>
    </w:p>
    <w:p w14:paraId="367EC3FF" w14:textId="77777777" w:rsidR="00CD7EF7" w:rsidRPr="00C87F7A" w:rsidRDefault="00893AC8" w:rsidP="008A1100">
      <w:pPr>
        <w:pStyle w:val="Paragraphe"/>
        <w:spacing w:line="240" w:lineRule="auto"/>
      </w:pPr>
      <w:r w:rsidRPr="00C87F7A">
        <w:t xml:space="preserve">L’article 132 de la </w:t>
      </w:r>
      <w:r w:rsidRPr="00C87F7A">
        <w:rPr>
          <w:i/>
          <w:iCs/>
        </w:rPr>
        <w:t>Loi sur le Barreau</w:t>
      </w:r>
      <w:r w:rsidRPr="00C87F7A">
        <w:t xml:space="preserve"> prévoit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A34AC5" w14:paraId="10C96067" w14:textId="77777777" w:rsidTr="00A10F0D">
        <w:tc>
          <w:tcPr>
            <w:tcW w:w="4676" w:type="dxa"/>
          </w:tcPr>
          <w:p w14:paraId="3831EAC6" w14:textId="77777777" w:rsidR="00CD7EF7" w:rsidRPr="00C87F7A" w:rsidRDefault="00893AC8" w:rsidP="008A1100">
            <w:pPr>
              <w:pStyle w:val="Citationenretrait"/>
              <w:rPr>
                <w:b/>
                <w:bCs/>
              </w:rPr>
            </w:pPr>
            <w:r w:rsidRPr="00C87F7A">
              <w:rPr>
                <w:b/>
                <w:bCs/>
              </w:rPr>
              <w:t>SECTION XIV</w:t>
            </w:r>
          </w:p>
          <w:p w14:paraId="6E087F4D" w14:textId="77777777" w:rsidR="00CD7EF7" w:rsidRPr="00C87F7A" w:rsidRDefault="00893AC8" w:rsidP="008A1100">
            <w:pPr>
              <w:pStyle w:val="Citationenretrait"/>
            </w:pPr>
            <w:r w:rsidRPr="00C87F7A">
              <w:t>EXERCICE ILLÉGAL DE LA PROFESSION D’AVOCAT</w:t>
            </w:r>
          </w:p>
          <w:p w14:paraId="570890DA" w14:textId="77777777" w:rsidR="00531E29" w:rsidRPr="00C87F7A" w:rsidRDefault="00893AC8" w:rsidP="008A1100">
            <w:pPr>
              <w:pStyle w:val="Citationenretrait"/>
              <w:rPr>
                <w:u w:val="single"/>
              </w:rPr>
            </w:pPr>
            <w:r w:rsidRPr="00C87F7A">
              <w:rPr>
                <w:b/>
                <w:bCs/>
              </w:rPr>
              <w:t>132</w:t>
            </w:r>
            <w:r w:rsidRPr="00C87F7A">
              <w:t xml:space="preserve">. </w:t>
            </w:r>
            <w:r w:rsidR="00B07531" w:rsidRPr="00C87F7A">
              <w:rPr>
                <w:u w:val="single"/>
              </w:rPr>
              <w:t>Nonobstant toute loi contraire et sans restreindre la portée de la présente loi</w:t>
            </w:r>
            <w:r w:rsidR="00B07531" w:rsidRPr="00C87F7A">
              <w:t xml:space="preserve">, quiconque exerce la profession d’avocat sans être inscrit au Tableau commet une infraction et est passible des peines prévues à l’article 188 du Code des professions </w:t>
            </w:r>
            <w:r w:rsidR="00B07531" w:rsidRPr="00C87F7A">
              <w:rPr>
                <w:rStyle w:val="Hyperlien"/>
                <w:color w:val="auto"/>
                <w:u w:val="none"/>
              </w:rPr>
              <w:t>(chapitre C-26)</w:t>
            </w:r>
            <w:r w:rsidR="00A10F0D">
              <w:t>.</w:t>
            </w:r>
          </w:p>
        </w:tc>
        <w:tc>
          <w:tcPr>
            <w:tcW w:w="4676" w:type="dxa"/>
          </w:tcPr>
          <w:p w14:paraId="7EA9D9FA" w14:textId="77777777" w:rsidR="00CD7EF7" w:rsidRPr="00DD30DC" w:rsidRDefault="00893AC8" w:rsidP="008A1100">
            <w:pPr>
              <w:pStyle w:val="Citationenretrait"/>
              <w:rPr>
                <w:b/>
                <w:lang w:val="en-CA"/>
              </w:rPr>
            </w:pPr>
            <w:r w:rsidRPr="00DD30DC">
              <w:rPr>
                <w:b/>
                <w:lang w:val="en-CA"/>
              </w:rPr>
              <w:t>DIVISION XIV</w:t>
            </w:r>
          </w:p>
          <w:p w14:paraId="551C4368" w14:textId="77777777" w:rsidR="00CD7EF7" w:rsidRPr="00DD30DC" w:rsidRDefault="00893AC8" w:rsidP="008A1100">
            <w:pPr>
              <w:pStyle w:val="Citationenretrait"/>
              <w:rPr>
                <w:lang w:val="en-CA"/>
              </w:rPr>
            </w:pPr>
            <w:r w:rsidRPr="00DD30DC">
              <w:rPr>
                <w:lang w:val="en-CA"/>
              </w:rPr>
              <w:t>LLEGAL PRACTICE OF THE PROFESSION OF ADVOCATE</w:t>
            </w:r>
          </w:p>
          <w:p w14:paraId="3852C2BA" w14:textId="77777777" w:rsidR="00CD7EF7" w:rsidRDefault="00893AC8" w:rsidP="008A1100">
            <w:pPr>
              <w:pStyle w:val="Citationenretrait"/>
              <w:rPr>
                <w:lang w:val="en-CA"/>
              </w:rPr>
            </w:pPr>
            <w:r w:rsidRPr="00DD30DC">
              <w:rPr>
                <w:rStyle w:val="Hyperlien"/>
                <w:b/>
                <w:color w:val="auto"/>
                <w:u w:val="none"/>
                <w:lang w:val="en-CA"/>
              </w:rPr>
              <w:t>132.</w:t>
            </w:r>
            <w:r w:rsidRPr="00DD30DC">
              <w:rPr>
                <w:lang w:val="en-CA"/>
              </w:rPr>
              <w:t> </w:t>
            </w:r>
            <w:r w:rsidRPr="00DD30DC">
              <w:rPr>
                <w:u w:val="single"/>
                <w:lang w:val="en-CA"/>
              </w:rPr>
              <w:t>Notwithstanding any law to the contrary and without limiting the scope of this Ac</w:t>
            </w:r>
            <w:r w:rsidRPr="00DD30DC">
              <w:rPr>
                <w:lang w:val="en-CA"/>
              </w:rPr>
              <w:t>t, whoever practises the profession of advocate without being entered on the Roll is guilty of an offence and is liable to the penalties provided in section 188 of the Professional Code (</w:t>
            </w:r>
            <w:r w:rsidRPr="00DD30DC">
              <w:rPr>
                <w:rStyle w:val="Hyperlien"/>
                <w:color w:val="auto"/>
                <w:u w:val="none"/>
                <w:lang w:val="en-CA"/>
              </w:rPr>
              <w:t>chapter C</w:t>
            </w:r>
            <w:r w:rsidRPr="00DD30DC">
              <w:rPr>
                <w:rStyle w:val="Hyperlien"/>
                <w:rFonts w:ascii="Cambria Math" w:hAnsi="Cambria Math" w:cs="Cambria Math"/>
                <w:color w:val="auto"/>
                <w:u w:val="none"/>
                <w:lang w:val="en-CA"/>
              </w:rPr>
              <w:t>‐</w:t>
            </w:r>
            <w:r w:rsidRPr="00DD30DC">
              <w:rPr>
                <w:rStyle w:val="Hyperlien"/>
                <w:color w:val="auto"/>
                <w:u w:val="none"/>
                <w:lang w:val="en-CA"/>
              </w:rPr>
              <w:t>26</w:t>
            </w:r>
            <w:r w:rsidRPr="00DD30DC">
              <w:rPr>
                <w:lang w:val="en-CA"/>
              </w:rPr>
              <w:t>).</w:t>
            </w:r>
          </w:p>
          <w:p w14:paraId="5A051A28" w14:textId="77777777" w:rsidR="00CD7EF7" w:rsidRPr="00DD30DC" w:rsidRDefault="00893AC8" w:rsidP="008A1100">
            <w:pPr>
              <w:pStyle w:val="Citationenretrait"/>
              <w:jc w:val="right"/>
              <w:rPr>
                <w:u w:val="single"/>
                <w:lang w:val="en-CA"/>
              </w:rPr>
            </w:pPr>
            <w:r w:rsidRPr="00C87F7A">
              <w:t>[Soulignement du Tribunal]</w:t>
            </w:r>
          </w:p>
        </w:tc>
      </w:tr>
    </w:tbl>
    <w:p w14:paraId="18840A2A" w14:textId="77777777" w:rsidR="00CD7EF7" w:rsidRDefault="00893AC8" w:rsidP="008A1100">
      <w:pPr>
        <w:pStyle w:val="Paragraphe"/>
        <w:spacing w:line="240" w:lineRule="auto"/>
      </w:pPr>
      <w:r w:rsidRPr="00C87F7A">
        <w:t>Ce texte est clair.</w:t>
      </w:r>
    </w:p>
    <w:p w14:paraId="1C86B052" w14:textId="77777777" w:rsidR="0087286B" w:rsidRDefault="00893AC8" w:rsidP="008A1100">
      <w:pPr>
        <w:pStyle w:val="Paragraphe"/>
        <w:spacing w:line="240" w:lineRule="auto"/>
      </w:pPr>
      <w:r>
        <w:t xml:space="preserve">Aucune loi autre que la </w:t>
      </w:r>
      <w:r w:rsidRPr="00A3619B">
        <w:rPr>
          <w:i/>
          <w:iCs/>
        </w:rPr>
        <w:t xml:space="preserve">Loi sur le </w:t>
      </w:r>
      <w:r w:rsidR="00A3619B">
        <w:rPr>
          <w:i/>
          <w:iCs/>
        </w:rPr>
        <w:t>B</w:t>
      </w:r>
      <w:r w:rsidRPr="00A3619B">
        <w:rPr>
          <w:i/>
          <w:iCs/>
        </w:rPr>
        <w:t>arreau</w:t>
      </w:r>
      <w:r>
        <w:t xml:space="preserve"> </w:t>
      </w:r>
      <w:r w:rsidR="002B20EB">
        <w:t>et par extension</w:t>
      </w:r>
      <w:r w:rsidR="008359EB">
        <w:t>,</w:t>
      </w:r>
      <w:r w:rsidR="002B20EB">
        <w:t xml:space="preserve"> le </w:t>
      </w:r>
      <w:r w:rsidR="002B20EB" w:rsidRPr="00F72D5B">
        <w:rPr>
          <w:i/>
          <w:iCs/>
        </w:rPr>
        <w:t>Code des professions</w:t>
      </w:r>
      <w:r w:rsidR="008359EB">
        <w:t xml:space="preserve">, ne peut conférer à une personne le droit </w:t>
      </w:r>
      <w:r w:rsidR="00BC0E01">
        <w:t xml:space="preserve">d’être avocat. </w:t>
      </w:r>
    </w:p>
    <w:p w14:paraId="76270311" w14:textId="77777777" w:rsidR="00BC0E01" w:rsidRDefault="00893AC8" w:rsidP="008A1100">
      <w:pPr>
        <w:pStyle w:val="Paragraphe"/>
        <w:spacing w:line="240" w:lineRule="auto"/>
      </w:pPr>
      <w:r>
        <w:t>Le texte des articles 26</w:t>
      </w:r>
      <w:r>
        <w:rPr>
          <w:rStyle w:val="Appelnotedebasdep"/>
        </w:rPr>
        <w:footnoteReference w:id="48"/>
      </w:r>
      <w:r>
        <w:t xml:space="preserve"> et 32</w:t>
      </w:r>
      <w:r>
        <w:rPr>
          <w:rStyle w:val="Appelnotedebasdep"/>
        </w:rPr>
        <w:footnoteReference w:id="49"/>
      </w:r>
      <w:r>
        <w:t xml:space="preserve"> d</w:t>
      </w:r>
      <w:r w:rsidR="007A752A">
        <w:t xml:space="preserve">u </w:t>
      </w:r>
      <w:r w:rsidR="007A752A" w:rsidRPr="007A752A">
        <w:rPr>
          <w:i/>
          <w:iCs/>
        </w:rPr>
        <w:t>Code des professions</w:t>
      </w:r>
      <w:r>
        <w:t xml:space="preserve"> confirm</w:t>
      </w:r>
      <w:r w:rsidR="00527772">
        <w:t>ent ce principe.</w:t>
      </w:r>
    </w:p>
    <w:p w14:paraId="51AD95BE" w14:textId="77777777" w:rsidR="002E1ED7" w:rsidRPr="00C87F7A" w:rsidRDefault="00893AC8" w:rsidP="008A1100">
      <w:pPr>
        <w:pStyle w:val="Paragraphe"/>
        <w:spacing w:line="240" w:lineRule="auto"/>
      </w:pPr>
      <w:r w:rsidRPr="00C87F7A">
        <w:t xml:space="preserve">La </w:t>
      </w:r>
      <w:r w:rsidRPr="00C87F7A">
        <w:rPr>
          <w:i/>
          <w:iCs/>
        </w:rPr>
        <w:t>Loi sur la protection de la jeunesse</w:t>
      </w:r>
      <w:r w:rsidRPr="00C87F7A">
        <w:t xml:space="preserve"> a pour objet la protection de l’enfant dont la sécurité ou le développement est ou peut être considéré comme compromis. Elle a aussi pour objet de mettre fin à la situation qui compromet la sécurité ou le développement de l’enfant et d’éviter qu’elle ne se reproduise.</w:t>
      </w:r>
    </w:p>
    <w:p w14:paraId="0B566987" w14:textId="77777777" w:rsidR="002E1ED7" w:rsidRPr="00C87F7A" w:rsidRDefault="00893AC8" w:rsidP="008A1100">
      <w:pPr>
        <w:pStyle w:val="Paragraphe"/>
        <w:spacing w:line="240" w:lineRule="auto"/>
      </w:pPr>
      <w:r w:rsidRPr="00C87F7A">
        <w:t xml:space="preserve">Il ne s’agit pas </w:t>
      </w:r>
      <w:r w:rsidR="004814AF">
        <w:t>d’</w:t>
      </w:r>
      <w:r w:rsidRPr="00C87F7A">
        <w:t xml:space="preserve">une loi qui vise à </w:t>
      </w:r>
      <w:r w:rsidRPr="00C87F7A">
        <w:rPr>
          <w:lang w:bidi="fr-FR"/>
        </w:rPr>
        <w:t>encadrer la profession juridique.</w:t>
      </w:r>
    </w:p>
    <w:p w14:paraId="0D1B08CF" w14:textId="77777777" w:rsidR="00527772" w:rsidRPr="00C87F7A" w:rsidRDefault="00893AC8" w:rsidP="008A1100">
      <w:pPr>
        <w:pStyle w:val="Paragraphe"/>
        <w:spacing w:line="240" w:lineRule="auto"/>
      </w:pPr>
      <w:r>
        <w:t>Ainsi</w:t>
      </w:r>
      <w:r w:rsidR="00F63F1F">
        <w:t>,</w:t>
      </w:r>
      <w:r w:rsidR="00F63F1F" w:rsidRPr="00F63F1F">
        <w:t xml:space="preserve"> </w:t>
      </w:r>
      <w:r w:rsidR="00F63F1F">
        <w:t>l</w:t>
      </w:r>
      <w:r w:rsidR="00F63F1F" w:rsidRPr="00C87F7A">
        <w:t xml:space="preserve">orsque le législateur énonce à l’article 42 </w:t>
      </w:r>
      <w:r w:rsidR="00F63F1F" w:rsidRPr="006D0FD0">
        <w:rPr>
          <w:i/>
          <w:iCs/>
        </w:rPr>
        <w:t>Lp.j.</w:t>
      </w:r>
      <w:r w:rsidR="00F63F1F" w:rsidRPr="00C87F7A">
        <w:t xml:space="preserve"> qu’un « adulte est tenu d’apporter l’aide nécessaire à un enfant qui désire saisir les autorités compétentes d’une situation compromettant sa sécurité ou son développement »</w:t>
      </w:r>
      <w:r w:rsidR="00F63F1F">
        <w:t xml:space="preserve">, cela ne peut raisonnablement se traduire en une </w:t>
      </w:r>
      <w:r w:rsidR="006D0FD0" w:rsidRPr="006D0FD0">
        <w:t>autorisation générale et automatique d’accomplir des actes qui relèvent de la prérogative exclusive de l’avocat en exercice</w:t>
      </w:r>
      <w:r w:rsidR="00020B14">
        <w:t>.</w:t>
      </w:r>
    </w:p>
    <w:p w14:paraId="612D997B" w14:textId="77777777" w:rsidR="00694803" w:rsidRPr="00C87F7A" w:rsidRDefault="00893AC8" w:rsidP="008A1100">
      <w:pPr>
        <w:pStyle w:val="Paragraphe"/>
        <w:spacing w:line="240" w:lineRule="auto"/>
      </w:pPr>
      <w:r>
        <w:t>Par ailleurs, l</w:t>
      </w:r>
      <w:r w:rsidR="00C87F7A" w:rsidRPr="00C87F7A">
        <w:t xml:space="preserve">’application des principes d’interprétation des lois milite contre </w:t>
      </w:r>
      <w:r w:rsidR="008E31F0">
        <w:t>l</w:t>
      </w:r>
      <w:r w:rsidR="00C87F7A" w:rsidRPr="00C87F7A">
        <w:t>a thèse</w:t>
      </w:r>
      <w:r w:rsidR="008E31F0">
        <w:t xml:space="preserve"> du défendeur</w:t>
      </w:r>
      <w:r w:rsidR="00AD13A5">
        <w:t>.</w:t>
      </w:r>
    </w:p>
    <w:p w14:paraId="2D65EAF0" w14:textId="77777777" w:rsidR="002919B8" w:rsidRDefault="00893AC8" w:rsidP="008A1100">
      <w:pPr>
        <w:pStyle w:val="Paragraphe"/>
        <w:spacing w:line="240" w:lineRule="auto"/>
      </w:pPr>
      <w:r w:rsidRPr="00C87F7A">
        <w:t xml:space="preserve">L’argument de M. Roy fondé sur les articles 42 et 43 </w:t>
      </w:r>
      <w:r w:rsidRPr="00020B14">
        <w:rPr>
          <w:i/>
        </w:rPr>
        <w:t>L.p.j.</w:t>
      </w:r>
      <w:r w:rsidRPr="00C87F7A">
        <w:t xml:space="preserve"> </w:t>
      </w:r>
      <w:r>
        <w:t xml:space="preserve">fait appel aux règles d’interprétation des lois, </w:t>
      </w:r>
      <w:r w:rsidR="00CC46C3">
        <w:t>y compris</w:t>
      </w:r>
      <w:r>
        <w:t xml:space="preserve"> les règles portant sur les conflits des lois entre</w:t>
      </w:r>
      <w:r w:rsidR="00AD13A5">
        <w:t xml:space="preserve"> </w:t>
      </w:r>
      <w:r>
        <w:t>elles</w:t>
      </w:r>
      <w:r w:rsidR="005963B8">
        <w:t xml:space="preserve"> et le principe de la cohérence entre les lois</w:t>
      </w:r>
      <w:r>
        <w:t>.</w:t>
      </w:r>
    </w:p>
    <w:p w14:paraId="39F2B834" w14:textId="77777777" w:rsidR="0090018D" w:rsidRPr="00C87F7A" w:rsidRDefault="00893AC8" w:rsidP="008A1100">
      <w:pPr>
        <w:pStyle w:val="Paragraphe"/>
        <w:spacing w:line="240" w:lineRule="auto"/>
        <w:rPr>
          <w:lang w:eastAsia="fr-CA"/>
        </w:rPr>
      </w:pPr>
      <w:r>
        <w:rPr>
          <w:lang w:eastAsia="fr-CA"/>
        </w:rPr>
        <w:t xml:space="preserve">Tout d’abord, interpréter l’article 42 </w:t>
      </w:r>
      <w:r w:rsidRPr="00020B14">
        <w:rPr>
          <w:i/>
          <w:lang w:eastAsia="fr-CA"/>
        </w:rPr>
        <w:t>L.p.j.</w:t>
      </w:r>
      <w:r>
        <w:rPr>
          <w:lang w:eastAsia="fr-CA"/>
        </w:rPr>
        <w:t xml:space="preserve"> comme le suggère M. Roy irait à l’encontre d</w:t>
      </w:r>
      <w:r w:rsidR="00077A47">
        <w:rPr>
          <w:lang w:eastAsia="fr-CA"/>
        </w:rPr>
        <w:t>u</w:t>
      </w:r>
      <w:r w:rsidR="003768B7">
        <w:rPr>
          <w:lang w:eastAsia="fr-CA"/>
        </w:rPr>
        <w:t xml:space="preserve"> </w:t>
      </w:r>
      <w:r>
        <w:rPr>
          <w:lang w:eastAsia="fr-CA"/>
        </w:rPr>
        <w:t>principe de la présomption de cohérence entre elles.</w:t>
      </w:r>
    </w:p>
    <w:p w14:paraId="2F917384" w14:textId="77777777" w:rsidR="000C1845" w:rsidRDefault="00893AC8" w:rsidP="008A1100">
      <w:pPr>
        <w:pStyle w:val="Paragraphe"/>
        <w:spacing w:line="240" w:lineRule="auto"/>
      </w:pPr>
      <w:r>
        <w:t xml:space="preserve">Les auteurs </w:t>
      </w:r>
      <w:r w:rsidRPr="004B3D68">
        <w:t>Pierre-André Côté et Mathieu Devinat</w:t>
      </w:r>
      <w:r>
        <w:t xml:space="preserve"> </w:t>
      </w:r>
      <w:r w:rsidR="00B91C24">
        <w:t>écrivent</w:t>
      </w:r>
      <w:r>
        <w:t xml:space="preserve"> dans l’ouvrage </w:t>
      </w:r>
      <w:r w:rsidR="00B91C24" w:rsidRPr="00B91C24">
        <w:rPr>
          <w:i/>
          <w:iCs/>
        </w:rPr>
        <w:t>Interprétation des lois</w:t>
      </w:r>
      <w:r>
        <w:rPr>
          <w:rStyle w:val="Appelnotedebasdep"/>
        </w:rPr>
        <w:footnoteReference w:id="50"/>
      </w:r>
      <w:r w:rsidR="00B91C24">
        <w:t>:</w:t>
      </w:r>
    </w:p>
    <w:p w14:paraId="7A095382" w14:textId="77777777" w:rsidR="002E7DCC" w:rsidRPr="002E7DCC" w:rsidRDefault="00893AC8" w:rsidP="008A1100">
      <w:pPr>
        <w:pStyle w:val="Citationenretrait"/>
        <w:rPr>
          <w:lang w:eastAsia="fr-CA"/>
        </w:rPr>
      </w:pPr>
      <w:r w:rsidRPr="002E7DCC">
        <w:rPr>
          <w:b/>
          <w:bCs/>
          <w:color w:val="212121"/>
          <w:bdr w:val="none" w:sz="0" w:space="0" w:color="auto" w:frame="1"/>
          <w:lang w:eastAsia="fr-CA"/>
        </w:rPr>
        <w:t>1182.</w:t>
      </w:r>
      <w:r w:rsidRPr="002E7DCC">
        <w:rPr>
          <w:lang w:eastAsia="fr-CA"/>
        </w:rPr>
        <w:t xml:space="preserve"> On suppose qu'il règne, entre les divers textes législatifs adoptés par une même autorité, la même harmonie que celle que l'on trouve entre les divers éléments d'une loi : l'ensemble des lois est censé former un tout cohérent</w:t>
      </w:r>
      <w:r w:rsidRPr="002E7DCC">
        <w:rPr>
          <w:color w:val="212121"/>
          <w:bdr w:val="none" w:sz="0" w:space="0" w:color="auto" w:frame="1"/>
          <w:vertAlign w:val="superscript"/>
          <w:lang w:eastAsia="fr-CA"/>
        </w:rPr>
        <w:t>218</w:t>
      </w:r>
      <w:r w:rsidRPr="002E7DCC">
        <w:rPr>
          <w:lang w:eastAsia="fr-CA"/>
        </w:rPr>
        <w:t xml:space="preserve">. </w:t>
      </w:r>
      <w:r w:rsidRPr="003768B7">
        <w:rPr>
          <w:u w:val="single"/>
          <w:lang w:eastAsia="fr-CA"/>
        </w:rPr>
        <w:t>L'interprète doit donc favoriser l'harmonisation des lois entre elles plutôt que leur contradiction, car le sens de la loi qui produit l'harmonie avec les autres lois est réputé représenter plus fidèlement la pensée de son auteur que celui qui produit des antinomies</w:t>
      </w:r>
      <w:r w:rsidRPr="002E7DCC">
        <w:rPr>
          <w:color w:val="212121"/>
          <w:bdr w:val="none" w:sz="0" w:space="0" w:color="auto" w:frame="1"/>
          <w:vertAlign w:val="superscript"/>
          <w:lang w:eastAsia="fr-CA"/>
        </w:rPr>
        <w:t>219</w:t>
      </w:r>
      <w:r w:rsidRPr="002E7DCC">
        <w:rPr>
          <w:lang w:eastAsia="fr-CA"/>
        </w:rPr>
        <w:t>.</w:t>
      </w:r>
    </w:p>
    <w:p w14:paraId="52D5AA25" w14:textId="77777777" w:rsidR="002E7DCC" w:rsidRDefault="00893AC8" w:rsidP="008A1100">
      <w:pPr>
        <w:pStyle w:val="Citationenretrait"/>
        <w:rPr>
          <w:lang w:eastAsia="fr-CA"/>
        </w:rPr>
      </w:pPr>
      <w:r w:rsidRPr="002E7DCC">
        <w:rPr>
          <w:b/>
          <w:bCs/>
          <w:color w:val="212121"/>
          <w:bdr w:val="none" w:sz="0" w:space="0" w:color="auto" w:frame="1"/>
          <w:lang w:eastAsia="fr-CA"/>
        </w:rPr>
        <w:t>1183.</w:t>
      </w:r>
      <w:r w:rsidRPr="002E7DCC">
        <w:rPr>
          <w:lang w:eastAsia="fr-CA"/>
        </w:rPr>
        <w:t xml:space="preserve"> Plus concrètement, la présomption de cohérence des lois entre elles se manifeste avec d'autant plus d'intensité que les lois en question portent sur la même matière, sont « </w:t>
      </w:r>
      <w:r w:rsidRPr="002E7DCC">
        <w:rPr>
          <w:i/>
          <w:iCs/>
          <w:color w:val="212121"/>
          <w:bdr w:val="none" w:sz="0" w:space="0" w:color="auto" w:frame="1"/>
          <w:lang w:eastAsia="fr-CA"/>
        </w:rPr>
        <w:t>in pari materia</w:t>
      </w:r>
      <w:r w:rsidRPr="002E7DCC">
        <w:rPr>
          <w:lang w:eastAsia="fr-CA"/>
        </w:rPr>
        <w:t xml:space="preserve"> », comme on a l'habitude de dire. D'autre part, il peut apparaître certains conflits entre différentes lois, conflits que l'interprète devra résoudre de manière à rétablir l'harmonie.</w:t>
      </w:r>
    </w:p>
    <w:p w14:paraId="69ED3A76" w14:textId="77777777" w:rsidR="00AD13A5" w:rsidRPr="00AD13A5" w:rsidRDefault="00893AC8" w:rsidP="008A1100">
      <w:pPr>
        <w:pStyle w:val="Citationenretrait"/>
        <w:jc w:val="right"/>
        <w:rPr>
          <w:lang w:eastAsia="fr-CA"/>
        </w:rPr>
      </w:pPr>
      <w:r w:rsidRPr="00AD13A5">
        <w:rPr>
          <w:color w:val="212121"/>
          <w:bdr w:val="none" w:sz="0" w:space="0" w:color="auto" w:frame="1"/>
          <w:lang w:eastAsia="fr-CA"/>
        </w:rPr>
        <w:t>[Soulignement du Tribunal]</w:t>
      </w:r>
    </w:p>
    <w:p w14:paraId="4CE8A5B8" w14:textId="77777777" w:rsidR="00EC1D20" w:rsidRDefault="00893AC8" w:rsidP="008A1100">
      <w:pPr>
        <w:pStyle w:val="Paragraphe"/>
        <w:spacing w:line="240" w:lineRule="auto"/>
      </w:pPr>
      <w:r>
        <w:t xml:space="preserve">De plus, interpréter les articles 42 et 43 </w:t>
      </w:r>
      <w:r>
        <w:rPr>
          <w:i/>
          <w:iCs/>
        </w:rPr>
        <w:t>L.p.j.</w:t>
      </w:r>
      <w:r>
        <w:t xml:space="preserve"> comme créant une exception à la règle énoncée à l’article 128 de la </w:t>
      </w:r>
      <w:r w:rsidRPr="003A2BDD">
        <w:rPr>
          <w:i/>
          <w:iCs/>
        </w:rPr>
        <w:t>Loi sur le Barreau</w:t>
      </w:r>
      <w:r>
        <w:t xml:space="preserve"> irait à l’encontre de </w:t>
      </w:r>
      <w:r w:rsidRPr="00EA6038">
        <w:t xml:space="preserve">l’esprit, l’objet et l’intention </w:t>
      </w:r>
      <w:r>
        <w:t xml:space="preserve">de la </w:t>
      </w:r>
      <w:r w:rsidRPr="00EC1D20">
        <w:rPr>
          <w:i/>
          <w:iCs/>
        </w:rPr>
        <w:t xml:space="preserve">Loi sur le </w:t>
      </w:r>
      <w:r>
        <w:rPr>
          <w:i/>
          <w:iCs/>
        </w:rPr>
        <w:t>B</w:t>
      </w:r>
      <w:r w:rsidRPr="00EC1D20">
        <w:rPr>
          <w:i/>
          <w:iCs/>
        </w:rPr>
        <w:t>arreau</w:t>
      </w:r>
      <w:r w:rsidR="002C0268">
        <w:t>, loi qui vise</w:t>
      </w:r>
      <w:r>
        <w:t xml:space="preserve"> la protection du public.</w:t>
      </w:r>
    </w:p>
    <w:p w14:paraId="142A706B" w14:textId="77777777" w:rsidR="00882F6B" w:rsidRDefault="00893AC8" w:rsidP="008A1100">
      <w:pPr>
        <w:pStyle w:val="Paragraphe"/>
        <w:spacing w:line="240" w:lineRule="auto"/>
      </w:pPr>
      <w:r>
        <w:t xml:space="preserve">Ce principe est rappelé par la Cour d’appel dans </w:t>
      </w:r>
      <w:r w:rsidRPr="003A2BDD">
        <w:rPr>
          <w:i/>
          <w:iCs/>
        </w:rPr>
        <w:t xml:space="preserve">Chambre des notaires du Québec </w:t>
      </w:r>
      <w:r w:rsidRPr="00A10F0D">
        <w:t>c</w:t>
      </w:r>
      <w:r w:rsidRPr="003A2BDD">
        <w:rPr>
          <w:i/>
          <w:iCs/>
        </w:rPr>
        <w:t>. Compagnie d'assurances FCT ltée</w:t>
      </w:r>
      <w:r>
        <w:rPr>
          <w:rStyle w:val="Appelnotedebasdep"/>
        </w:rPr>
        <w:footnoteReference w:id="51"/>
      </w:r>
      <w:r>
        <w:t> :</w:t>
      </w:r>
    </w:p>
    <w:p w14:paraId="3B2773EA" w14:textId="77777777" w:rsidR="00882F6B" w:rsidRDefault="00893AC8" w:rsidP="008A1100">
      <w:pPr>
        <w:pStyle w:val="Citationenretrait"/>
        <w:rPr>
          <w:sz w:val="24"/>
          <w:lang w:eastAsia="fr-CA"/>
        </w:rPr>
      </w:pPr>
      <w:r>
        <w:t>[46]</w:t>
      </w:r>
      <w:r>
        <w:rPr>
          <w:sz w:val="14"/>
          <w:szCs w:val="14"/>
        </w:rPr>
        <w:t>        </w:t>
      </w:r>
      <w:r>
        <w:t>L’interprétation d’une loi conférant un acte réservé à une profession doit donc s’accomplir d’une façon qui s’harmonise avec l’esprit, l’objet et l’intention d’une telle loi, soit la protection du public. Ainsi, si l’acte professionnel réservé ne peut s’étendre au-delà de ce qui est nécessaire pour protéger le public, il doit aussi s’interpréter de façon à ce que le but visé par l’acte réservé, c’est-à-dire la protection du public, soit effectivement accompli.</w:t>
      </w:r>
    </w:p>
    <w:p w14:paraId="7396B6F0" w14:textId="77777777" w:rsidR="00882F6B" w:rsidRDefault="00893AC8" w:rsidP="008A1100">
      <w:pPr>
        <w:pStyle w:val="Citationenretrait"/>
      </w:pPr>
      <w:r>
        <w:t>[47]</w:t>
      </w:r>
      <w:r>
        <w:rPr>
          <w:sz w:val="14"/>
          <w:szCs w:val="14"/>
        </w:rPr>
        <w:t>        </w:t>
      </w:r>
      <w:r>
        <w:t>Le juge Gonthier énonçait le principe de façon claire dans </w:t>
      </w:r>
      <w:r>
        <w:rPr>
          <w:i/>
          <w:iCs/>
        </w:rPr>
        <w:t>Fortin c. Chrétien </w:t>
      </w:r>
      <w:r>
        <w:t>:</w:t>
      </w:r>
    </w:p>
    <w:p w14:paraId="77F51AB5" w14:textId="77777777" w:rsidR="00882F6B" w:rsidRDefault="00893AC8" w:rsidP="008A1100">
      <w:pPr>
        <w:pStyle w:val="Citationenretrait"/>
        <w:ind w:left="1134" w:right="1424"/>
        <w:rPr>
          <w:szCs w:val="22"/>
        </w:rPr>
      </w:pPr>
      <w:r>
        <w:rPr>
          <w:rStyle w:val="bold1"/>
          <w:rFonts w:cs="Arial"/>
          <w:color w:val="000000"/>
          <w:szCs w:val="22"/>
        </w:rPr>
        <w:t>[21] </w:t>
      </w:r>
      <w:r>
        <w:rPr>
          <w:szCs w:val="22"/>
        </w:rPr>
        <w:t>    L'ordre public est constitué de certains interdits sociaux qui restreignent la liberté contractuelle des parties. Ils marquent l'existence, au-delà des intérêts particuliers, d'intérêts généraux que les parties doivent respecter (</w:t>
      </w:r>
      <w:r w:rsidRPr="00304DEC">
        <w:rPr>
          <w:rFonts w:cs="Arial"/>
          <w:szCs w:val="22"/>
        </w:rPr>
        <w:t>art. 9</w:t>
      </w:r>
      <w:r>
        <w:rPr>
          <w:szCs w:val="22"/>
        </w:rPr>
        <w:t> </w:t>
      </w:r>
      <w:r w:rsidRPr="00304DEC">
        <w:rPr>
          <w:rFonts w:cs="Arial"/>
          <w:szCs w:val="22"/>
        </w:rPr>
        <w:t>C.c.Q.</w:t>
      </w:r>
      <w:r>
        <w:rPr>
          <w:szCs w:val="22"/>
        </w:rPr>
        <w:t>). Le critère qui distingue les lois d'ordre public des autres types de loi réside dans l'intérêt public, plutôt que simplement privé, dont se soucie le législateur. </w:t>
      </w:r>
      <w:r>
        <w:rPr>
          <w:szCs w:val="22"/>
          <w:u w:val="single"/>
        </w:rPr>
        <w:t>Je partage l'opinion de la Cour d'appel selon laquelle les dispositions de la </w:t>
      </w:r>
      <w:r>
        <w:rPr>
          <w:i/>
          <w:iCs/>
          <w:szCs w:val="22"/>
          <w:u w:val="single"/>
        </w:rPr>
        <w:t>Loi sur le Barreau</w:t>
      </w:r>
      <w:r>
        <w:rPr>
          <w:szCs w:val="22"/>
          <w:u w:val="single"/>
        </w:rPr>
        <w:t> concernant l'exercice de la profession d'avocat sont d'ordre public, puisqu'elles tendent à protéger l'intérêt général. La doctrine est unanime à ce sujet</w:t>
      </w:r>
      <w:r>
        <w:rPr>
          <w:szCs w:val="22"/>
        </w:rPr>
        <w:t>. […]</w:t>
      </w:r>
    </w:p>
    <w:p w14:paraId="110E85F9" w14:textId="77777777" w:rsidR="00882F6B" w:rsidRDefault="00893AC8" w:rsidP="008A1100">
      <w:pPr>
        <w:pStyle w:val="Citationenretrait"/>
        <w:ind w:left="1134" w:right="1424"/>
        <w:rPr>
          <w:szCs w:val="22"/>
        </w:rPr>
      </w:pPr>
      <w:r>
        <w:rPr>
          <w:szCs w:val="22"/>
        </w:rPr>
        <w:t>[22]     Les tribunaux se sont également penchés sur la question. </w:t>
      </w:r>
      <w:r>
        <w:rPr>
          <w:szCs w:val="22"/>
          <w:u w:val="single"/>
        </w:rPr>
        <w:t>Dans l'affaire </w:t>
      </w:r>
      <w:r>
        <w:rPr>
          <w:i/>
          <w:iCs/>
          <w:szCs w:val="22"/>
          <w:u w:val="single"/>
        </w:rPr>
        <w:t>Pauzé c. Gauvin</w:t>
      </w:r>
      <w:r>
        <w:rPr>
          <w:szCs w:val="22"/>
          <w:u w:val="single"/>
        </w:rPr>
        <w:t>, </w:t>
      </w:r>
      <w:r w:rsidRPr="00304DEC">
        <w:rPr>
          <w:rFonts w:cs="Arial"/>
          <w:szCs w:val="22"/>
        </w:rPr>
        <w:t>1953 CanLII 65 (SCC)</w:t>
      </w:r>
      <w:r>
        <w:rPr>
          <w:rStyle w:val="reflex3-block"/>
          <w:rFonts w:cs="Arial"/>
          <w:color w:val="000000"/>
          <w:szCs w:val="22"/>
        </w:rPr>
        <w:t>, </w:t>
      </w:r>
      <w:r>
        <w:rPr>
          <w:rStyle w:val="reflex3-block"/>
          <w:rFonts w:cs="Arial"/>
          <w:color w:val="000000"/>
          <w:szCs w:val="22"/>
          <w:u w:val="single"/>
        </w:rPr>
        <w:t>[1954] R.C.S. 15, p. 19, </w:t>
      </w:r>
      <w:r>
        <w:rPr>
          <w:szCs w:val="22"/>
          <w:u w:val="single"/>
        </w:rPr>
        <w:t>notre Cour a déclaré que la </w:t>
      </w:r>
      <w:r>
        <w:rPr>
          <w:i/>
          <w:iCs/>
          <w:szCs w:val="22"/>
          <w:u w:val="single"/>
        </w:rPr>
        <w:t>Loi des architectes</w:t>
      </w:r>
      <w:r>
        <w:rPr>
          <w:szCs w:val="22"/>
          <w:u w:val="single"/>
        </w:rPr>
        <w:t>, S.R.Q. 1941, ch. 272, avait été adoptée en vue de protéger l'intérêt général et de procurer au public les services de personnes réellement compétentes, afin d'assurer que les édifices soient convenablement construits</w:t>
      </w:r>
      <w:r>
        <w:rPr>
          <w:szCs w:val="22"/>
        </w:rPr>
        <w:t>. Cette position fut réitérée dans l'affaire </w:t>
      </w:r>
      <w:r>
        <w:rPr>
          <w:i/>
          <w:iCs/>
          <w:szCs w:val="22"/>
        </w:rPr>
        <w:t>Garcia Transport Ltée c. Cie Trust Royal</w:t>
      </w:r>
      <w:r>
        <w:rPr>
          <w:szCs w:val="22"/>
        </w:rPr>
        <w:t>, </w:t>
      </w:r>
      <w:r w:rsidRPr="00304DEC">
        <w:rPr>
          <w:rFonts w:cs="Arial"/>
          <w:szCs w:val="22"/>
        </w:rPr>
        <w:t>1992 CanLII 70 (CSC)</w:t>
      </w:r>
      <w:r>
        <w:rPr>
          <w:rStyle w:val="reflex3-block"/>
          <w:rFonts w:cs="Arial"/>
          <w:color w:val="000000"/>
          <w:szCs w:val="22"/>
        </w:rPr>
        <w:t>, [1992] 2 R.C.S. 499</w:t>
      </w:r>
      <w:r>
        <w:rPr>
          <w:szCs w:val="22"/>
        </w:rPr>
        <w:t>. À la page 524, le juge L'Heureux-Dubé, exprimant l'opinion de notre Cour, faisait état du fait que les tribunaux avaient jugé de façon constante que les lois établissant des normes professionnelles étaient d'ordre public, bien qu'en un sens elles protégeaient un groupe restreint au sein de la société. […]</w:t>
      </w:r>
    </w:p>
    <w:p w14:paraId="75364A71" w14:textId="77777777" w:rsidR="00882F6B" w:rsidRDefault="00893AC8" w:rsidP="008A1100">
      <w:pPr>
        <w:pStyle w:val="Citationenretrait"/>
      </w:pPr>
      <w:r>
        <w:rPr>
          <w:szCs w:val="22"/>
        </w:rPr>
        <w:t>[Soulignement ajouté]</w:t>
      </w:r>
      <w:r>
        <w:t xml:space="preserve"> </w:t>
      </w:r>
    </w:p>
    <w:p w14:paraId="3ED2B89A" w14:textId="77777777" w:rsidR="00882F6B" w:rsidRDefault="00893AC8" w:rsidP="008A1100">
      <w:pPr>
        <w:pStyle w:val="Citationenretrait"/>
        <w:rPr>
          <w:sz w:val="24"/>
          <w:szCs w:val="24"/>
        </w:rPr>
      </w:pPr>
      <w:r>
        <w:t>[48]</w:t>
      </w:r>
      <w:r>
        <w:rPr>
          <w:sz w:val="14"/>
          <w:szCs w:val="14"/>
        </w:rPr>
        <w:t>        </w:t>
      </w:r>
      <w:r>
        <w:t>C’est d’ailleurs en des termes similaires que s’exprimait récemment le juge Brown </w:t>
      </w:r>
      <w:r>
        <w:rPr>
          <w:rStyle w:val="reflex"/>
          <w:rFonts w:cs="Arial"/>
          <w:color w:val="000000"/>
        </w:rPr>
        <w:t>dans </w:t>
      </w:r>
      <w:r>
        <w:rPr>
          <w:rStyle w:val="reflex"/>
          <w:rFonts w:cs="Arial"/>
          <w:i/>
          <w:iCs/>
          <w:color w:val="000000"/>
        </w:rPr>
        <w:t xml:space="preserve">Barreau du Québec </w:t>
      </w:r>
      <w:r w:rsidRPr="00020B14">
        <w:rPr>
          <w:rStyle w:val="reflex"/>
          <w:rFonts w:cs="Arial"/>
          <w:color w:val="000000"/>
        </w:rPr>
        <w:t>c</w:t>
      </w:r>
      <w:r>
        <w:rPr>
          <w:rStyle w:val="reflex"/>
          <w:rFonts w:cs="Arial"/>
          <w:i/>
          <w:iCs/>
          <w:color w:val="000000"/>
        </w:rPr>
        <w:t>. Québec (Procureure générale)</w:t>
      </w:r>
      <w:r>
        <w:rPr>
          <w:i/>
          <w:iCs/>
        </w:rPr>
        <w:t> </w:t>
      </w:r>
      <w:r>
        <w:t>:</w:t>
      </w:r>
    </w:p>
    <w:p w14:paraId="3500C6FC" w14:textId="77777777" w:rsidR="00882F6B" w:rsidRDefault="00893AC8" w:rsidP="008A1100">
      <w:pPr>
        <w:pStyle w:val="Citationenretrait"/>
        <w:ind w:left="1134" w:right="1424"/>
        <w:rPr>
          <w:szCs w:val="22"/>
        </w:rPr>
      </w:pPr>
      <w:r>
        <w:rPr>
          <w:szCs w:val="22"/>
        </w:rPr>
        <w:t>[29]</w:t>
      </w:r>
      <w:r>
        <w:rPr>
          <w:sz w:val="14"/>
          <w:szCs w:val="14"/>
        </w:rPr>
        <w:t>   </w:t>
      </w:r>
      <w:r>
        <w:rPr>
          <w:szCs w:val="22"/>
        </w:rPr>
        <w:t>Il est généralement du ressort exclusif de l’avocat de fournir des services juridiques pour le compte d’autrui. Le monopole est garanti au Québec par la </w:t>
      </w:r>
      <w:r>
        <w:rPr>
          <w:i/>
          <w:iCs/>
          <w:szCs w:val="22"/>
        </w:rPr>
        <w:t>Loi sur le Barreau</w:t>
      </w:r>
      <w:r>
        <w:rPr>
          <w:szCs w:val="22"/>
        </w:rPr>
        <w:t>, loi qui régit l’exercice de la profession d’avocat. </w:t>
      </w:r>
      <w:r>
        <w:rPr>
          <w:szCs w:val="22"/>
          <w:u w:val="single"/>
        </w:rPr>
        <w:t>Cet « encadrement particulier de l’exercice de la profession juridique » est justifié par l’importance des actes accomplis par les avocats</w:t>
      </w:r>
      <w:r>
        <w:rPr>
          <w:szCs w:val="22"/>
        </w:rPr>
        <w:t>, </w:t>
      </w:r>
      <w:r>
        <w:rPr>
          <w:szCs w:val="22"/>
          <w:u w:val="single"/>
        </w:rPr>
        <w:t>par la vulnérabilité des justiciables</w:t>
      </w:r>
      <w:r>
        <w:rPr>
          <w:szCs w:val="22"/>
        </w:rPr>
        <w:t> qui leur confient leurs droits </w:t>
      </w:r>
      <w:r>
        <w:rPr>
          <w:szCs w:val="22"/>
          <w:u w:val="single"/>
        </w:rPr>
        <w:t>et par la nécessité de préserver la relation de confiance qui existe entre eux</w:t>
      </w:r>
      <w:r>
        <w:rPr>
          <w:szCs w:val="22"/>
        </w:rPr>
        <w:t> (</w:t>
      </w:r>
      <w:r>
        <w:rPr>
          <w:i/>
          <w:iCs/>
          <w:szCs w:val="22"/>
        </w:rPr>
        <w:t>Fortin</w:t>
      </w:r>
      <w:r>
        <w:rPr>
          <w:szCs w:val="22"/>
        </w:rPr>
        <w:t>, par. 17). </w:t>
      </w:r>
      <w:r>
        <w:rPr>
          <w:szCs w:val="22"/>
          <w:u w:val="single"/>
        </w:rPr>
        <w:t>Il convient de garder ces objectifs en tête dans l’interprétation des exceptions au monopole général d’exercice reconnu aux avocats.</w:t>
      </w:r>
    </w:p>
    <w:p w14:paraId="79DE7F9E" w14:textId="77777777" w:rsidR="00882F6B" w:rsidRDefault="00893AC8" w:rsidP="008A1100">
      <w:pPr>
        <w:pStyle w:val="Citationenretrait"/>
        <w:ind w:left="1134" w:right="1424"/>
        <w:rPr>
          <w:szCs w:val="22"/>
        </w:rPr>
      </w:pPr>
      <w:r>
        <w:rPr>
          <w:szCs w:val="22"/>
        </w:rPr>
        <w:t>[Soulignement ajouté]</w:t>
      </w:r>
    </w:p>
    <w:p w14:paraId="67D2DAF0" w14:textId="77777777" w:rsidR="00882F6B" w:rsidRDefault="00893AC8" w:rsidP="008A1100">
      <w:pPr>
        <w:pStyle w:val="Citationenretrait"/>
      </w:pPr>
      <w:r>
        <w:t>[49]</w:t>
      </w:r>
      <w:r>
        <w:rPr>
          <w:sz w:val="14"/>
          <w:szCs w:val="14"/>
        </w:rPr>
        <w:t>        </w:t>
      </w:r>
      <w:r>
        <w:t xml:space="preserve">Ainsi, les actes ou services professionnels qu’une loi décrète comme l’exercice exclusif d’une profession servent à protéger le public. Lorsqu’une disposition d’une telle loi est ambiguë, cette disposition ne doit pas être interprétée de façon à indûment étendre la portée des actes et services d’exercice exclusif, car cela ne servirait pas la protection du public; par contre, la portée de la disposition ne doit pas non plus être indûment restreinte, de sorte que la protection du public soit mise en péril. </w:t>
      </w:r>
      <w:r w:rsidRPr="00B823FE">
        <w:rPr>
          <w:u w:val="single"/>
        </w:rPr>
        <w:t>En somme, c’est la protection du public qui doit principalement guider l’interprétation d’une disposition législative conférant un acte ou un service exclusivement à une profession particulière</w:t>
      </w:r>
      <w:r>
        <w:t>.</w:t>
      </w:r>
    </w:p>
    <w:p w14:paraId="1F2623D9" w14:textId="77777777" w:rsidR="00882F6B" w:rsidRDefault="00893AC8" w:rsidP="008A1100">
      <w:pPr>
        <w:pStyle w:val="Citationenretrait"/>
        <w:jc w:val="right"/>
        <w:rPr>
          <w:sz w:val="24"/>
          <w:szCs w:val="24"/>
        </w:rPr>
      </w:pPr>
      <w:r>
        <w:t>[Soulignement du Tribunal – Renvois omis]</w:t>
      </w:r>
    </w:p>
    <w:p w14:paraId="1539FC93" w14:textId="77777777" w:rsidR="009144A0" w:rsidRDefault="00893AC8" w:rsidP="008A1100">
      <w:pPr>
        <w:pStyle w:val="Paragraphe"/>
        <w:spacing w:line="240" w:lineRule="auto"/>
      </w:pPr>
      <w:r>
        <w:t xml:space="preserve">Dans l’interprétation des article 42 et 43 </w:t>
      </w:r>
      <w:r>
        <w:rPr>
          <w:i/>
          <w:iCs/>
        </w:rPr>
        <w:t>L.p.j.</w:t>
      </w:r>
      <w:r>
        <w:t>, et plus particulièrement de savoir si ces articles crée</w:t>
      </w:r>
      <w:r w:rsidR="00AD13A5">
        <w:t>nt</w:t>
      </w:r>
      <w:r>
        <w:t xml:space="preserve"> une exception à l’article 128.1b) de la </w:t>
      </w:r>
      <w:r w:rsidRPr="00F64A77">
        <w:rPr>
          <w:i/>
        </w:rPr>
        <w:t xml:space="preserve">Loi sur le </w:t>
      </w:r>
      <w:r w:rsidR="0008212C">
        <w:rPr>
          <w:i/>
        </w:rPr>
        <w:t>B</w:t>
      </w:r>
      <w:r w:rsidRPr="00F64A77">
        <w:rPr>
          <w:i/>
        </w:rPr>
        <w:t>arreau</w:t>
      </w:r>
      <w:r>
        <w:t xml:space="preserve">, le </w:t>
      </w:r>
      <w:r w:rsidR="0008212C">
        <w:t>T</w:t>
      </w:r>
      <w:r>
        <w:t>ribunal doit aussi tenir compte</w:t>
      </w:r>
      <w:r w:rsidR="007368A0">
        <w:t xml:space="preserve"> des propos du juge Brown dans</w:t>
      </w:r>
      <w:r>
        <w:t xml:space="preserve"> </w:t>
      </w:r>
      <w:r w:rsidRPr="0008212C">
        <w:rPr>
          <w:i/>
          <w:iCs/>
        </w:rPr>
        <w:t xml:space="preserve">Barreau du Québec </w:t>
      </w:r>
      <w:r w:rsidRPr="00AD13A5">
        <w:t>c</w:t>
      </w:r>
      <w:r w:rsidRPr="0008212C">
        <w:rPr>
          <w:i/>
          <w:iCs/>
        </w:rPr>
        <w:t>. PGQ</w:t>
      </w:r>
      <w:r>
        <w:rPr>
          <w:rStyle w:val="Appelnotedebasdep"/>
        </w:rPr>
        <w:footnoteReference w:id="52"/>
      </w:r>
      <w:r>
        <w:t> :</w:t>
      </w:r>
    </w:p>
    <w:p w14:paraId="6C9B447A" w14:textId="77777777" w:rsidR="009144A0" w:rsidRDefault="00893AC8" w:rsidP="008A1100">
      <w:pPr>
        <w:pStyle w:val="Citationenretrait"/>
      </w:pPr>
      <w:r w:rsidRPr="00325E94">
        <w:t>[29]   Il est généralement du ressort exclusif de l’avocat de fournir des services juridiques pour le compte d’autrui. Le monopole est garanti au Québec par la Loi sur le Barreau, loi qui régit l’exercice de la profession d’avocat. Cet « encadrement particulier de l’exercice de la profession juridique » est justifié par l’importance des actes accomplis par les avocats, par la vulnérabilité des justiciables qui leur confient leurs droits et par la nécessité de préserver la relation de confiance qui existe entre eux (Fortin, par. 17). Il convient de garder ces objectifs en tête dans l’interprétation des exceptions au monopole général d’exercice reconnu aux avocats.</w:t>
      </w:r>
    </w:p>
    <w:p w14:paraId="1B9EFB8D" w14:textId="77777777" w:rsidR="00F64A77" w:rsidRDefault="00893AC8" w:rsidP="008A1100">
      <w:pPr>
        <w:pStyle w:val="Paragraphe"/>
        <w:spacing w:line="240" w:lineRule="auto"/>
      </w:pPr>
      <w:r>
        <w:t xml:space="preserve">Les </w:t>
      </w:r>
      <w:r w:rsidR="00D1324D">
        <w:t>articles</w:t>
      </w:r>
      <w:r>
        <w:t xml:space="preserve"> </w:t>
      </w:r>
      <w:r w:rsidRPr="00535FFF">
        <w:t xml:space="preserve">42 </w:t>
      </w:r>
      <w:r>
        <w:t xml:space="preserve">et 43 </w:t>
      </w:r>
      <w:r w:rsidR="00020B14" w:rsidRPr="00020B14">
        <w:rPr>
          <w:i/>
          <w:iCs/>
        </w:rPr>
        <w:t>L.p.j.</w:t>
      </w:r>
      <w:r w:rsidRPr="00535FFF">
        <w:t xml:space="preserve"> </w:t>
      </w:r>
      <w:r>
        <w:t xml:space="preserve">ne </w:t>
      </w:r>
      <w:r w:rsidR="007345C1">
        <w:t>créent</w:t>
      </w:r>
      <w:r w:rsidR="00D1324D">
        <w:t xml:space="preserve"> pas un </w:t>
      </w:r>
      <w:r w:rsidR="007345C1">
        <w:t>passe-droit</w:t>
      </w:r>
      <w:r w:rsidR="00D1324D">
        <w:t xml:space="preserve"> </w:t>
      </w:r>
      <w:r w:rsidR="007345C1">
        <w:t xml:space="preserve">permettant à un </w:t>
      </w:r>
      <w:r w:rsidR="005D2637">
        <w:t>justiciable</w:t>
      </w:r>
      <w:r w:rsidR="007345C1">
        <w:t xml:space="preserve"> d’ignorer </w:t>
      </w:r>
      <w:r w:rsidR="005D2637">
        <w:t>d</w:t>
      </w:r>
      <w:r w:rsidR="007345C1">
        <w:t>es obligations</w:t>
      </w:r>
      <w:r w:rsidR="005D2637">
        <w:t xml:space="preserve"> découlant d</w:t>
      </w:r>
      <w:r w:rsidR="00AB5097">
        <w:t>’un</w:t>
      </w:r>
      <w:r w:rsidR="005D2637">
        <w:t xml:space="preserve">e </w:t>
      </w:r>
      <w:r w:rsidR="00AB5097">
        <w:t>autre</w:t>
      </w:r>
      <w:r w:rsidR="005D2637">
        <w:t xml:space="preserve"> loi ou </w:t>
      </w:r>
      <w:r w:rsidR="00AB5097">
        <w:t>d’</w:t>
      </w:r>
      <w:r w:rsidR="005D2637">
        <w:t xml:space="preserve">un jugement. </w:t>
      </w:r>
    </w:p>
    <w:p w14:paraId="3D25142F" w14:textId="77777777" w:rsidR="00CF4462" w:rsidRDefault="00893AC8" w:rsidP="008A1100">
      <w:pPr>
        <w:pStyle w:val="Paragraphe"/>
        <w:spacing w:line="240" w:lineRule="auto"/>
      </w:pPr>
      <w:r>
        <w:t xml:space="preserve">Cela </w:t>
      </w:r>
      <w:r w:rsidR="00C65E95">
        <w:t>est bien</w:t>
      </w:r>
      <w:r>
        <w:t xml:space="preserve"> illustré par l’affaire </w:t>
      </w:r>
      <w:r w:rsidR="00BF4E7C" w:rsidRPr="00754A92">
        <w:rPr>
          <w:i/>
          <w:iCs/>
        </w:rPr>
        <w:t>Droit de la famille — 221446</w:t>
      </w:r>
      <w:r>
        <w:rPr>
          <w:rStyle w:val="Appelnotedebasdep"/>
        </w:rPr>
        <w:footnoteReference w:id="53"/>
      </w:r>
      <w:r w:rsidR="00C65E95">
        <w:t>. Dans cette affaire, l</w:t>
      </w:r>
      <w:r w:rsidR="000644AC">
        <w:t xml:space="preserve">e père </w:t>
      </w:r>
      <w:r w:rsidR="00CD2992">
        <w:t xml:space="preserve">est déclaré plaideur quérulent </w:t>
      </w:r>
      <w:r w:rsidR="00C65E95">
        <w:t>dans un jugement rendu en 2019</w:t>
      </w:r>
      <w:r w:rsidR="00C3545F">
        <w:t xml:space="preserve"> et </w:t>
      </w:r>
      <w:r w:rsidR="00C3545F" w:rsidRPr="00C3545F">
        <w:t>il lui sera interdit de déposer des procédures sans l’autorisation au préalable du juge en chef de cette Cour</w:t>
      </w:r>
      <w:r w:rsidR="00CD2992">
        <w:t xml:space="preserve">. </w:t>
      </w:r>
      <w:r w:rsidR="00357D4D">
        <w:t>En 2020</w:t>
      </w:r>
      <w:r w:rsidR="008E4092">
        <w:t>, m</w:t>
      </w:r>
      <w:r w:rsidR="00754A92">
        <w:t>algré</w:t>
      </w:r>
      <w:r w:rsidR="00CD2992">
        <w:t xml:space="preserve"> cette </w:t>
      </w:r>
      <w:r w:rsidR="008E4092">
        <w:t>interdiction</w:t>
      </w:r>
      <w:r w:rsidR="00CD2992">
        <w:t xml:space="preserve">, il </w:t>
      </w:r>
      <w:r w:rsidR="00FD5373">
        <w:t xml:space="preserve">dépose une demande en justice sans demander la permission de la juge en chef. Il plaide qu’il pouvait agir ainsi vu </w:t>
      </w:r>
      <w:r w:rsidR="002A1DFF">
        <w:t>la règle énoncée</w:t>
      </w:r>
      <w:r w:rsidR="00E270E7">
        <w:t xml:space="preserve"> à l’</w:t>
      </w:r>
      <w:r w:rsidR="002A1DFF">
        <w:t>article</w:t>
      </w:r>
      <w:r w:rsidR="00E270E7">
        <w:t xml:space="preserve"> 42 </w:t>
      </w:r>
      <w:r w:rsidR="00020B14">
        <w:rPr>
          <w:i/>
          <w:iCs/>
        </w:rPr>
        <w:t>L.p.j.</w:t>
      </w:r>
      <w:r w:rsidR="00E270E7">
        <w:t xml:space="preserve"> et que de plus, il </w:t>
      </w:r>
      <w:r w:rsidR="001860D2">
        <w:t xml:space="preserve">bénéficie de </w:t>
      </w:r>
      <w:r w:rsidR="001860D2" w:rsidRPr="001860D2">
        <w:t>l’immunité de l’</w:t>
      </w:r>
      <w:r w:rsidR="001860D2" w:rsidRPr="001860D2">
        <w:rPr>
          <w:rStyle w:val="Hyperlien"/>
          <w:color w:val="auto"/>
          <w:u w:val="none"/>
        </w:rPr>
        <w:t>article 43</w:t>
      </w:r>
      <w:r w:rsidR="001860D2" w:rsidRPr="001860D2">
        <w:t> de la</w:t>
      </w:r>
      <w:r w:rsidR="001860D2">
        <w:t xml:space="preserve"> loi. La Cour supérieure rejette ces arguments en ces termes</w:t>
      </w:r>
      <w:r>
        <w:rPr>
          <w:rStyle w:val="Appelnotedebasdep"/>
        </w:rPr>
        <w:footnoteReference w:id="54"/>
      </w:r>
      <w:r w:rsidR="001860D2">
        <w:t xml:space="preserve"> : </w:t>
      </w:r>
      <w:r w:rsidR="00F60D5A" w:rsidRPr="00F60D5A">
        <w:t xml:space="preserve"> </w:t>
      </w:r>
    </w:p>
    <w:p w14:paraId="52841F3F" w14:textId="77777777" w:rsidR="00572736" w:rsidRDefault="00893AC8" w:rsidP="008A1100">
      <w:pPr>
        <w:pStyle w:val="Citationenretrait"/>
      </w:pPr>
      <w:r>
        <w:t xml:space="preserve">[22]        Pour justifier ses demandes en justice sans permission du juge en chef, Monsieur plaide l’obligation de l’article 42 de la </w:t>
      </w:r>
      <w:r w:rsidRPr="00302990">
        <w:rPr>
          <w:i/>
        </w:rPr>
        <w:t>Loi sur la protection de la jeunesse</w:t>
      </w:r>
      <w:r>
        <w:t xml:space="preserve"> qui incombe à tout adulte d’aider un enfant qui désire saisir les autorités compétentes d’une situation compromettant la sécurité ou le développement de l'enfant. Il plaide également l’immunité de l’article 43 de la Loi sur la protection de la jeunesse [9] pour le protéger contre toute conséquence du non-respect des ordonnances qui le déclare plaideur vexatoire</w:t>
      </w:r>
    </w:p>
    <w:p w14:paraId="31AF9B5D" w14:textId="77777777" w:rsidR="00572736" w:rsidRDefault="00893AC8" w:rsidP="008A1100">
      <w:pPr>
        <w:pStyle w:val="Citationenretrait"/>
      </w:pPr>
      <w:r>
        <w:t xml:space="preserve">[23]        Monsieur a tort à l’égard de son droit ou de son obligation d’agir en vertu de l’article 42 de la </w:t>
      </w:r>
      <w:r w:rsidRPr="00302990">
        <w:rPr>
          <w:i/>
        </w:rPr>
        <w:t>Loi sur la protection de la jeunesse</w:t>
      </w:r>
      <w:r>
        <w:t xml:space="preserve">. Même dans les circonstances où l’article s’applique –ce qui n’a aucunement été démontré en l’espèce, </w:t>
      </w:r>
      <w:r w:rsidRPr="00302990">
        <w:rPr>
          <w:u w:val="single"/>
        </w:rPr>
        <w:t>l’obligation n’est pas incompatible avec les ordonnances qui assujettissent le droit de Monsieur d’ester en justice suite à une permission préalable du juge en chef. Si Monsieur croit qu’il doit agir pour respecter l’article 42, il peut, mais il doit demander la permission de la juge en chef avant</w:t>
      </w:r>
      <w:r>
        <w:t>.</w:t>
      </w:r>
    </w:p>
    <w:p w14:paraId="38E812B5" w14:textId="77777777" w:rsidR="00BF4E7C" w:rsidRDefault="00893AC8" w:rsidP="008A1100">
      <w:pPr>
        <w:pStyle w:val="Citationenretrait"/>
      </w:pPr>
      <w:r>
        <w:t xml:space="preserve">[24]        De plus, à moins qu’il soit cité en outrage au Tribunal, les conséquences qu’il va subir suite au non-respect de ces ordonnances n’incluent pas une poursuite dans le sens de l’article 43 de la </w:t>
      </w:r>
      <w:r w:rsidRPr="005407D0">
        <w:rPr>
          <w:i/>
        </w:rPr>
        <w:t>Loi sur la protection de la jeunesse</w:t>
      </w:r>
      <w:r>
        <w:t>. De plus, il y a lieu d’observer que l’entêtement de Monsieur de continuer sans cesse à soulever les mêmes arguments et de refuser de collaborer avec les autorités de la protection de la jeunesse amène le Tribunal à conclure qu’il n’est pas de bonne foi dans les questions qu’il soulève.</w:t>
      </w:r>
    </w:p>
    <w:p w14:paraId="3A226E04" w14:textId="77777777" w:rsidR="00307880" w:rsidRDefault="00893AC8" w:rsidP="008A1100">
      <w:pPr>
        <w:pStyle w:val="Paragraphe"/>
        <w:spacing w:line="240" w:lineRule="auto"/>
      </w:pPr>
      <w:r>
        <w:t xml:space="preserve">En </w:t>
      </w:r>
      <w:r w:rsidR="00C174F6">
        <w:t>conclusion</w:t>
      </w:r>
      <w:r>
        <w:t xml:space="preserve">, les </w:t>
      </w:r>
      <w:r w:rsidR="00C174F6">
        <w:t>articles</w:t>
      </w:r>
      <w:r>
        <w:t xml:space="preserve"> </w:t>
      </w:r>
      <w:r w:rsidR="00C174F6" w:rsidRPr="00C174F6">
        <w:t xml:space="preserve">42 et 43 </w:t>
      </w:r>
      <w:r w:rsidR="00AA1870">
        <w:rPr>
          <w:i/>
          <w:iCs/>
        </w:rPr>
        <w:t>L.p.j.</w:t>
      </w:r>
      <w:r w:rsidR="00C174F6" w:rsidRPr="00C174F6">
        <w:t xml:space="preserve"> </w:t>
      </w:r>
      <w:r w:rsidR="00C174F6">
        <w:t xml:space="preserve">ne </w:t>
      </w:r>
      <w:r w:rsidR="00C174F6" w:rsidRPr="00C174F6">
        <w:t>cré</w:t>
      </w:r>
      <w:r w:rsidR="00AD13A5">
        <w:t>ent</w:t>
      </w:r>
      <w:r w:rsidR="00C174F6">
        <w:t xml:space="preserve"> pas d’</w:t>
      </w:r>
      <w:r w:rsidR="00C174F6" w:rsidRPr="00C174F6">
        <w:t xml:space="preserve">exception à la règle énoncée à l’article 128 de la </w:t>
      </w:r>
      <w:r w:rsidR="00C174F6" w:rsidRPr="00C174F6">
        <w:rPr>
          <w:i/>
          <w:iCs/>
        </w:rPr>
        <w:t>Loi sur le Barreau</w:t>
      </w:r>
      <w:r w:rsidR="00C174F6">
        <w:t xml:space="preserve">. En outre, </w:t>
      </w:r>
      <w:r w:rsidR="00C174F6" w:rsidRPr="00C174F6">
        <w:t>l</w:t>
      </w:r>
      <w:r w:rsidR="00C174F6">
        <w:t>’</w:t>
      </w:r>
      <w:r w:rsidR="00C174F6" w:rsidRPr="00C174F6">
        <w:t>article</w:t>
      </w:r>
      <w:r w:rsidR="00C174F6">
        <w:t xml:space="preserve"> </w:t>
      </w:r>
      <w:r w:rsidR="00C174F6" w:rsidRPr="00C174F6">
        <w:t xml:space="preserve">43 </w:t>
      </w:r>
      <w:r w:rsidR="00AA1870">
        <w:rPr>
          <w:i/>
          <w:iCs/>
        </w:rPr>
        <w:t>L.p.j.</w:t>
      </w:r>
      <w:r w:rsidR="00C174F6">
        <w:t xml:space="preserve"> ne conf</w:t>
      </w:r>
      <w:r w:rsidR="00472B84">
        <w:t>è</w:t>
      </w:r>
      <w:r w:rsidR="00C174F6">
        <w:t xml:space="preserve">re aucune immunité </w:t>
      </w:r>
      <w:r w:rsidR="00F93247">
        <w:t xml:space="preserve">de </w:t>
      </w:r>
      <w:r w:rsidR="00EC364E">
        <w:t xml:space="preserve">poursuite </w:t>
      </w:r>
      <w:r w:rsidR="00C174F6">
        <w:t xml:space="preserve">à M. Roy </w:t>
      </w:r>
      <w:r w:rsidR="00472B84">
        <w:t xml:space="preserve">pour avoir accompli des actes </w:t>
      </w:r>
      <w:r w:rsidR="00F93247">
        <w:t xml:space="preserve">qui sont </w:t>
      </w:r>
      <w:r w:rsidR="00F93247" w:rsidRPr="00F93247">
        <w:t xml:space="preserve">du ressort exclusif de l’avocat </w:t>
      </w:r>
      <w:r w:rsidR="00F93247">
        <w:t xml:space="preserve">selon l’article 128 de la </w:t>
      </w:r>
      <w:r w:rsidR="00F93247" w:rsidRPr="00EC364E">
        <w:rPr>
          <w:i/>
          <w:iCs/>
        </w:rPr>
        <w:t>Loi sur le Barreau</w:t>
      </w:r>
      <w:r w:rsidR="00EC364E">
        <w:t>.</w:t>
      </w:r>
      <w:r w:rsidR="00472B84">
        <w:t xml:space="preserve"> </w:t>
      </w:r>
    </w:p>
    <w:p w14:paraId="55E35523" w14:textId="77777777" w:rsidR="00A57AA1" w:rsidRPr="00C87F7A" w:rsidRDefault="00893AC8" w:rsidP="008A1100">
      <w:pPr>
        <w:pStyle w:val="Paragraphe"/>
        <w:spacing w:line="240" w:lineRule="auto"/>
      </w:pPr>
      <w:r>
        <w:t>Ce premier moyen de défense de M. Roy est mal fondé</w:t>
      </w:r>
    </w:p>
    <w:p w14:paraId="0D45F6B6" w14:textId="77777777" w:rsidR="006F3D5C" w:rsidRPr="00E87BF4" w:rsidRDefault="00893AC8" w:rsidP="008A1100">
      <w:pPr>
        <w:pStyle w:val="Titre2"/>
        <w:numPr>
          <w:ilvl w:val="0"/>
          <w:numId w:val="5"/>
        </w:numPr>
      </w:pPr>
      <w:bookmarkStart w:id="36" w:name="_Toc256000011"/>
      <w:bookmarkStart w:id="37" w:name="_Toc224727330"/>
      <w:r w:rsidRPr="00B47313">
        <w:t xml:space="preserve">Le </w:t>
      </w:r>
      <w:r w:rsidR="002B79E1">
        <w:t>M</w:t>
      </w:r>
      <w:r w:rsidRPr="00B47313">
        <w:t>oyen de défense fondé sur l’autorisation préalable est-il bien fondé et dans la négative, est-il abusif</w:t>
      </w:r>
      <w:r w:rsidR="00FC2C48">
        <w:t>?</w:t>
      </w:r>
      <w:bookmarkEnd w:id="36"/>
      <w:bookmarkEnd w:id="37"/>
    </w:p>
    <w:p w14:paraId="5016532C" w14:textId="77777777" w:rsidR="00267DAC" w:rsidRPr="00451A3E" w:rsidRDefault="00893AC8" w:rsidP="008A1100">
      <w:pPr>
        <w:pStyle w:val="Titre3"/>
        <w:numPr>
          <w:ilvl w:val="1"/>
          <w:numId w:val="11"/>
        </w:numPr>
        <w:ind w:left="1701" w:hanging="567"/>
        <w:rPr>
          <w:b/>
          <w:bCs/>
        </w:rPr>
      </w:pPr>
      <w:r w:rsidRPr="007764E9">
        <w:t xml:space="preserve"> </w:t>
      </w:r>
      <w:bookmarkStart w:id="38" w:name="_Toc256000012"/>
      <w:bookmarkStart w:id="39" w:name="_Toc224727331"/>
      <w:r w:rsidRPr="00451A3E">
        <w:rPr>
          <w:b/>
          <w:bCs/>
        </w:rPr>
        <w:t>Position des parties</w:t>
      </w:r>
      <w:bookmarkEnd w:id="38"/>
      <w:bookmarkEnd w:id="39"/>
    </w:p>
    <w:p w14:paraId="03819B86" w14:textId="77777777" w:rsidR="00254FBE" w:rsidRDefault="00893AC8" w:rsidP="008A1100">
      <w:pPr>
        <w:pStyle w:val="Paragraphe"/>
        <w:spacing w:line="240" w:lineRule="auto"/>
      </w:pPr>
      <w:r>
        <w:t>M</w:t>
      </w:r>
      <w:r w:rsidR="00AD13A5">
        <w:t>.</w:t>
      </w:r>
      <w:r>
        <w:t xml:space="preserve"> Roy</w:t>
      </w:r>
      <w:r w:rsidR="00BC7D39">
        <w:t xml:space="preserve"> pl</w:t>
      </w:r>
      <w:r>
        <w:t xml:space="preserve">aide qu’il a été autorisé </w:t>
      </w:r>
      <w:r w:rsidR="00B40225" w:rsidRPr="00B40225">
        <w:t xml:space="preserve">par des juges et par des agents de probation </w:t>
      </w:r>
      <w:r w:rsidR="0060596F">
        <w:t xml:space="preserve">à </w:t>
      </w:r>
      <w:r w:rsidR="00FD74B2">
        <w:t xml:space="preserve">rédiger des </w:t>
      </w:r>
      <w:r w:rsidR="00B47313">
        <w:t>requêtes et</w:t>
      </w:r>
      <w:r w:rsidR="00FD74B2">
        <w:t xml:space="preserve"> faire du travail d’ordre juridique </w:t>
      </w:r>
      <w:r w:rsidR="00A719A7">
        <w:t xml:space="preserve">dans le cadre de travaux communautaires </w:t>
      </w:r>
      <w:r w:rsidR="00E7295E">
        <w:t>de nature judiciaire</w:t>
      </w:r>
      <w:r w:rsidR="00451A3E">
        <w:t>.</w:t>
      </w:r>
      <w:r w:rsidR="00380BD0">
        <w:t xml:space="preserve"> Il pouvait donc continuer d’agir ainsi par la suite.</w:t>
      </w:r>
    </w:p>
    <w:p w14:paraId="1E3823AC" w14:textId="77777777" w:rsidR="00D101B1" w:rsidRDefault="00893AC8" w:rsidP="008A1100">
      <w:pPr>
        <w:pStyle w:val="Paragraphe"/>
        <w:spacing w:line="240" w:lineRule="auto"/>
      </w:pPr>
      <w:r>
        <w:t xml:space="preserve">Le Barreau plaide </w:t>
      </w:r>
      <w:r w:rsidR="0061632D" w:rsidRPr="0061632D">
        <w:rPr>
          <w:lang w:bidi="fr-FR"/>
        </w:rPr>
        <w:t xml:space="preserve">que tous les jugements prononcés dans ce dossier </w:t>
      </w:r>
      <w:r w:rsidR="00380BD0">
        <w:rPr>
          <w:lang w:bidi="fr-FR"/>
        </w:rPr>
        <w:t xml:space="preserve">et dans d’autres </w:t>
      </w:r>
      <w:r w:rsidR="0061632D" w:rsidRPr="0061632D">
        <w:rPr>
          <w:lang w:bidi="fr-FR"/>
        </w:rPr>
        <w:t>ont rejeté cet argument et qu’il y a chose jugée et/ou préclusion et/ou abus concernant cette question</w:t>
      </w:r>
      <w:r w:rsidR="0061632D">
        <w:rPr>
          <w:lang w:bidi="fr-FR"/>
        </w:rPr>
        <w:t>. Il demande au Tribunal de déclarer ce moyen de défense abusif.</w:t>
      </w:r>
    </w:p>
    <w:p w14:paraId="6ABD359A" w14:textId="77777777" w:rsidR="007764E9" w:rsidRPr="007764E9" w:rsidRDefault="00893AC8" w:rsidP="008A1100">
      <w:pPr>
        <w:pStyle w:val="Titre3"/>
        <w:numPr>
          <w:ilvl w:val="1"/>
          <w:numId w:val="11"/>
        </w:numPr>
        <w:ind w:left="1701" w:hanging="567"/>
        <w:rPr>
          <w:b/>
          <w:bCs/>
        </w:rPr>
      </w:pPr>
      <w:r w:rsidRPr="00304DEC">
        <w:rPr>
          <w:b/>
        </w:rPr>
        <w:t xml:space="preserve"> </w:t>
      </w:r>
      <w:bookmarkStart w:id="40" w:name="_Toc256000013"/>
      <w:bookmarkStart w:id="41" w:name="_Toc224727332"/>
      <w:r w:rsidRPr="00304DEC">
        <w:rPr>
          <w:b/>
        </w:rPr>
        <w:t>Application aux faits</w:t>
      </w:r>
      <w:bookmarkEnd w:id="40"/>
      <w:bookmarkEnd w:id="41"/>
    </w:p>
    <w:p w14:paraId="77BE5705" w14:textId="77777777" w:rsidR="007764E9" w:rsidRDefault="00893AC8" w:rsidP="008A1100">
      <w:pPr>
        <w:pStyle w:val="Paragraphe"/>
        <w:spacing w:line="240" w:lineRule="auto"/>
      </w:pPr>
      <w:r>
        <w:t xml:space="preserve">Le </w:t>
      </w:r>
      <w:r w:rsidR="00AD13A5">
        <w:t>M</w:t>
      </w:r>
      <w:r>
        <w:t>oyen de défense fondé sur</w:t>
      </w:r>
      <w:r w:rsidRPr="00DD05D7">
        <w:t xml:space="preserve"> l’autorisation préalable</w:t>
      </w:r>
      <w:r w:rsidR="00EA367A">
        <w:t xml:space="preserve"> a été </w:t>
      </w:r>
      <w:r w:rsidR="00861095">
        <w:t>soulevé</w:t>
      </w:r>
      <w:r w:rsidR="00EA367A">
        <w:t xml:space="preserve"> par les défendeurs à plusieurs reprises, tant en défense aux plaintes pénales</w:t>
      </w:r>
      <w:r w:rsidR="00B6524B">
        <w:t xml:space="preserve"> que dans le cadre de la présente instance. À chaque occasi</w:t>
      </w:r>
      <w:r w:rsidR="00C02951">
        <w:t>on ce moyen est rejeté.</w:t>
      </w:r>
    </w:p>
    <w:p w14:paraId="5C1D413E" w14:textId="77777777" w:rsidR="007B12AF" w:rsidRDefault="00893AC8" w:rsidP="008A1100">
      <w:pPr>
        <w:pStyle w:val="Paragraphe"/>
        <w:spacing w:line="240" w:lineRule="auto"/>
      </w:pPr>
      <w:r>
        <w:t xml:space="preserve">Ce moyen de défense est invoqué par les défendeurs en contestation de la demande du </w:t>
      </w:r>
      <w:r w:rsidR="002E6112">
        <w:t>B</w:t>
      </w:r>
      <w:r>
        <w:t>arreau</w:t>
      </w:r>
      <w:r w:rsidR="002E6112">
        <w:t xml:space="preserve"> </w:t>
      </w:r>
      <w:r>
        <w:t>pour l’</w:t>
      </w:r>
      <w:r w:rsidR="002E6112">
        <w:t>émission</w:t>
      </w:r>
      <w:r>
        <w:t xml:space="preserve"> d’une injonction interlo</w:t>
      </w:r>
      <w:r w:rsidR="002E6112">
        <w:t>cutoire.</w:t>
      </w:r>
    </w:p>
    <w:p w14:paraId="695CCD0D" w14:textId="77777777" w:rsidR="002E6112" w:rsidRDefault="00893AC8" w:rsidP="008A1100">
      <w:pPr>
        <w:pStyle w:val="Paragraphe"/>
        <w:spacing w:line="240" w:lineRule="auto"/>
      </w:pPr>
      <w:r>
        <w:t xml:space="preserve">Le </w:t>
      </w:r>
      <w:r w:rsidR="00AD13A5">
        <w:t>j</w:t>
      </w:r>
      <w:r>
        <w:t>uge Dubois le rejette pour les motifs suivants</w:t>
      </w:r>
      <w:r>
        <w:rPr>
          <w:rStyle w:val="Appelnotedebasdep"/>
        </w:rPr>
        <w:footnoteReference w:id="55"/>
      </w:r>
      <w:r>
        <w:t> :</w:t>
      </w:r>
    </w:p>
    <w:p w14:paraId="28334A49" w14:textId="77777777" w:rsidR="00BD76B5" w:rsidRDefault="00893AC8" w:rsidP="008A1100">
      <w:pPr>
        <w:pStyle w:val="Citationenretrait"/>
        <w:rPr>
          <w:sz w:val="24"/>
          <w:lang w:eastAsia="fr-CA"/>
        </w:rPr>
      </w:pPr>
      <w:r>
        <w:t>[29]</w:t>
      </w:r>
      <w:r>
        <w:rPr>
          <w:sz w:val="14"/>
          <w:szCs w:val="14"/>
        </w:rPr>
        <w:t>        </w:t>
      </w:r>
      <w:r>
        <w:t>Monsieur Roy a déclaré qu’il avait des moyens de défense qui résultent selon le Barreau que le 6 janvier 2014 dans le dossier 700-01-119911-132 l’honorable juge Michel Bellehumeur, juge de la Cour du Québec, l’a condamné à des travaux communautaires et que le 14 février 2014 dans le dossier 700-01-106782-116 l’honorable François Beaudoin l’a condamné également à une peine de 50 heures de travaux communautaires.</w:t>
      </w:r>
    </w:p>
    <w:p w14:paraId="52B58ED6" w14:textId="77777777" w:rsidR="00BD76B5" w:rsidRDefault="00893AC8" w:rsidP="008A1100">
      <w:pPr>
        <w:pStyle w:val="Citationenretrait"/>
      </w:pPr>
      <w:r>
        <w:t>[30]</w:t>
      </w:r>
      <w:r>
        <w:rPr>
          <w:sz w:val="14"/>
          <w:szCs w:val="14"/>
        </w:rPr>
        <w:t>        </w:t>
      </w:r>
      <w:r>
        <w:t>De plus le 19 juillet 2016 dans les dossiers 700-01-144199-158 et 700-01-144198-150 l’honorable juge Michel Bellehumeur, j.c.q. l’avait condamné à un total de 150 heures de travaux communautaires pour avoir violemment et volontairement entravé et résisté à un fonctionnaire public ou un agent de la paix dans l’exécution de ses fonctions ou toute personne prêtant légalement main-forte à un tel fonctionnaire ou agent et avoir omis de se conformer à une condition d’une promesse ou d’un engagement.</w:t>
      </w:r>
    </w:p>
    <w:p w14:paraId="1A358A0D" w14:textId="77777777" w:rsidR="00BD76B5" w:rsidRDefault="00893AC8" w:rsidP="008A1100">
      <w:pPr>
        <w:pStyle w:val="Citationenretrait"/>
      </w:pPr>
      <w:r>
        <w:t>[31]</w:t>
      </w:r>
      <w:r>
        <w:rPr>
          <w:sz w:val="14"/>
          <w:szCs w:val="14"/>
        </w:rPr>
        <w:t>        </w:t>
      </w:r>
      <w:r>
        <w:t>Suite à ces condamnations, le 5 octobre 2017 dans une publication monsieur Roy sur sa page Facebook (P-12) indique ceci :</w:t>
      </w:r>
    </w:p>
    <w:p w14:paraId="12FDD431" w14:textId="77777777" w:rsidR="00BD76B5" w:rsidRDefault="00893AC8" w:rsidP="008A1100">
      <w:pPr>
        <w:pStyle w:val="Citationenretrait"/>
        <w:ind w:left="1134" w:right="998"/>
        <w:rPr>
          <w:szCs w:val="22"/>
        </w:rPr>
      </w:pPr>
      <w:r>
        <w:rPr>
          <w:szCs w:val="22"/>
        </w:rPr>
        <w:t>«Le barreau tente une mesure vexatoire et frivole afin que je cesse d’enquêter sur un réseau d’enlèvement d’enfants orchestrer [sic] par des membres du barreau. Le barreau ne peut rien contre moi et l’organisme car j’ai été autoriser [sic] par les juges Michel Belhumeur [sic] et François Beaudoin.»</w:t>
      </w:r>
    </w:p>
    <w:p w14:paraId="2EC20982" w14:textId="77777777" w:rsidR="00BD76B5" w:rsidRDefault="00893AC8" w:rsidP="008A1100">
      <w:pPr>
        <w:pStyle w:val="Citationenretrait"/>
        <w:ind w:left="1134" w:right="998"/>
        <w:rPr>
          <w:szCs w:val="22"/>
        </w:rPr>
      </w:pPr>
      <w:r>
        <w:rPr>
          <w:szCs w:val="22"/>
        </w:rPr>
        <w:t>(reproduit tel quel)</w:t>
      </w:r>
    </w:p>
    <w:p w14:paraId="64F3926C" w14:textId="77777777" w:rsidR="00BD76B5" w:rsidRDefault="00893AC8" w:rsidP="008A1100">
      <w:pPr>
        <w:pStyle w:val="Citationenretrait"/>
        <w:rPr>
          <w:sz w:val="24"/>
          <w:szCs w:val="24"/>
        </w:rPr>
      </w:pPr>
      <w:r>
        <w:t>[32]</w:t>
      </w:r>
      <w:r>
        <w:rPr>
          <w:sz w:val="14"/>
          <w:szCs w:val="14"/>
        </w:rPr>
        <w:t>        </w:t>
      </w:r>
      <w:r>
        <w:t>Depuis le début du mois d’octobre 2017 monsieur Roy soutient que dans le cadre des travaux communautaires pour lesquels il a été condamné, il aurait été accepté qu’il exerce des actes réservés de façon exclusive aux avocats.</w:t>
      </w:r>
    </w:p>
    <w:p w14:paraId="6F451D09" w14:textId="77777777" w:rsidR="00BD76B5" w:rsidRDefault="00893AC8" w:rsidP="008A1100">
      <w:pPr>
        <w:pStyle w:val="Citationenretrait"/>
      </w:pPr>
      <w:r>
        <w:t>[33]</w:t>
      </w:r>
      <w:r>
        <w:rPr>
          <w:sz w:val="14"/>
          <w:szCs w:val="14"/>
        </w:rPr>
        <w:t>        </w:t>
      </w:r>
      <w:r>
        <w:t>Le Barreau mentionne qu’aucun des deux juges ne prononce une telle condition dans les ordonnances de probation (P-13).</w:t>
      </w:r>
    </w:p>
    <w:p w14:paraId="4977E060" w14:textId="77777777" w:rsidR="00BD76B5" w:rsidRDefault="00893AC8" w:rsidP="008A1100">
      <w:pPr>
        <w:pStyle w:val="Citationenretrait"/>
      </w:pPr>
      <w:r>
        <w:t>[34]</w:t>
      </w:r>
      <w:r>
        <w:rPr>
          <w:sz w:val="14"/>
          <w:szCs w:val="14"/>
        </w:rPr>
        <w:t>        </w:t>
      </w:r>
      <w:r>
        <w:t>De plus l’agent de probation de monsieur Roy dans le dossier 700-01-106782-116, monsieur Mathieu Dessureault, a communiqué sa version des faits à Me Eliane Hogue, l’avocate représentant le Barreau dans les poursuites pénales tel qu’il appert de la lettre communiquée (P-14).</w:t>
      </w:r>
    </w:p>
    <w:p w14:paraId="16E79154" w14:textId="77777777" w:rsidR="00BD76B5" w:rsidRDefault="00893AC8" w:rsidP="008A1100">
      <w:pPr>
        <w:pStyle w:val="Citationenretrait"/>
      </w:pPr>
      <w:r>
        <w:t>[35]</w:t>
      </w:r>
      <w:r>
        <w:rPr>
          <w:sz w:val="14"/>
          <w:szCs w:val="14"/>
        </w:rPr>
        <w:t>        </w:t>
      </w:r>
      <w:r>
        <w:t>Il est important de présenter les paragraphes 32 et 33 de la procédure du Barreau :</w:t>
      </w:r>
    </w:p>
    <w:p w14:paraId="4CBEFDCF" w14:textId="77777777" w:rsidR="00BD76B5" w:rsidRDefault="00893AC8" w:rsidP="008A1100">
      <w:pPr>
        <w:pStyle w:val="Citationenretrait"/>
        <w:ind w:left="1134" w:right="998"/>
        <w:rPr>
          <w:szCs w:val="22"/>
        </w:rPr>
      </w:pPr>
      <w:r>
        <w:rPr>
          <w:szCs w:val="22"/>
        </w:rPr>
        <w:t>32.        Dans cette lettre, l’agent Dessureault explique, au printemps 2014, avoir constaté une situation préexistante et a ainsi accepté de reconnaître exceptionnellement les heures travaillées par Mario Roy ayant pris la «forme» de travaux juridiques afin que puisse être considéré que Mario Roy avait complété ses heures de travaux communautaires, mais aussi après l’avoir avisé que cette façon de faire ne serait plus acceptée dans le futur et que la porte était dorénavant fermée à des travaux de forme juridique :</w:t>
      </w:r>
    </w:p>
    <w:p w14:paraId="561BD42D" w14:textId="77777777" w:rsidR="00BD76B5" w:rsidRDefault="00893AC8" w:rsidP="008A1100">
      <w:pPr>
        <w:pStyle w:val="Citationenretrait"/>
        <w:ind w:left="1560" w:right="1707"/>
        <w:rPr>
          <w:szCs w:val="22"/>
        </w:rPr>
      </w:pPr>
      <w:r>
        <w:rPr>
          <w:sz w:val="20"/>
        </w:rPr>
        <w:t>«</w:t>
      </w:r>
      <w:r>
        <w:rPr>
          <w:i/>
          <w:iCs/>
          <w:sz w:val="20"/>
        </w:rPr>
        <w:t>De mon côté, j’ai clairement avisé monsieur Roy que c’était une mesure exceptionnelle en raison de l’entente prise avec mon prédécesseur et qu’à l’avenir, je n’accepterai plus cette façon de faire et s’il y a lieu, il devra effectuer son service communautaire de manière conventionnelle. Donc, que la porte est maintenant fermée à des travaux se disant de forme juridique.»</w:t>
      </w:r>
    </w:p>
    <w:p w14:paraId="04A7A45C" w14:textId="77777777" w:rsidR="00BD76B5" w:rsidRDefault="00893AC8" w:rsidP="008A1100">
      <w:pPr>
        <w:pStyle w:val="Citationenretrait"/>
        <w:ind w:left="1134" w:right="998"/>
        <w:rPr>
          <w:szCs w:val="22"/>
        </w:rPr>
      </w:pPr>
      <w:r>
        <w:rPr>
          <w:szCs w:val="22"/>
        </w:rPr>
        <w:t>33.        Il ajoute que depuis ce temps, dans le dossier 700-01-119911-132, Mario Roy s’est catégoriquement fait refuser des travaux de forme juridique par la direction des services professionnels correctionnels (DSPC) de Joliette :</w:t>
      </w:r>
    </w:p>
    <w:p w14:paraId="2E590104" w14:textId="77777777" w:rsidR="00BD76B5" w:rsidRDefault="00893AC8" w:rsidP="008A1100">
      <w:pPr>
        <w:pStyle w:val="Citationenretrait"/>
        <w:ind w:left="1560" w:right="1707"/>
        <w:rPr>
          <w:szCs w:val="22"/>
        </w:rPr>
      </w:pPr>
      <w:r w:rsidRPr="00AD13A5">
        <w:rPr>
          <w:sz w:val="20"/>
        </w:rPr>
        <w:t>«Depuis ce temps, j’ai eu l’information que dans une nouvelle ordonnance de probation</w:t>
      </w:r>
      <w:r>
        <w:rPr>
          <w:i/>
          <w:iCs/>
          <w:sz w:val="20"/>
        </w:rPr>
        <w:t xml:space="preserve"> incluant des travaux communautaires, monsieur Roy a de nouveau tenté d’effectuer ceux-ci sous forme juridique à la DSPC de Joliette. Cependant, après acceptation, le tout lui a été catégoriquement refusé.»</w:t>
      </w:r>
    </w:p>
    <w:p w14:paraId="2788B4A5" w14:textId="77777777" w:rsidR="00BD76B5" w:rsidRPr="009E0C38" w:rsidRDefault="00893AC8" w:rsidP="008A1100">
      <w:pPr>
        <w:pStyle w:val="Citationenretrait"/>
        <w:rPr>
          <w:sz w:val="24"/>
          <w:szCs w:val="24"/>
          <w:u w:val="single"/>
        </w:rPr>
      </w:pPr>
      <w:r>
        <w:t>[36]</w:t>
      </w:r>
      <w:r>
        <w:rPr>
          <w:sz w:val="14"/>
          <w:szCs w:val="14"/>
        </w:rPr>
        <w:t>        </w:t>
      </w:r>
      <w:r w:rsidRPr="009E0C38">
        <w:rPr>
          <w:u w:val="single"/>
        </w:rPr>
        <w:t>Malgré les demandes répétées de Me Hogue, en aucun temps monsieur Mario Roy n’a communiqué au Barreau un quelconque document l’autorisant clairement lui ou le Centre à exercer des actes réservés de façon exclusive aux avocats, car en fait un tel document n’existe pas.</w:t>
      </w:r>
    </w:p>
    <w:p w14:paraId="4286EEA4" w14:textId="77777777" w:rsidR="00BD76B5" w:rsidRDefault="00893AC8" w:rsidP="008A1100">
      <w:pPr>
        <w:pStyle w:val="Citationenretrait"/>
      </w:pPr>
      <w:r>
        <w:t>[37]</w:t>
      </w:r>
      <w:r>
        <w:rPr>
          <w:sz w:val="14"/>
          <w:szCs w:val="14"/>
        </w:rPr>
        <w:t>        </w:t>
      </w:r>
      <w:r w:rsidRPr="009E0C38">
        <w:rPr>
          <w:u w:val="single"/>
        </w:rPr>
        <w:t>De plus monsieur Roy est informé au moins depuis le printemps 2014 qu’il ne peut exercer des actes réservés de façon exclusive aux avocats.</w:t>
      </w:r>
    </w:p>
    <w:p w14:paraId="4D7DD51B" w14:textId="77777777" w:rsidR="002E6112" w:rsidRDefault="00893AC8" w:rsidP="008A1100">
      <w:pPr>
        <w:pStyle w:val="Citationenretrait"/>
        <w:jc w:val="right"/>
      </w:pPr>
      <w:r>
        <w:t>[</w:t>
      </w:r>
      <w:r w:rsidR="003A10BA">
        <w:t>Soulignement</w:t>
      </w:r>
      <w:r w:rsidR="00AD13A5">
        <w:t>s</w:t>
      </w:r>
      <w:r w:rsidR="003A10BA">
        <w:t xml:space="preserve"> du Tribunal</w:t>
      </w:r>
      <w:r>
        <w:t>]</w:t>
      </w:r>
    </w:p>
    <w:p w14:paraId="6F654A3E" w14:textId="77777777" w:rsidR="00C02951" w:rsidRDefault="00893AC8" w:rsidP="008A1100">
      <w:pPr>
        <w:pStyle w:val="Paragraphe"/>
        <w:spacing w:line="240" w:lineRule="auto"/>
      </w:pPr>
      <w:r>
        <w:t>En défense aux plaintes pénales, les défendeurs invoque</w:t>
      </w:r>
      <w:r w:rsidR="00527E54">
        <w:t>nt</w:t>
      </w:r>
      <w:r>
        <w:t xml:space="preserve"> </w:t>
      </w:r>
      <w:r w:rsidR="008120AC">
        <w:t xml:space="preserve">à nouveau </w:t>
      </w:r>
      <w:r>
        <w:t>ce moyen</w:t>
      </w:r>
      <w:r>
        <w:rPr>
          <w:rStyle w:val="Appelnotedebasdep"/>
        </w:rPr>
        <w:footnoteReference w:id="56"/>
      </w:r>
      <w:r w:rsidR="000F089C">
        <w:t> :</w:t>
      </w:r>
    </w:p>
    <w:p w14:paraId="1BDE19C5" w14:textId="77777777" w:rsidR="000F089C" w:rsidRPr="000F089C" w:rsidRDefault="00893AC8" w:rsidP="008A1100">
      <w:pPr>
        <w:pStyle w:val="Citationenretrait"/>
        <w:rPr>
          <w:lang w:eastAsia="fr-CA"/>
        </w:rPr>
      </w:pPr>
      <w:r w:rsidRPr="000F089C">
        <w:rPr>
          <w:lang w:eastAsia="fr-CA"/>
        </w:rPr>
        <w:t>[</w:t>
      </w:r>
      <w:bookmarkStart w:id="42" w:name="par1"/>
      <w:r w:rsidRPr="000F089C">
        <w:rPr>
          <w:lang w:eastAsia="fr-CA"/>
        </w:rPr>
        <w:t>1</w:t>
      </w:r>
      <w:bookmarkEnd w:id="42"/>
      <w:r w:rsidRPr="000F089C">
        <w:rPr>
          <w:lang w:eastAsia="fr-CA"/>
        </w:rPr>
        <w:t>]</w:t>
      </w:r>
      <w:r w:rsidRPr="000F089C">
        <w:rPr>
          <w:rFonts w:ascii="Times New Roman" w:hAnsi="Times New Roman"/>
          <w:sz w:val="14"/>
          <w:szCs w:val="14"/>
          <w:lang w:eastAsia="fr-CA"/>
        </w:rPr>
        <w:t>           </w:t>
      </w:r>
      <w:r w:rsidRPr="000F089C">
        <w:rPr>
          <w:lang w:eastAsia="fr-CA"/>
        </w:rPr>
        <w:t xml:space="preserve">Le Barreau du Québec reproche </w:t>
      </w:r>
      <w:r w:rsidR="00235686">
        <w:rPr>
          <w:lang w:eastAsia="fr-CA"/>
        </w:rPr>
        <w:t>à Mario Roy</w:t>
      </w:r>
      <w:r w:rsidRPr="000F089C">
        <w:rPr>
          <w:lang w:eastAsia="fr-CA"/>
        </w:rPr>
        <w:t xml:space="preserve"> et à l’Unité citoyenne d’enquêtes anti-corruption, également connue sous le nom de Centre d’Entraide familial </w:t>
      </w:r>
      <w:r w:rsidR="00AD13A5" w:rsidRPr="000F089C">
        <w:rPr>
          <w:lang w:eastAsia="fr-CA"/>
        </w:rPr>
        <w:t>l’Unité,</w:t>
      </w:r>
      <w:r w:rsidRPr="000F089C">
        <w:rPr>
          <w:lang w:eastAsia="fr-CA"/>
        </w:rPr>
        <w:t>  d’avoir exercé la profession d’avocat, sans être inscrits au Tableau de son ordre professionnel.</w:t>
      </w:r>
    </w:p>
    <w:p w14:paraId="328F6E1D" w14:textId="77777777" w:rsidR="000F089C" w:rsidRDefault="00893AC8" w:rsidP="008A1100">
      <w:pPr>
        <w:pStyle w:val="Citationenretrait"/>
        <w:rPr>
          <w:lang w:eastAsia="fr-CA"/>
        </w:rPr>
      </w:pPr>
      <w:r w:rsidRPr="000F089C">
        <w:rPr>
          <w:lang w:eastAsia="fr-CA"/>
        </w:rPr>
        <w:t>[</w:t>
      </w:r>
      <w:bookmarkStart w:id="43" w:name="par2"/>
      <w:r w:rsidRPr="000F089C">
        <w:rPr>
          <w:lang w:eastAsia="fr-CA"/>
        </w:rPr>
        <w:t>2</w:t>
      </w:r>
      <w:bookmarkEnd w:id="43"/>
      <w:r w:rsidRPr="000F089C">
        <w:rPr>
          <w:lang w:eastAsia="fr-CA"/>
        </w:rPr>
        <w:t>]</w:t>
      </w:r>
      <w:r w:rsidRPr="000F089C">
        <w:rPr>
          <w:rFonts w:ascii="Times New Roman" w:hAnsi="Times New Roman"/>
          <w:sz w:val="14"/>
          <w:szCs w:val="14"/>
          <w:lang w:eastAsia="fr-CA"/>
        </w:rPr>
        <w:t>           </w:t>
      </w:r>
      <w:r w:rsidRPr="000F089C">
        <w:rPr>
          <w:lang w:eastAsia="fr-CA"/>
        </w:rPr>
        <w:t>Les défendeurs font valoir qu’ils sont autorisés à le faire par décision d’un Tribunal et d’un agent de probation.</w:t>
      </w:r>
    </w:p>
    <w:p w14:paraId="43801651" w14:textId="77777777" w:rsidR="00E3375B" w:rsidRDefault="00893AC8" w:rsidP="008A1100">
      <w:pPr>
        <w:pStyle w:val="Citationenretrait"/>
        <w:rPr>
          <w:lang w:eastAsia="fr-CA"/>
        </w:rPr>
      </w:pPr>
      <w:r>
        <w:rPr>
          <w:lang w:eastAsia="fr-CA"/>
        </w:rPr>
        <w:t>…</w:t>
      </w:r>
    </w:p>
    <w:p w14:paraId="23E4FBB7" w14:textId="77777777" w:rsidR="00E3375B" w:rsidRDefault="00893AC8" w:rsidP="008A1100">
      <w:pPr>
        <w:pStyle w:val="Citationenretrait"/>
        <w:rPr>
          <w:lang w:eastAsia="fr-CA"/>
        </w:rPr>
      </w:pPr>
      <w:r w:rsidRPr="00E3375B">
        <w:rPr>
          <w:lang w:eastAsia="fr-CA"/>
        </w:rPr>
        <w:t>[</w:t>
      </w:r>
      <w:bookmarkStart w:id="44" w:name="par13"/>
      <w:r w:rsidRPr="00E3375B">
        <w:rPr>
          <w:lang w:eastAsia="fr-CA"/>
        </w:rPr>
        <w:t>13</w:t>
      </w:r>
      <w:bookmarkEnd w:id="44"/>
      <w:r w:rsidRPr="00E3375B">
        <w:rPr>
          <w:lang w:eastAsia="fr-CA"/>
        </w:rPr>
        <w:t>]        En défense, Mario Roy et le Centre d’Entraide familial l’Unité reconnaissent les gestes auparavant mentionnés, mais ajoutent avoir été autorisés à agir par un agent de probation, ainsi que par trois décisions de la Cour du Québec.</w:t>
      </w:r>
    </w:p>
    <w:p w14:paraId="2299709A" w14:textId="77777777" w:rsidR="00E3375B" w:rsidRPr="000F089C" w:rsidRDefault="00893AC8" w:rsidP="008A1100">
      <w:pPr>
        <w:pStyle w:val="Paragraphe"/>
        <w:spacing w:line="240" w:lineRule="auto"/>
        <w:rPr>
          <w:lang w:eastAsia="fr-CA"/>
        </w:rPr>
      </w:pPr>
      <w:r>
        <w:rPr>
          <w:lang w:eastAsia="fr-CA"/>
        </w:rPr>
        <w:t xml:space="preserve">La Cour du Québec </w:t>
      </w:r>
      <w:r w:rsidR="008120AC">
        <w:rPr>
          <w:lang w:eastAsia="fr-CA"/>
        </w:rPr>
        <w:t xml:space="preserve">le </w:t>
      </w:r>
      <w:r>
        <w:rPr>
          <w:lang w:eastAsia="fr-CA"/>
        </w:rPr>
        <w:t>rejette pour les motifs suivants</w:t>
      </w:r>
      <w:r>
        <w:rPr>
          <w:rStyle w:val="Appelnotedebasdep"/>
          <w:lang w:eastAsia="fr-CA"/>
        </w:rPr>
        <w:footnoteReference w:id="57"/>
      </w:r>
      <w:r>
        <w:rPr>
          <w:lang w:eastAsia="fr-CA"/>
        </w:rPr>
        <w:t xml:space="preserve"> : </w:t>
      </w:r>
    </w:p>
    <w:p w14:paraId="7381849B" w14:textId="77777777" w:rsidR="00653948" w:rsidRDefault="00893AC8" w:rsidP="008A1100">
      <w:pPr>
        <w:pStyle w:val="Citationenretrait"/>
        <w:rPr>
          <w:sz w:val="24"/>
          <w:lang w:eastAsia="fr-CA"/>
        </w:rPr>
      </w:pPr>
      <w:r>
        <w:t>[47]</w:t>
      </w:r>
      <w:r>
        <w:rPr>
          <w:sz w:val="14"/>
          <w:szCs w:val="14"/>
        </w:rPr>
        <w:t>        </w:t>
      </w:r>
      <w:r>
        <w:t>Les défendeurs invoquent comme source d’erreur les décisions des juges Belhumeur et Beaudoin de la Cour du Québec, ainsi que l’acceptation des travaux communautaires sous forme juridique par le Service de probation.</w:t>
      </w:r>
    </w:p>
    <w:p w14:paraId="4AC92525" w14:textId="77777777" w:rsidR="00653948" w:rsidRDefault="00893AC8" w:rsidP="008A1100">
      <w:pPr>
        <w:pStyle w:val="Citationenretrait"/>
      </w:pPr>
      <w:r>
        <w:t>[48]</w:t>
      </w:r>
      <w:r>
        <w:rPr>
          <w:sz w:val="14"/>
          <w:szCs w:val="14"/>
        </w:rPr>
        <w:t>        </w:t>
      </w:r>
      <w:r>
        <w:t>Qu’en est-il ?</w:t>
      </w:r>
    </w:p>
    <w:p w14:paraId="21A2D994" w14:textId="77777777" w:rsidR="00653948" w:rsidRDefault="00893AC8" w:rsidP="008A1100">
      <w:pPr>
        <w:pStyle w:val="Citationenretrait"/>
      </w:pPr>
      <w:r>
        <w:t>[49]</w:t>
      </w:r>
      <w:r>
        <w:rPr>
          <w:sz w:val="14"/>
          <w:szCs w:val="14"/>
        </w:rPr>
        <w:t>        </w:t>
      </w:r>
      <w:r>
        <w:t>Le Tribunal retient de la preuve que le juge Belhumeur n’autorise pas et ne laisse aucunement croire que les travaux communautaires peuvent s’exécuter « sous forme juridique» et surtout pas  à l’encontre de la </w:t>
      </w:r>
      <w:r w:rsidRPr="00AD13A5">
        <w:rPr>
          <w:rFonts w:cs="Arial"/>
          <w:i/>
          <w:iCs/>
        </w:rPr>
        <w:t>Loi sur le </w:t>
      </w:r>
      <w:r w:rsidRPr="00AD13A5">
        <w:rPr>
          <w:i/>
          <w:iCs/>
        </w:rPr>
        <w:t>Barreau</w:t>
      </w:r>
      <w:r>
        <w:t>. Voici d’ailleurs un extrait de ses propos à l’endroit de </w:t>
      </w:r>
      <w:r>
        <w:rPr>
          <w:rStyle w:val="solexhl"/>
          <w:rFonts w:cs="Arial"/>
          <w:color w:val="000000"/>
        </w:rPr>
        <w:t>Mario Roy</w:t>
      </w:r>
      <w:r>
        <w:t> lors de l’imposition des travaux communautaires :</w:t>
      </w:r>
    </w:p>
    <w:p w14:paraId="7F81D422" w14:textId="77777777" w:rsidR="00653948" w:rsidRDefault="00893AC8" w:rsidP="008A1100">
      <w:pPr>
        <w:pStyle w:val="Citationenretrait"/>
        <w:ind w:left="1134" w:right="1140"/>
        <w:rPr>
          <w:sz w:val="27"/>
          <w:szCs w:val="27"/>
        </w:rPr>
      </w:pPr>
      <w:r>
        <w:rPr>
          <w:b/>
          <w:bCs/>
          <w:szCs w:val="22"/>
        </w:rPr>
        <w:t>Je vais vous ordonner de rencontrer votre agent et c’est l’agent qui va déterminer, parce qu’il faut faire un suivi. Je comprends que vous avez peut-être fait du bénévolat pour d’autres organismes et tout ça, mais on ne peut pas à gauche et à droite faire des des … il faut vraiment que ce soit supervisé par l’agent. […] C’est peut-être bien louable et je vous invite à poursuivre si vous aimez ça en plus et tout ça, mais ce n’est pas ça des travaux communautaires.</w:t>
      </w:r>
    </w:p>
    <w:p w14:paraId="32B42698" w14:textId="77777777" w:rsidR="00653948" w:rsidRDefault="00893AC8" w:rsidP="008A1100">
      <w:pPr>
        <w:pStyle w:val="Citationenretrait"/>
        <w:rPr>
          <w:sz w:val="24"/>
          <w:szCs w:val="24"/>
        </w:rPr>
      </w:pPr>
      <w:r>
        <w:t>[</w:t>
      </w:r>
      <w:bookmarkStart w:id="45" w:name="par50"/>
      <w:r>
        <w:t>50</w:t>
      </w:r>
      <w:bookmarkEnd w:id="45"/>
      <w:r>
        <w:t>]</w:t>
      </w:r>
      <w:r>
        <w:rPr>
          <w:sz w:val="14"/>
          <w:szCs w:val="14"/>
        </w:rPr>
        <w:t>        </w:t>
      </w:r>
      <w:r>
        <w:t>Quelques jours  plus tard, </w:t>
      </w:r>
      <w:r>
        <w:rPr>
          <w:rStyle w:val="solexhl"/>
          <w:rFonts w:cs="Arial"/>
          <w:color w:val="000000"/>
        </w:rPr>
        <w:t>Mario Roy</w:t>
      </w:r>
      <w:r>
        <w:t> reconnaît encore une fois sa culpabilité de ne pas avoir fait ses travaux communautaires auprès d’un organisme accrédité. Il explique alors au juge Beaudoin de la Cour du Québec, qu’il a fait ses travaux dans un contexte juridique, mais que l’organisme n’était pas accrédité. Sans tarder, le juge lui rappelle l’importance que les travaux soient reconnus par l’agent de probation:</w:t>
      </w:r>
    </w:p>
    <w:p w14:paraId="44397401" w14:textId="77777777" w:rsidR="00653948" w:rsidRDefault="00893AC8" w:rsidP="008A1100">
      <w:pPr>
        <w:pStyle w:val="Citationenretrait"/>
        <w:ind w:left="1134" w:right="1140"/>
        <w:rPr>
          <w:sz w:val="27"/>
          <w:szCs w:val="27"/>
        </w:rPr>
      </w:pPr>
      <w:r>
        <w:rPr>
          <w:b/>
          <w:bCs/>
          <w:szCs w:val="22"/>
        </w:rPr>
        <w:t>Accomplir 50 heures de travaux communautaires d’un programme reconnu par le Ministère de la justice.</w:t>
      </w:r>
    </w:p>
    <w:p w14:paraId="6B241B95" w14:textId="77777777" w:rsidR="00653948" w:rsidRDefault="00893AC8" w:rsidP="008A1100">
      <w:pPr>
        <w:pStyle w:val="Citationenretrait"/>
        <w:rPr>
          <w:sz w:val="24"/>
          <w:szCs w:val="24"/>
        </w:rPr>
      </w:pPr>
      <w:r>
        <w:t>[</w:t>
      </w:r>
      <w:bookmarkStart w:id="46" w:name="par51"/>
      <w:r>
        <w:t>51</w:t>
      </w:r>
      <w:bookmarkEnd w:id="46"/>
      <w:r>
        <w:t>]</w:t>
      </w:r>
      <w:r>
        <w:rPr>
          <w:sz w:val="14"/>
          <w:szCs w:val="14"/>
        </w:rPr>
        <w:t>        </w:t>
      </w:r>
      <w:r w:rsidRPr="000A3716">
        <w:rPr>
          <w:u w:val="single"/>
        </w:rPr>
        <w:t>Ces deux ordonnances de Cour ne laissent place à aucun doute. Bien que </w:t>
      </w:r>
      <w:r w:rsidRPr="000A3716">
        <w:rPr>
          <w:rStyle w:val="solexhl"/>
          <w:rFonts w:cs="Arial"/>
          <w:color w:val="000000"/>
          <w:u w:val="single"/>
        </w:rPr>
        <w:t>Mario Roy</w:t>
      </w:r>
      <w:r w:rsidRPr="000A3716">
        <w:rPr>
          <w:u w:val="single"/>
        </w:rPr>
        <w:t> tente chaque fois d’introduire dans ses échanges avec les juges, qu’il fait des travaux dans un cadre juridique, ceux-ci lui rappellent que les travaux doivent se réaliser dans le cadre du programme de Service de probation, sous la supervision de l’agent de probation et auprès d’un organisme approuvé</w:t>
      </w:r>
      <w:r>
        <w:t>.</w:t>
      </w:r>
    </w:p>
    <w:p w14:paraId="63431F6F" w14:textId="77777777" w:rsidR="00653948" w:rsidRDefault="00893AC8" w:rsidP="008A1100">
      <w:pPr>
        <w:pStyle w:val="Citationenretrait"/>
      </w:pPr>
      <w:r>
        <w:t>[</w:t>
      </w:r>
      <w:bookmarkStart w:id="47" w:name="par52"/>
      <w:r>
        <w:t>52</w:t>
      </w:r>
      <w:bookmarkEnd w:id="47"/>
      <w:r>
        <w:t>]</w:t>
      </w:r>
      <w:r>
        <w:rPr>
          <w:sz w:val="14"/>
          <w:szCs w:val="14"/>
        </w:rPr>
        <w:t>        </w:t>
      </w:r>
      <w:r>
        <w:t>Or, </w:t>
      </w:r>
      <w:r>
        <w:rPr>
          <w:rStyle w:val="solexhl"/>
          <w:rFonts w:cs="Arial"/>
          <w:color w:val="000000"/>
        </w:rPr>
        <w:t>Mario Roy</w:t>
      </w:r>
      <w:r>
        <w:t> ne prête pas attention à ces ordonnances et n’obéit pas à celles</w:t>
      </w:r>
      <w:r>
        <w:noBreakHyphen/>
        <w:t>ci. Il entreprend ses travaux sans que ceux-ci ne soient préalablement approuvés par l’agent de probation.</w:t>
      </w:r>
    </w:p>
    <w:p w14:paraId="2119CC5A" w14:textId="77777777" w:rsidR="00653948" w:rsidRDefault="00893AC8" w:rsidP="008A1100">
      <w:pPr>
        <w:pStyle w:val="Citationenretrait"/>
      </w:pPr>
      <w:r>
        <w:t>[</w:t>
      </w:r>
      <w:bookmarkStart w:id="48" w:name="par53"/>
      <w:r>
        <w:t>53</w:t>
      </w:r>
      <w:bookmarkEnd w:id="48"/>
      <w:r>
        <w:t>]</w:t>
      </w:r>
      <w:r>
        <w:rPr>
          <w:sz w:val="14"/>
          <w:szCs w:val="14"/>
        </w:rPr>
        <w:t>        </w:t>
      </w:r>
      <w:r>
        <w:t>Le Tribunal retient de la preuve que monsieur Hurtubise n’a jamais accepté que les travaux se fassent sous forme juridique. Monsieur Hurtubise n’a pas témoigné au cours du présent procès et par ailleurs le témoignage crédible de monsieur Dessureault est sans équivoque. Il accepte, de façon particulière, les travaux effectués en 2014 auprès de l’organisme Camp Péniel, mais qu’il ne pourra le faire ultérieurement si d’autres travaux étaient imposés à </w:t>
      </w:r>
      <w:r>
        <w:rPr>
          <w:rStyle w:val="solexhl"/>
          <w:rFonts w:cs="Arial"/>
          <w:color w:val="000000"/>
        </w:rPr>
        <w:t>Mario Roy</w:t>
      </w:r>
      <w:r>
        <w:t>. De plus, le Tribunal ne croit pas l’affirmation de </w:t>
      </w:r>
      <w:r>
        <w:rPr>
          <w:rStyle w:val="solexhl"/>
          <w:rFonts w:cs="Arial"/>
          <w:color w:val="000000"/>
        </w:rPr>
        <w:t>Mario Roy</w:t>
      </w:r>
      <w:r>
        <w:t> à cet égard.</w:t>
      </w:r>
    </w:p>
    <w:p w14:paraId="75C1692A" w14:textId="77777777" w:rsidR="00653948" w:rsidRDefault="00893AC8" w:rsidP="008A1100">
      <w:pPr>
        <w:pStyle w:val="Citationenretrait"/>
      </w:pPr>
      <w:r>
        <w:t>[</w:t>
      </w:r>
      <w:bookmarkStart w:id="49" w:name="par54"/>
      <w:r>
        <w:t>54</w:t>
      </w:r>
      <w:bookmarkEnd w:id="49"/>
      <w:r>
        <w:t>]</w:t>
      </w:r>
      <w:r>
        <w:rPr>
          <w:sz w:val="14"/>
          <w:szCs w:val="14"/>
        </w:rPr>
        <w:t>        </w:t>
      </w:r>
      <w:r>
        <w:t>Cela dit, s’il devait subsister un doute, </w:t>
      </w:r>
      <w:r>
        <w:rPr>
          <w:rStyle w:val="solexhl"/>
          <w:rFonts w:cs="Arial"/>
          <w:color w:val="000000"/>
        </w:rPr>
        <w:t>Mario Roy</w:t>
      </w:r>
      <w:r>
        <w:t> est informé par le </w:t>
      </w:r>
      <w:r>
        <w:rPr>
          <w:rStyle w:val="solexhl"/>
          <w:rFonts w:cs="Arial"/>
          <w:color w:val="000000"/>
        </w:rPr>
        <w:t>Barreau</w:t>
      </w:r>
      <w:r>
        <w:t> qu’il ne peut agir ainsi, ayant été avisé par lettre du </w:t>
      </w:r>
      <w:r>
        <w:rPr>
          <w:rStyle w:val="solexhl"/>
          <w:rFonts w:cs="Arial"/>
          <w:color w:val="000000"/>
        </w:rPr>
        <w:t>Barreau</w:t>
      </w:r>
      <w:r>
        <w:t> de telle sorte qu’en 2016 et 2017, c’est en toute connaissance de cause qu’il agit à l’encontre de la </w:t>
      </w:r>
      <w:r w:rsidRPr="00AD13A5">
        <w:rPr>
          <w:rFonts w:cs="Arial"/>
          <w:i/>
          <w:iCs/>
        </w:rPr>
        <w:t>Loi sur le </w:t>
      </w:r>
      <w:r w:rsidRPr="00AD13A5">
        <w:rPr>
          <w:rStyle w:val="solexhl"/>
          <w:rFonts w:cs="Arial"/>
          <w:i/>
          <w:iCs/>
        </w:rPr>
        <w:t>Barreau</w:t>
      </w:r>
      <w:r w:rsidRPr="00AD13A5">
        <w:t>.</w:t>
      </w:r>
    </w:p>
    <w:p w14:paraId="17EC739C" w14:textId="77777777" w:rsidR="00653948" w:rsidRDefault="00893AC8" w:rsidP="008A1100">
      <w:pPr>
        <w:pStyle w:val="Citationenretrait"/>
        <w:ind w:left="1134" w:right="1140"/>
        <w:rPr>
          <w:sz w:val="27"/>
          <w:szCs w:val="27"/>
        </w:rPr>
      </w:pPr>
      <w:r>
        <w:rPr>
          <w:b/>
          <w:bCs/>
          <w:szCs w:val="22"/>
        </w:rPr>
        <w:t>[…] Oui, mais je vous avise, ça j’ai aucun problème là-dessus, parce que le </w:t>
      </w:r>
      <w:r>
        <w:rPr>
          <w:rStyle w:val="solexhl"/>
          <w:rFonts w:cs="Arial"/>
          <w:b/>
          <w:bCs/>
          <w:color w:val="000000"/>
          <w:szCs w:val="22"/>
        </w:rPr>
        <w:t>Barreau</w:t>
      </w:r>
      <w:r>
        <w:rPr>
          <w:b/>
          <w:bCs/>
          <w:szCs w:val="22"/>
        </w:rPr>
        <w:t> du Québec m’a déjà écrit une lettre concernant le dossier de madame Laporte que j’ai ici. Et disant que c’était illégal et …</w:t>
      </w:r>
    </w:p>
    <w:p w14:paraId="651BEB2E" w14:textId="77777777" w:rsidR="00653948" w:rsidRDefault="00893AC8" w:rsidP="008A1100">
      <w:pPr>
        <w:pStyle w:val="Citationenretrait"/>
        <w:rPr>
          <w:sz w:val="24"/>
          <w:szCs w:val="24"/>
        </w:rPr>
      </w:pPr>
      <w:r>
        <w:t>[</w:t>
      </w:r>
      <w:bookmarkStart w:id="50" w:name="par55"/>
      <w:r>
        <w:t>55</w:t>
      </w:r>
      <w:bookmarkEnd w:id="50"/>
      <w:r>
        <w:t>]</w:t>
      </w:r>
      <w:r>
        <w:rPr>
          <w:sz w:val="14"/>
          <w:szCs w:val="14"/>
        </w:rPr>
        <w:t>        </w:t>
      </w:r>
      <w:r>
        <w:t>Malgré cela, </w:t>
      </w:r>
      <w:r>
        <w:rPr>
          <w:rStyle w:val="solexhl"/>
          <w:rFonts w:cs="Arial"/>
          <w:color w:val="000000"/>
        </w:rPr>
        <w:t>Mario Roy</w:t>
      </w:r>
      <w:r>
        <w:t> n’effectue aucune vérification pour s’assurer de son interprétation.</w:t>
      </w:r>
    </w:p>
    <w:p w14:paraId="7B1A36CC" w14:textId="77777777" w:rsidR="00653948" w:rsidRDefault="00893AC8" w:rsidP="008A1100">
      <w:pPr>
        <w:pStyle w:val="Citationenretrait"/>
      </w:pPr>
      <w:r>
        <w:t>[</w:t>
      </w:r>
      <w:bookmarkStart w:id="51" w:name="par56"/>
      <w:r>
        <w:t>56</w:t>
      </w:r>
      <w:bookmarkEnd w:id="51"/>
      <w:r>
        <w:t>]</w:t>
      </w:r>
      <w:r>
        <w:rPr>
          <w:sz w:val="14"/>
          <w:szCs w:val="14"/>
        </w:rPr>
        <w:t>        </w:t>
      </w:r>
      <w:r>
        <w:t>Or, la Cour suprême écrit dans l’arrêt </w:t>
      </w:r>
      <w:r>
        <w:rPr>
          <w:i/>
          <w:iCs/>
        </w:rPr>
        <w:t>Ville de Lévis </w:t>
      </w:r>
      <w:r>
        <w:t>:</w:t>
      </w:r>
    </w:p>
    <w:p w14:paraId="37B53050" w14:textId="77777777" w:rsidR="00653948" w:rsidRDefault="00893AC8" w:rsidP="008A1100">
      <w:pPr>
        <w:pStyle w:val="Citationenretrait"/>
        <w:ind w:left="1134" w:right="1140"/>
        <w:rPr>
          <w:sz w:val="27"/>
          <w:szCs w:val="27"/>
        </w:rPr>
      </w:pPr>
      <w:r>
        <w:rPr>
          <w:b/>
          <w:bCs/>
          <w:szCs w:val="22"/>
        </w:rPr>
        <w:t>[27] […] Des facteurs divers seront pris en considération dans le cours de cette évaluation, comme les efforts faits par le prévenu pour se renseigner, la clarté ou l’obscurité du texte de la loi, le poste et le rôle du fonctionnaire qui a fourni le renseignement ou l’opinion, ainsi que la précision, la fermeté et le caractère raisonnable de ceux-ci.</w:t>
      </w:r>
    </w:p>
    <w:p w14:paraId="3D0B3ECF" w14:textId="77777777" w:rsidR="00653948" w:rsidRDefault="00893AC8" w:rsidP="008A1100">
      <w:pPr>
        <w:pStyle w:val="Citationenretrait"/>
        <w:ind w:left="1134" w:right="1140"/>
        <w:rPr>
          <w:sz w:val="27"/>
          <w:szCs w:val="27"/>
        </w:rPr>
      </w:pPr>
      <w:r>
        <w:rPr>
          <w:b/>
          <w:bCs/>
          <w:szCs w:val="22"/>
        </w:rPr>
        <w:t>[…]</w:t>
      </w:r>
    </w:p>
    <w:p w14:paraId="73756B8E" w14:textId="77777777" w:rsidR="00653948" w:rsidRDefault="00893AC8" w:rsidP="008A1100">
      <w:pPr>
        <w:pStyle w:val="Citationenretrait"/>
        <w:ind w:left="1134" w:right="1140"/>
        <w:rPr>
          <w:sz w:val="27"/>
          <w:szCs w:val="27"/>
        </w:rPr>
      </w:pPr>
      <w:r>
        <w:rPr>
          <w:b/>
          <w:bCs/>
          <w:szCs w:val="22"/>
        </w:rPr>
        <w:t>[30]  […] Le concept de diligence repose sur l’acceptation d’un devoir de responsabilité du citoyen de chercher activement à connaître les obligations qui lui sont imposées. L’ignorance passive ne constitue pas un moyen de défense valable en droit pénal.</w:t>
      </w:r>
    </w:p>
    <w:p w14:paraId="7AAC170D" w14:textId="77777777" w:rsidR="00653948" w:rsidRDefault="00893AC8" w:rsidP="008A1100">
      <w:pPr>
        <w:pStyle w:val="Citationenretrait"/>
        <w:rPr>
          <w:sz w:val="24"/>
          <w:szCs w:val="24"/>
        </w:rPr>
      </w:pPr>
      <w:r>
        <w:t>[</w:t>
      </w:r>
      <w:bookmarkStart w:id="52" w:name="par57"/>
      <w:r>
        <w:t>57</w:t>
      </w:r>
      <w:bookmarkEnd w:id="52"/>
      <w:r>
        <w:t>]</w:t>
      </w:r>
      <w:r>
        <w:rPr>
          <w:sz w:val="14"/>
          <w:szCs w:val="14"/>
        </w:rPr>
        <w:t>        </w:t>
      </w:r>
      <w:r>
        <w:t>D’ailleurs, c’est dans ce même contexte qu’il agit en 2016. À ce moment, le juge Belhumeur lui souligne à nouveau, qu’il doit préalablement rencontrer l’agent de probation pour discuter des modalités d’exécution des travaux communautaires.</w:t>
      </w:r>
    </w:p>
    <w:p w14:paraId="36FD404A" w14:textId="77777777" w:rsidR="00653948" w:rsidRDefault="00893AC8" w:rsidP="008A1100">
      <w:pPr>
        <w:pStyle w:val="Citationenretrait"/>
      </w:pPr>
      <w:r>
        <w:t>[</w:t>
      </w:r>
      <w:bookmarkStart w:id="53" w:name="par58"/>
      <w:r>
        <w:t>58</w:t>
      </w:r>
      <w:bookmarkEnd w:id="53"/>
      <w:r>
        <w:t>]</w:t>
      </w:r>
      <w:r>
        <w:rPr>
          <w:sz w:val="14"/>
          <w:szCs w:val="14"/>
        </w:rPr>
        <w:t>        </w:t>
      </w:r>
      <w:r>
        <w:t>Encore une fois, </w:t>
      </w:r>
      <w:r>
        <w:rPr>
          <w:rStyle w:val="solexhl"/>
          <w:rFonts w:cs="Arial"/>
          <w:color w:val="000000"/>
        </w:rPr>
        <w:t>Mario Roy</w:t>
      </w:r>
      <w:r>
        <w:t> ne suit pas les directives de la Cour. Il effectue ses travaux sous forme juridique auprès de la famille T..., sans en informer préalablement l’agent de probation et sans s’assurer auprès du </w:t>
      </w:r>
      <w:r>
        <w:rPr>
          <w:rStyle w:val="solexhl"/>
          <w:rFonts w:cs="Arial"/>
          <w:color w:val="000000"/>
        </w:rPr>
        <w:t>Barreau</w:t>
      </w:r>
      <w:r>
        <w:t> qu’il peut le faire.</w:t>
      </w:r>
    </w:p>
    <w:p w14:paraId="2C982662" w14:textId="77777777" w:rsidR="00653948" w:rsidRDefault="00893AC8" w:rsidP="008A1100">
      <w:pPr>
        <w:pStyle w:val="Citationenretrait"/>
      </w:pPr>
      <w:r>
        <w:t>[</w:t>
      </w:r>
      <w:bookmarkStart w:id="54" w:name="par59"/>
      <w:r>
        <w:t>59</w:t>
      </w:r>
      <w:bookmarkEnd w:id="54"/>
      <w:r>
        <w:t>]</w:t>
      </w:r>
      <w:r>
        <w:rPr>
          <w:sz w:val="14"/>
          <w:szCs w:val="14"/>
        </w:rPr>
        <w:t>        </w:t>
      </w:r>
      <w:r w:rsidRPr="00BD2331">
        <w:rPr>
          <w:u w:val="single"/>
        </w:rPr>
        <w:t>Quoi qu’il en soit, même si les travaux avaient pu se réaliser dans un cadre juridique, ce que le Tribunal ne croit pas, cela n’aurait pas écarté l’obligation de respecter la </w:t>
      </w:r>
      <w:r w:rsidRPr="00BD2331">
        <w:rPr>
          <w:rStyle w:val="Hyperlien"/>
          <w:rFonts w:cs="Arial"/>
          <w:i/>
          <w:iCs/>
          <w:color w:val="auto"/>
          <w:u w:val="none"/>
        </w:rPr>
        <w:t>Loi sur le </w:t>
      </w:r>
      <w:r w:rsidRPr="00BD2331">
        <w:rPr>
          <w:rStyle w:val="solexhl"/>
          <w:rFonts w:cs="Arial"/>
          <w:i/>
          <w:iCs/>
        </w:rPr>
        <w:t>Barreau</w:t>
      </w:r>
      <w:r w:rsidRPr="00653948">
        <w:t>.</w:t>
      </w:r>
    </w:p>
    <w:p w14:paraId="64054CB9" w14:textId="77777777" w:rsidR="00BD2331" w:rsidRDefault="00893AC8" w:rsidP="008A1100">
      <w:pPr>
        <w:pStyle w:val="Citationenretrait"/>
        <w:jc w:val="right"/>
      </w:pPr>
      <w:r>
        <w:t>[Soulignement</w:t>
      </w:r>
      <w:r w:rsidR="00AD13A5">
        <w:t>s</w:t>
      </w:r>
      <w:r>
        <w:t xml:space="preserve"> du Tribunal</w:t>
      </w:r>
      <w:r w:rsidR="00AD13A5">
        <w:t xml:space="preserve"> – Renvois omis</w:t>
      </w:r>
      <w:r>
        <w:t>]</w:t>
      </w:r>
    </w:p>
    <w:p w14:paraId="3A5D4E38" w14:textId="77777777" w:rsidR="00291C98" w:rsidRDefault="00893AC8" w:rsidP="008A1100">
      <w:pPr>
        <w:pStyle w:val="Paragraphe"/>
        <w:spacing w:line="240" w:lineRule="auto"/>
      </w:pPr>
      <w:r>
        <w:t xml:space="preserve">La Cour supérieure, siégeant en appel du jugement de la Cour du Québec, Chambre criminelle et pénale, </w:t>
      </w:r>
      <w:r w:rsidR="00463497">
        <w:t xml:space="preserve">accueille la requête en rejet d’appel </w:t>
      </w:r>
      <w:r w:rsidR="00D36AA5">
        <w:t>du Barreau</w:t>
      </w:r>
      <w:r w:rsidR="00D36AA5" w:rsidRPr="00D36AA5">
        <w:rPr>
          <w:kern w:val="0"/>
        </w:rPr>
        <w:t xml:space="preserve"> </w:t>
      </w:r>
      <w:r w:rsidR="00D36AA5">
        <w:rPr>
          <w:kern w:val="0"/>
        </w:rPr>
        <w:t xml:space="preserve">et </w:t>
      </w:r>
      <w:r w:rsidR="00D36AA5" w:rsidRPr="00D36AA5">
        <w:t>rejette ce moyen aussi</w:t>
      </w:r>
      <w:r>
        <w:rPr>
          <w:rStyle w:val="Appelnotedebasdep"/>
        </w:rPr>
        <w:footnoteReference w:id="58"/>
      </w:r>
      <w:r w:rsidR="00D36AA5">
        <w:t xml:space="preserve"> : </w:t>
      </w:r>
    </w:p>
    <w:p w14:paraId="288E7B3C" w14:textId="77777777" w:rsidR="00462E33" w:rsidRPr="00462E33" w:rsidRDefault="00893AC8" w:rsidP="008A1100">
      <w:pPr>
        <w:pStyle w:val="Citationenretrait"/>
        <w:rPr>
          <w:lang w:eastAsia="fr-CA"/>
        </w:rPr>
      </w:pPr>
      <w:r w:rsidRPr="00462E33">
        <w:rPr>
          <w:lang w:eastAsia="fr-CA"/>
        </w:rPr>
        <w:t>[</w:t>
      </w:r>
      <w:bookmarkStart w:id="55" w:name="par12"/>
      <w:r w:rsidRPr="00462E33">
        <w:rPr>
          <w:lang w:eastAsia="fr-CA"/>
        </w:rPr>
        <w:t>12</w:t>
      </w:r>
      <w:bookmarkEnd w:id="55"/>
      <w:r w:rsidRPr="00462E33">
        <w:rPr>
          <w:lang w:eastAsia="fr-CA"/>
        </w:rPr>
        <w:t>]</w:t>
      </w:r>
      <w:r w:rsidRPr="00462E33">
        <w:rPr>
          <w:rFonts w:ascii="Times New Roman" w:hAnsi="Times New Roman"/>
          <w:sz w:val="14"/>
          <w:szCs w:val="14"/>
          <w:lang w:eastAsia="fr-CA"/>
        </w:rPr>
        <w:t>              </w:t>
      </w:r>
      <w:r w:rsidRPr="00462E33">
        <w:rPr>
          <w:lang w:eastAsia="fr-CA"/>
        </w:rPr>
        <w:t>Mario Roy et le Centre d’entraide familial l’Unité citoyenne d’enquêtes anti-corruption reconnaissent ces gestes, mais expliquent avoir été induits en erreur par des personnes en autorité, à savoir un agent de probation et des juges de la Cour du Québec, eu égard à l’exécution de travaux communautaires qu’ils disaient avoir été effectués sous la forme de services juridiques.</w:t>
      </w:r>
    </w:p>
    <w:p w14:paraId="7D1A6BCF" w14:textId="77777777" w:rsidR="00462E33" w:rsidRDefault="00893AC8" w:rsidP="008A1100">
      <w:pPr>
        <w:pStyle w:val="Citationenretrait"/>
        <w:rPr>
          <w:lang w:eastAsia="fr-CA"/>
        </w:rPr>
      </w:pPr>
      <w:r w:rsidRPr="00462E33">
        <w:rPr>
          <w:lang w:eastAsia="fr-CA"/>
        </w:rPr>
        <w:t>[13]</w:t>
      </w:r>
      <w:r w:rsidRPr="00462E33">
        <w:rPr>
          <w:rFonts w:ascii="Times New Roman" w:hAnsi="Times New Roman"/>
          <w:sz w:val="14"/>
          <w:szCs w:val="14"/>
          <w:lang w:eastAsia="fr-CA"/>
        </w:rPr>
        <w:t>              </w:t>
      </w:r>
      <w:r w:rsidRPr="00462E33">
        <w:rPr>
          <w:lang w:eastAsia="fr-CA"/>
        </w:rPr>
        <w:t>Ils croyaient être autorisés à agir pour contrer la corruption judiciaire et intervenir en toute légalité dans les dossiers de la chambre de la jeunesse, sans être membres du Barreau du Québec.</w:t>
      </w:r>
    </w:p>
    <w:p w14:paraId="79A6DB2F" w14:textId="77777777" w:rsidR="00462E33" w:rsidRDefault="00893AC8" w:rsidP="008A1100">
      <w:pPr>
        <w:pStyle w:val="Citationenretrait"/>
        <w:rPr>
          <w:lang w:eastAsia="fr-CA"/>
        </w:rPr>
      </w:pPr>
      <w:r>
        <w:rPr>
          <w:lang w:eastAsia="fr-CA"/>
        </w:rPr>
        <w:t>…</w:t>
      </w:r>
    </w:p>
    <w:p w14:paraId="11338500" w14:textId="77777777" w:rsidR="00EC21DB" w:rsidRDefault="00893AC8" w:rsidP="008A1100">
      <w:pPr>
        <w:pStyle w:val="Citationenretrait"/>
        <w:rPr>
          <w:lang w:eastAsia="fr-CA"/>
        </w:rPr>
      </w:pPr>
      <w:r>
        <w:rPr>
          <w:lang w:eastAsia="fr-CA"/>
        </w:rPr>
        <w:t>[34]              Les défenses d’erreur de fait et d’erreur de droit provoquées par une personne en autorité ont été adéquatement analysées et rejetées par le juge de première instance : aucune erreur n’est raisonnablement susceptible d’être démontrée par les appelants, à la face même de leur avis d’appel.</w:t>
      </w:r>
    </w:p>
    <w:p w14:paraId="00820C46" w14:textId="77777777" w:rsidR="00D36AA5" w:rsidRDefault="00893AC8" w:rsidP="008A1100">
      <w:pPr>
        <w:pStyle w:val="Citationenretrait"/>
        <w:rPr>
          <w:lang w:eastAsia="fr-CA"/>
        </w:rPr>
      </w:pPr>
      <w:r>
        <w:rPr>
          <w:lang w:eastAsia="fr-CA"/>
        </w:rPr>
        <w:t>[35]              Quant au motif d’appel qui invoque une appréciation erronée des témoignages de messieurs Hurtubise, Dessureault et de Mario Roy relativement aux travaux communautaires, l’analyse du juge du procès mérite déférence et son appréciation détaillée de la preuve dans le cadre du droit applicable ne révèle aucune erreur manifeste et déterminante puisque les faits supportant les éléments essentiels des infractions ne sont pas contestés.</w:t>
      </w:r>
    </w:p>
    <w:p w14:paraId="181D808C" w14:textId="77777777" w:rsidR="003A10BA" w:rsidRDefault="00893AC8" w:rsidP="008A1100">
      <w:pPr>
        <w:pStyle w:val="Paragraphe"/>
        <w:spacing w:line="240" w:lineRule="auto"/>
      </w:pPr>
      <w:r>
        <w:t xml:space="preserve">M. Roy </w:t>
      </w:r>
      <w:r w:rsidR="00AD13A5">
        <w:t>soulève</w:t>
      </w:r>
      <w:r w:rsidR="008C4856">
        <w:t xml:space="preserve"> à nouveau ce moyen de défense à l’instruction au fond.</w:t>
      </w:r>
    </w:p>
    <w:p w14:paraId="3ED9274B" w14:textId="77777777" w:rsidR="008C4856" w:rsidRDefault="00893AC8" w:rsidP="008A1100">
      <w:pPr>
        <w:pStyle w:val="Paragraphe"/>
        <w:spacing w:line="240" w:lineRule="auto"/>
      </w:pPr>
      <w:r>
        <w:t>Toutefois, la preuve qu’il administre pour l’appuyer e</w:t>
      </w:r>
      <w:r w:rsidR="005450A2">
        <w:t>s</w:t>
      </w:r>
      <w:r>
        <w:t xml:space="preserve">t </w:t>
      </w:r>
      <w:r w:rsidR="005450A2" w:rsidRPr="005450A2">
        <w:t xml:space="preserve">identique à tous égards pertinents </w:t>
      </w:r>
      <w:r w:rsidR="00842C60">
        <w:t>à la preuve qu’il a admi</w:t>
      </w:r>
      <w:r w:rsidR="005450A2">
        <w:t>ni</w:t>
      </w:r>
      <w:r w:rsidR="00842C60">
        <w:t xml:space="preserve">stré devant le </w:t>
      </w:r>
      <w:r w:rsidR="00AD13A5">
        <w:t>j</w:t>
      </w:r>
      <w:r w:rsidR="00842C60">
        <w:t xml:space="preserve">uge Dubois et le </w:t>
      </w:r>
      <w:r w:rsidR="00AD13A5">
        <w:t>j</w:t>
      </w:r>
      <w:r w:rsidR="005450A2">
        <w:t>u</w:t>
      </w:r>
      <w:r w:rsidR="00842C60">
        <w:t>ge Lafrenière de la Cour du Québec.</w:t>
      </w:r>
    </w:p>
    <w:p w14:paraId="2BC54293" w14:textId="77777777" w:rsidR="005450A2" w:rsidRDefault="00893AC8" w:rsidP="008A1100">
      <w:pPr>
        <w:pStyle w:val="Paragraphe"/>
        <w:spacing w:line="240" w:lineRule="auto"/>
      </w:pPr>
      <w:r>
        <w:t>Certe</w:t>
      </w:r>
      <w:r w:rsidR="00F03222">
        <w:t>s</w:t>
      </w:r>
      <w:r>
        <w:t>, le Tribunal n’est pas lié par les jugements an</w:t>
      </w:r>
      <w:r w:rsidR="00F03222">
        <w:t>t</w:t>
      </w:r>
      <w:r>
        <w:t>érieurs</w:t>
      </w:r>
      <w:r w:rsidR="00F03222">
        <w:t>, mais les faits qu’ils constatent bénéficie</w:t>
      </w:r>
      <w:r w:rsidR="00AD13A5">
        <w:t>nt</w:t>
      </w:r>
      <w:r w:rsidR="00F03222">
        <w:t xml:space="preserve"> </w:t>
      </w:r>
      <w:r w:rsidR="00774973" w:rsidRPr="00774973">
        <w:t>d’une présomption simple de vérité, de véracité ou encore d’exactitude</w:t>
      </w:r>
      <w:r w:rsidR="00774973">
        <w:t>, présom</w:t>
      </w:r>
      <w:r w:rsidR="00833E96">
        <w:t>ption que les défendeurs n’ont pas réfuté au procès en l’espèce.</w:t>
      </w:r>
    </w:p>
    <w:p w14:paraId="4997C6C9" w14:textId="77777777" w:rsidR="00737029" w:rsidRDefault="00893AC8" w:rsidP="008A1100">
      <w:pPr>
        <w:pStyle w:val="Paragraphe"/>
        <w:spacing w:line="240" w:lineRule="auto"/>
      </w:pPr>
      <w:r>
        <w:t>Vu que M. Roy n’</w:t>
      </w:r>
      <w:r w:rsidR="002F03AC">
        <w:t xml:space="preserve">a pas administré une preuve différente de celle administrée devant les </w:t>
      </w:r>
      <w:r w:rsidR="00AD13A5">
        <w:t>j</w:t>
      </w:r>
      <w:r w:rsidR="002F03AC">
        <w:t>uges Dubois et Lafrenière, le Tribunal n’a aucune raison d</w:t>
      </w:r>
      <w:r w:rsidR="000B53BF">
        <w:t>’</w:t>
      </w:r>
      <w:r w:rsidR="002F03AC">
        <w:t>écarter</w:t>
      </w:r>
      <w:r w:rsidR="000B53BF">
        <w:t xml:space="preserve"> leurs conclusions sur le moyen de défense fondé sur l’autorisation préalable.</w:t>
      </w:r>
    </w:p>
    <w:p w14:paraId="5EB1EE80" w14:textId="77777777" w:rsidR="00C2597C" w:rsidRDefault="00893AC8" w:rsidP="008A1100">
      <w:pPr>
        <w:pStyle w:val="Paragraphe"/>
        <w:spacing w:line="240" w:lineRule="auto"/>
      </w:pPr>
      <w:r>
        <w:t xml:space="preserve">Par ailleurs, </w:t>
      </w:r>
      <w:r w:rsidR="0023643D">
        <w:t>indépendamment</w:t>
      </w:r>
      <w:r>
        <w:t xml:space="preserve"> des concl</w:t>
      </w:r>
      <w:r w:rsidR="0023643D">
        <w:t xml:space="preserve">usions des autres juges qui ont évalué le </w:t>
      </w:r>
      <w:r w:rsidR="00967DEA">
        <w:t>M</w:t>
      </w:r>
      <w:r w:rsidR="0023643D">
        <w:t>oyen de défense fondé sur l’autorisation préalable, le Tribunal</w:t>
      </w:r>
      <w:r w:rsidR="009E717E">
        <w:t xml:space="preserve">, après analyse de la preuve administré à l’instruction, </w:t>
      </w:r>
      <w:r w:rsidR="00646414">
        <w:t>conclu que ce moyen de défense est mal fondé.</w:t>
      </w:r>
    </w:p>
    <w:p w14:paraId="6B178A66" w14:textId="77777777" w:rsidR="003A1D4F" w:rsidRDefault="00893AC8" w:rsidP="008A1100">
      <w:pPr>
        <w:pStyle w:val="Paragraphe"/>
        <w:spacing w:line="240" w:lineRule="auto"/>
      </w:pPr>
      <w:r>
        <w:t>M. Roy plaide que des agents de probation l’ont autorisé à effectuer du travail d’ordre juridique dans le cadre des travaux communautaires qui lui ont été ordonnés à effectuer. À l’exception de Mathieu Dessureault, aucun autre agent de probation n’a témoigné.</w:t>
      </w:r>
    </w:p>
    <w:p w14:paraId="01256C76" w14:textId="77777777" w:rsidR="0053776A" w:rsidRDefault="00893AC8" w:rsidP="008A1100">
      <w:pPr>
        <w:pStyle w:val="Paragraphe"/>
        <w:spacing w:line="240" w:lineRule="auto"/>
      </w:pPr>
      <w:r>
        <w:t xml:space="preserve">Il ressort du témoignage de M. Dessureault qu’en juillet 2014 il s’entretient avec M. Roy et, de façon exceptionnelle, accepte que des travaux d’ordre juridique effectués </w:t>
      </w:r>
      <w:r w:rsidR="002C7FDD">
        <w:t>dans le passé</w:t>
      </w:r>
      <w:r>
        <w:t xml:space="preserve"> soient comptabilisés aux fins d</w:t>
      </w:r>
      <w:r w:rsidR="002C7FDD">
        <w:t>u calcul d</w:t>
      </w:r>
      <w:r>
        <w:t xml:space="preserve">es </w:t>
      </w:r>
      <w:r w:rsidR="002C7FDD">
        <w:t xml:space="preserve">heures de </w:t>
      </w:r>
      <w:r>
        <w:t>travaux communautaires que M. Roy devait effectue</w:t>
      </w:r>
      <w:r w:rsidR="007E1CCC">
        <w:t>. Toutefois, il lui dit clairement</w:t>
      </w:r>
      <w:r>
        <w:t xml:space="preserve"> que pour l’avenir, de tels travaux ne pou</w:t>
      </w:r>
      <w:r w:rsidR="007E1CCC">
        <w:t>rr</w:t>
      </w:r>
      <w:r>
        <w:t>aient être inclus aux fins des travaux communautaires qu’il devait effectuer</w:t>
      </w:r>
      <w:r>
        <w:rPr>
          <w:rStyle w:val="Appelnotedebasdep"/>
        </w:rPr>
        <w:footnoteReference w:id="59"/>
      </w:r>
      <w:r>
        <w:t>.</w:t>
      </w:r>
    </w:p>
    <w:p w14:paraId="13BE92A8" w14:textId="77777777" w:rsidR="0053776A" w:rsidRDefault="00893AC8" w:rsidP="008A1100">
      <w:pPr>
        <w:pStyle w:val="Paragraphe"/>
        <w:spacing w:line="240" w:lineRule="auto"/>
      </w:pPr>
      <w:r>
        <w:t>Le Tribunal retient du témoignage de M. Dessureault que ce dernier informe M. Roy en 2014 que pour l’avenir, il ne pourra effectuer des travaux d’ordre juridique. Ce témoignage est crédible et convaincant.</w:t>
      </w:r>
    </w:p>
    <w:p w14:paraId="110CFBD2" w14:textId="77777777" w:rsidR="0053776A" w:rsidRDefault="00893AC8" w:rsidP="008A1100">
      <w:pPr>
        <w:pStyle w:val="Paragraphe"/>
        <w:spacing w:line="240" w:lineRule="auto"/>
      </w:pPr>
      <w:r>
        <w:t>Ainsi, la preuve révèle qu’à tout le moins à partir du mois de juillet 2014, aucun agent de probation n’autorise M. Roy à effectuer des travaux d’ordre juridique.</w:t>
      </w:r>
    </w:p>
    <w:p w14:paraId="3A255C87" w14:textId="77777777" w:rsidR="0053776A" w:rsidRDefault="00893AC8" w:rsidP="008A1100">
      <w:pPr>
        <w:pStyle w:val="Paragraphe"/>
        <w:spacing w:line="240" w:lineRule="auto"/>
      </w:pPr>
      <w:r>
        <w:t>À tout événement, ayant été avisé par le Barreau en 2016 et à nouveau en 2017 qu’il ne peut effectuer ou poser des actes qui sont du ressort exclusif de l’avocat, M. Roy ne peut raisonnablement prétendre après cette prise de position du Barreau qu’il était autorisé à rédiger des procédures ou donner des avis juridiques</w:t>
      </w:r>
      <w:r>
        <w:rPr>
          <w:rStyle w:val="Appelnotedebasdep"/>
        </w:rPr>
        <w:footnoteReference w:id="60"/>
      </w:r>
      <w:r>
        <w:t>.</w:t>
      </w:r>
    </w:p>
    <w:p w14:paraId="465B6FD6" w14:textId="77777777" w:rsidR="0053776A" w:rsidRDefault="00893AC8" w:rsidP="008A1100">
      <w:pPr>
        <w:pStyle w:val="Paragraphe"/>
        <w:spacing w:line="240" w:lineRule="auto"/>
      </w:pPr>
      <w:r>
        <w:t>De plus, c’est à tort que M. Roy prétend qu’il a été autorisé par les juges Belhumeur et Beaudoin de la Cour du Québec, Chambre criminelle et pénale, à poser des actes qui sont du ressort exclusif de l’avocat.</w:t>
      </w:r>
    </w:p>
    <w:p w14:paraId="3CDE3D28" w14:textId="77777777" w:rsidR="0053776A" w:rsidRDefault="00893AC8" w:rsidP="008A1100">
      <w:pPr>
        <w:pStyle w:val="Paragraphe"/>
        <w:spacing w:line="240" w:lineRule="auto"/>
      </w:pPr>
      <w:r>
        <w:t xml:space="preserve">M. Roy n’a pas prouvé que ces juges lui ont dit qu’il pouvait rédiger des requêtes, rédiger des avis d’appel ou encore </w:t>
      </w:r>
      <w:r w:rsidR="000F7CEA">
        <w:t>prodiguer</w:t>
      </w:r>
      <w:r>
        <w:t xml:space="preserve"> des conseils juridiques. Au contraire, la preuve révèle que de telles autorisations n’existent tout simplement pas</w:t>
      </w:r>
      <w:r>
        <w:rPr>
          <w:rStyle w:val="Appelnotedebasdep"/>
        </w:rPr>
        <w:footnoteReference w:id="61"/>
      </w:r>
      <w:r>
        <w:t>.</w:t>
      </w:r>
    </w:p>
    <w:p w14:paraId="34DD0E42" w14:textId="77777777" w:rsidR="00A12588" w:rsidRDefault="00893AC8" w:rsidP="008A1100">
      <w:pPr>
        <w:pStyle w:val="Paragraphe"/>
        <w:spacing w:line="240" w:lineRule="auto"/>
      </w:pPr>
      <w:r>
        <w:t xml:space="preserve">Ainsi, à partir de 2016 et 2017, c’est en toute connaissance de cause que M. Roy agit à l’encontre de la </w:t>
      </w:r>
      <w:r w:rsidRPr="0053776A">
        <w:rPr>
          <w:i/>
          <w:iCs/>
        </w:rPr>
        <w:t>Loi sur le Barreau</w:t>
      </w:r>
      <w:r>
        <w:t xml:space="preserve"> et il ne peut prétendre qu’il est autorisé à poser des actes qui sont du ressort exclusif de l’avocat.</w:t>
      </w:r>
    </w:p>
    <w:p w14:paraId="1F78D4F1" w14:textId="77777777" w:rsidR="00562999" w:rsidRDefault="00893AC8" w:rsidP="008A1100">
      <w:pPr>
        <w:pStyle w:val="Paragraphe"/>
        <w:spacing w:line="240" w:lineRule="auto"/>
      </w:pPr>
      <w:r>
        <w:t>Il affirme haut et fort au procès que m</w:t>
      </w:r>
      <w:r w:rsidRPr="00562999">
        <w:t>ême si le Barreau </w:t>
      </w:r>
      <w:r>
        <w:t xml:space="preserve">lui </w:t>
      </w:r>
      <w:r w:rsidRPr="00562999">
        <w:t>dit qu</w:t>
      </w:r>
      <w:r>
        <w:t xml:space="preserve">’il contrevient à la </w:t>
      </w:r>
      <w:r w:rsidRPr="00562999">
        <w:rPr>
          <w:i/>
          <w:iCs/>
        </w:rPr>
        <w:t xml:space="preserve">Loi sur le </w:t>
      </w:r>
      <w:r>
        <w:rPr>
          <w:i/>
          <w:iCs/>
        </w:rPr>
        <w:t>B</w:t>
      </w:r>
      <w:r w:rsidRPr="00562999">
        <w:rPr>
          <w:i/>
          <w:iCs/>
        </w:rPr>
        <w:t>arreau</w:t>
      </w:r>
      <w:r>
        <w:t xml:space="preserve">, </w:t>
      </w:r>
      <w:r w:rsidR="00FD7B6D">
        <w:t>il ne modifiera pas sa conduite car c’est son devoir d’agir</w:t>
      </w:r>
      <w:r w:rsidR="00144726">
        <w:t xml:space="preserve"> et </w:t>
      </w:r>
      <w:r w:rsidR="00FD7B6D">
        <w:t>personne ne peut l’empêcher de prendre tous les moyens nécessaires pour protéger les enfants et pour s’instruire</w:t>
      </w:r>
      <w:r w:rsidR="00144726">
        <w:t>.</w:t>
      </w:r>
    </w:p>
    <w:p w14:paraId="798DE8A8" w14:textId="77777777" w:rsidR="00144726" w:rsidRDefault="00893AC8" w:rsidP="008A1100">
      <w:pPr>
        <w:pStyle w:val="Paragraphe"/>
        <w:spacing w:line="240" w:lineRule="auto"/>
      </w:pPr>
      <w:r w:rsidRPr="00144726">
        <w:t xml:space="preserve">Le </w:t>
      </w:r>
      <w:r w:rsidR="00F52ACA">
        <w:t>M</w:t>
      </w:r>
      <w:r w:rsidRPr="00144726">
        <w:t>oyen de défense des défendeurs fondé sur l’autorisation préalable</w:t>
      </w:r>
      <w:r>
        <w:t xml:space="preserve"> est mal fondé car non prouvé.</w:t>
      </w:r>
    </w:p>
    <w:p w14:paraId="54235D55" w14:textId="77777777" w:rsidR="00144726" w:rsidRDefault="00893AC8" w:rsidP="008A1100">
      <w:pPr>
        <w:pStyle w:val="Paragraphe"/>
        <w:spacing w:line="240" w:lineRule="auto"/>
      </w:pPr>
      <w:r>
        <w:t>Cela dit, ce moyen de défense est</w:t>
      </w:r>
      <w:r w:rsidR="00460F42">
        <w:t xml:space="preserve">-il abusif au sens de l’article 51 du </w:t>
      </w:r>
      <w:r w:rsidR="00460F42" w:rsidRPr="00460F42">
        <w:rPr>
          <w:i/>
          <w:iCs/>
        </w:rPr>
        <w:t>Code de procédure civile</w:t>
      </w:r>
      <w:r w:rsidR="00460F42">
        <w:t>?</w:t>
      </w:r>
    </w:p>
    <w:p w14:paraId="6BC059B9" w14:textId="77777777" w:rsidR="00FD6362" w:rsidRDefault="00893AC8" w:rsidP="008A1100">
      <w:pPr>
        <w:pStyle w:val="Paragraphe"/>
        <w:spacing w:line="240" w:lineRule="auto"/>
      </w:pPr>
      <w:r>
        <w:t>Le Barreau demande au Tribunal de déclarer que le moyen de défense fondé sur l’autorisation</w:t>
      </w:r>
      <w:r w:rsidR="005C73C3">
        <w:t xml:space="preserve"> préalable est abusif au sens de </w:t>
      </w:r>
      <w:r w:rsidR="005C73C3" w:rsidRPr="005C73C3">
        <w:t xml:space="preserve">l’article 51 </w:t>
      </w:r>
      <w:r w:rsidR="005C73C3" w:rsidRPr="005317A9">
        <w:rPr>
          <w:i/>
        </w:rPr>
        <w:t>C.p.c</w:t>
      </w:r>
      <w:r w:rsidR="005C73C3" w:rsidRPr="005317A9">
        <w:rPr>
          <w:i/>
          <w:iCs/>
        </w:rPr>
        <w:t>.</w:t>
      </w:r>
      <w:r w:rsidR="00362892">
        <w:rPr>
          <w:i/>
          <w:iCs/>
        </w:rPr>
        <w:t>,</w:t>
      </w:r>
      <w:r w:rsidR="005C73C3">
        <w:t xml:space="preserve"> et ce</w:t>
      </w:r>
      <w:r w:rsidR="00362892">
        <w:t>,</w:t>
      </w:r>
      <w:r w:rsidR="005C73C3">
        <w:t xml:space="preserve"> </w:t>
      </w:r>
      <w:r w:rsidR="00880781">
        <w:t xml:space="preserve">en application de la </w:t>
      </w:r>
      <w:r w:rsidR="00040602" w:rsidRPr="00040602">
        <w:t>doctrine de la préclusion découlant d’une question déjà tranchée</w:t>
      </w:r>
      <w:r w:rsidR="00040602">
        <w:t>.</w:t>
      </w:r>
      <w:r w:rsidR="00904280" w:rsidRPr="00904280">
        <w:rPr>
          <w:kern w:val="0"/>
        </w:rPr>
        <w:t xml:space="preserve"> </w:t>
      </w:r>
      <w:r w:rsidR="00904280" w:rsidRPr="00904280">
        <w:t>C’est la seule sanction recherchée par le Barreau</w:t>
      </w:r>
      <w:r w:rsidR="00904280">
        <w:t>.</w:t>
      </w:r>
    </w:p>
    <w:p w14:paraId="4D3EF1DC" w14:textId="77777777" w:rsidR="00040602" w:rsidRDefault="00893AC8" w:rsidP="008A1100">
      <w:pPr>
        <w:pStyle w:val="Paragraphe"/>
        <w:spacing w:line="240" w:lineRule="auto"/>
      </w:pPr>
      <w:r>
        <w:t>L’article 51</w:t>
      </w:r>
      <w:r w:rsidR="00A33F3F">
        <w:t xml:space="preserve"> </w:t>
      </w:r>
      <w:r w:rsidR="00A33F3F" w:rsidRPr="00362892">
        <w:rPr>
          <w:i/>
          <w:iCs/>
        </w:rPr>
        <w:t>C.p.c.</w:t>
      </w:r>
      <w:r w:rsidR="00A33F3F">
        <w:t xml:space="preserve"> fonde le pouvoir des tribunaux</w:t>
      </w:r>
      <w:r w:rsidR="00B0689A">
        <w:t xml:space="preserve"> de déclarer et </w:t>
      </w:r>
      <w:r w:rsidR="00BC5C18">
        <w:t>même sanctionner</w:t>
      </w:r>
      <w:r w:rsidR="00BC5C18" w:rsidRPr="00BC5C18">
        <w:rPr>
          <w:kern w:val="0"/>
        </w:rPr>
        <w:t xml:space="preserve"> </w:t>
      </w:r>
      <w:r w:rsidR="00BC5C18" w:rsidRPr="00BC5C18">
        <w:t xml:space="preserve">une demande en justice ou un autre acte de procédure </w:t>
      </w:r>
      <w:r w:rsidR="00BC5C18">
        <w:t xml:space="preserve">qui </w:t>
      </w:r>
      <w:r w:rsidR="00BC5C18" w:rsidRPr="00BC5C18">
        <w:t>est abusif</w:t>
      </w:r>
      <w:r w:rsidR="00BC5C18">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A34AC5" w14:paraId="3C9947E6" w14:textId="77777777" w:rsidTr="00362892">
        <w:tc>
          <w:tcPr>
            <w:tcW w:w="4676" w:type="dxa"/>
          </w:tcPr>
          <w:p w14:paraId="02D1753E" w14:textId="77777777" w:rsidR="00057D53" w:rsidRDefault="00893AC8" w:rsidP="008A1100">
            <w:pPr>
              <w:pStyle w:val="Citationenretrait"/>
            </w:pPr>
            <w:r>
              <w:t>51. Les tribunaux peuvent à tout moment, sur demande et même d’office, déclarer qu’une demande en justice ou un autre acte de procédure est abusif.</w:t>
            </w:r>
          </w:p>
          <w:p w14:paraId="388B89B7" w14:textId="77777777" w:rsidR="00057D53" w:rsidRDefault="00893AC8" w:rsidP="008A1100">
            <w:pPr>
              <w:pStyle w:val="Citationenretrait"/>
            </w:pPr>
            <w:r>
              <w:t xml:space="preserve">L’abus peut résulter, sans égard à l’intention, d’une demande en justice ou </w:t>
            </w:r>
            <w:r w:rsidRPr="00057D53">
              <w:rPr>
                <w:u w:val="single"/>
              </w:rPr>
              <w:t>d’un autre acte de procédure manifestement mal fondé</w:t>
            </w:r>
            <w:r>
              <w:t xml:space="preserve">, </w:t>
            </w:r>
            <w:r w:rsidRPr="00287F06">
              <w:rPr>
                <w:u w:val="single"/>
              </w:rPr>
              <w:t>frivole ou dilatoire, ou d’un comportement vexatoire ou quérulent.</w:t>
            </w:r>
            <w:r>
              <w:t xml:space="preserve"> Il peut aussi résulter de l’utilisation de la procédure de manière excessive ou déraisonnable ou de manière à nuire à autrui ou encore du détournement des fins de la justice, entre autres si cela a pour effet de limiter la liberté d’expression d’autrui dans le contexte de débats publics.</w:t>
            </w:r>
          </w:p>
        </w:tc>
        <w:tc>
          <w:tcPr>
            <w:tcW w:w="4676" w:type="dxa"/>
          </w:tcPr>
          <w:p w14:paraId="5C2F022E" w14:textId="77777777" w:rsidR="00B0689A" w:rsidRPr="00B0689A" w:rsidRDefault="00893AC8" w:rsidP="008A1100">
            <w:pPr>
              <w:pStyle w:val="Citationenretrait"/>
              <w:rPr>
                <w:lang w:val="en-CA"/>
              </w:rPr>
            </w:pPr>
            <w:r w:rsidRPr="00B0689A">
              <w:rPr>
                <w:lang w:val="en-CA"/>
              </w:rPr>
              <w:t>51. The courts may, at any time, on an application and even on their own initiative, declare that a judicial application or a pleading is abusive.</w:t>
            </w:r>
          </w:p>
          <w:p w14:paraId="1273813F" w14:textId="77777777" w:rsidR="00057D53" w:rsidRDefault="00893AC8" w:rsidP="008A1100">
            <w:pPr>
              <w:pStyle w:val="Citationenretrait"/>
              <w:rPr>
                <w:lang w:val="en-CA"/>
              </w:rPr>
            </w:pPr>
            <w:r w:rsidRPr="00B0689A">
              <w:rPr>
                <w:lang w:val="en-CA"/>
              </w:rPr>
              <w:t xml:space="preserve">Regardless of intent, the abuse of procedure may consist in a judicial application </w:t>
            </w:r>
            <w:r w:rsidRPr="00287F06">
              <w:rPr>
                <w:u w:val="single"/>
                <w:lang w:val="en-CA"/>
              </w:rPr>
              <w:t>or pleading that is clearly unfounded, frivolous or intended to delay or in conduct that is vexatious or quarrelsome.</w:t>
            </w:r>
            <w:r w:rsidRPr="00B0689A">
              <w:rPr>
                <w:lang w:val="en-CA"/>
              </w:rPr>
              <w:t xml:space="preserve"> It may also consist in a use of procedure that is excessive or unreasonable or that causes prejudice to another person, or attempts to defeat the ends of justice, particularly if it operates to restrict another person’s freedom of expression in public debate.</w:t>
            </w:r>
          </w:p>
          <w:p w14:paraId="7431FBE4" w14:textId="77777777" w:rsidR="00362892" w:rsidRPr="00B0689A" w:rsidRDefault="00893AC8" w:rsidP="008A1100">
            <w:pPr>
              <w:pStyle w:val="Citationenretrait"/>
              <w:jc w:val="right"/>
              <w:rPr>
                <w:lang w:val="en-CA"/>
              </w:rPr>
            </w:pPr>
            <w:r>
              <w:rPr>
                <w:lang w:val="en-CA"/>
              </w:rPr>
              <w:t>[Soulignement du Tribunal]</w:t>
            </w:r>
          </w:p>
        </w:tc>
      </w:tr>
    </w:tbl>
    <w:p w14:paraId="5F6815F3" w14:textId="77777777" w:rsidR="00F909B1" w:rsidRPr="005A3046" w:rsidRDefault="00893AC8" w:rsidP="008A1100">
      <w:pPr>
        <w:pStyle w:val="Paragraphe"/>
        <w:spacing w:line="240" w:lineRule="auto"/>
      </w:pPr>
      <w:r w:rsidRPr="005A3046">
        <w:t>Dans plusieurs arrêts, dont</w:t>
      </w:r>
      <w:r>
        <w:t xml:space="preserve"> </w:t>
      </w:r>
      <w:r w:rsidRPr="00E23987">
        <w:rPr>
          <w:i/>
          <w:iCs/>
        </w:rPr>
        <w:t>9401-0428 Québec inc. c. 9414-8442 Québec inc</w:t>
      </w:r>
      <w:r w:rsidRPr="00E23987">
        <w:t xml:space="preserve">., </w:t>
      </w:r>
      <w:r w:rsidRPr="005A3046">
        <w:rPr>
          <w:i/>
        </w:rPr>
        <w:t>Vandal</w:t>
      </w:r>
      <w:r w:rsidRPr="005A3046">
        <w:t xml:space="preserve"> c. </w:t>
      </w:r>
      <w:r w:rsidRPr="005A3046">
        <w:rPr>
          <w:i/>
        </w:rPr>
        <w:t>Municipalité de Boileau</w:t>
      </w:r>
      <w:r w:rsidRPr="005A3046">
        <w:t xml:space="preserve"> et </w:t>
      </w:r>
      <w:r w:rsidRPr="005A3046">
        <w:rPr>
          <w:i/>
          <w:iCs/>
        </w:rPr>
        <w:t xml:space="preserve">2741-8854 Québec inc. </w:t>
      </w:r>
      <w:r w:rsidRPr="005A3046">
        <w:t>c</w:t>
      </w:r>
      <w:r w:rsidRPr="005A3046">
        <w:rPr>
          <w:i/>
          <w:iCs/>
        </w:rPr>
        <w:t>. Restaurant King Ouest inc</w:t>
      </w:r>
      <w:r w:rsidRPr="005A3046">
        <w:t>., la Cour d’appel expose les règles applicables pour déterminer si une demande en justice ou une demande en cours d’instance est abusive</w:t>
      </w:r>
      <w:r>
        <w:rPr>
          <w:vertAlign w:val="superscript"/>
        </w:rPr>
        <w:footnoteReference w:id="62"/>
      </w:r>
      <w:r w:rsidRPr="005A3046">
        <w:t xml:space="preserve">. </w:t>
      </w:r>
    </w:p>
    <w:p w14:paraId="371EEB7C" w14:textId="77777777" w:rsidR="00781253" w:rsidRPr="00781253" w:rsidRDefault="00893AC8" w:rsidP="008A1100">
      <w:pPr>
        <w:pStyle w:val="Paragraphe"/>
        <w:spacing w:line="240" w:lineRule="auto"/>
      </w:pPr>
      <w:r w:rsidRPr="00781253">
        <w:rPr>
          <w:rFonts w:eastAsiaTheme="minorHAnsi" w:cs="Arial"/>
          <w:szCs w:val="24"/>
          <w:lang w:eastAsia="en-US"/>
        </w:rPr>
        <w:t xml:space="preserve">L’article 51 </w:t>
      </w:r>
      <w:r w:rsidRPr="00781253">
        <w:rPr>
          <w:rFonts w:eastAsiaTheme="minorHAnsi" w:cs="Arial"/>
          <w:i/>
          <w:iCs/>
          <w:szCs w:val="24"/>
          <w:lang w:eastAsia="en-US"/>
        </w:rPr>
        <w:t>C.p.c.</w:t>
      </w:r>
      <w:r w:rsidRPr="00781253">
        <w:rPr>
          <w:rFonts w:eastAsiaTheme="minorHAnsi" w:cs="Arial"/>
          <w:szCs w:val="24"/>
          <w:lang w:eastAsia="en-US"/>
        </w:rPr>
        <w:t xml:space="preserve"> vise une panoplie de situations qui « peu[vent] résulter/</w:t>
      </w:r>
      <w:r w:rsidRPr="002C0268">
        <w:rPr>
          <w:rFonts w:eastAsiaTheme="minorHAnsi" w:cs="Arial"/>
          <w:i/>
          <w:iCs/>
          <w:szCs w:val="24"/>
          <w:lang w:eastAsia="en-US"/>
        </w:rPr>
        <w:t>may consist</w:t>
      </w:r>
      <w:r w:rsidRPr="00781253">
        <w:rPr>
          <w:rFonts w:eastAsiaTheme="minorHAnsi" w:cs="Arial"/>
          <w:szCs w:val="24"/>
          <w:lang w:eastAsia="en-US"/>
        </w:rPr>
        <w:t xml:space="preserve"> » en un abus, au sens de cette disposition. Le spectre est large. On peut concevoir, à l’une extrémité, l’acte de procédure, introduit de bonne foi ou sans malveillance ou témérité, mais qui s’avère néanmoins « manifestement mal fondé », et, à l’autre extrémité, la « poursuite-bâillon » d’un justiciable qui ne vise qu’à limiter la liberté d’expression de l’autre partie ou, encore, une utilisation excessive et déraisonnable par un plaideur de la procédure, caractérisée par la quérulence. Entre ces extrémités du spectre, on peut y voir, par exemple, une action frivole ou encore vexatoire, ou même l’action manifestement mal fondée qui, sans intention malicieuse, constitue néanmoins une faute civile</w:t>
      </w:r>
      <w:r>
        <w:rPr>
          <w:rFonts w:eastAsiaTheme="minorHAnsi"/>
          <w:vertAlign w:val="superscript"/>
          <w:lang w:eastAsia="en-US"/>
        </w:rPr>
        <w:footnoteReference w:id="63"/>
      </w:r>
      <w:r w:rsidRPr="00781253">
        <w:rPr>
          <w:rFonts w:eastAsiaTheme="minorHAnsi" w:cs="Arial"/>
          <w:szCs w:val="24"/>
          <w:lang w:eastAsia="en-US"/>
        </w:rPr>
        <w:t>.</w:t>
      </w:r>
    </w:p>
    <w:p w14:paraId="383CD694" w14:textId="77777777" w:rsidR="004E7086" w:rsidRPr="00781253" w:rsidRDefault="00893AC8" w:rsidP="008A1100">
      <w:pPr>
        <w:pStyle w:val="Paragraphe"/>
        <w:spacing w:line="240" w:lineRule="auto"/>
      </w:pPr>
      <w:r w:rsidRPr="00781253">
        <w:rPr>
          <w:rFonts w:eastAsiaTheme="minorHAnsi" w:cs="Arial"/>
          <w:szCs w:val="24"/>
          <w:lang w:eastAsia="en-US"/>
        </w:rPr>
        <w:t>Il peut aussi y avoir faute si la contestation judiciaire est, au départ, de mauvaise foi, soit en demande ou en défense. Ce sera encore le cas lorsqu’une partie de mauvaise foi multiplie les procédures ou poursuit inutilement et abusivement un débat judiciaire</w:t>
      </w:r>
      <w:r>
        <w:rPr>
          <w:rFonts w:eastAsiaTheme="minorHAnsi"/>
          <w:vertAlign w:val="superscript"/>
          <w:lang w:eastAsia="en-US"/>
        </w:rPr>
        <w:footnoteReference w:id="64"/>
      </w:r>
      <w:r w:rsidRPr="00781253">
        <w:rPr>
          <w:rFonts w:eastAsiaTheme="minorHAnsi" w:cs="Arial"/>
          <w:szCs w:val="24"/>
          <w:lang w:eastAsia="en-US"/>
        </w:rPr>
        <w:t xml:space="preserve">. </w:t>
      </w:r>
    </w:p>
    <w:p w14:paraId="1100C023" w14:textId="77777777" w:rsidR="004E7086" w:rsidRPr="004E7086" w:rsidRDefault="00893AC8" w:rsidP="008A1100">
      <w:pPr>
        <w:pStyle w:val="Paragraphe"/>
        <w:spacing w:line="240" w:lineRule="auto"/>
        <w:rPr>
          <w:rFonts w:eastAsiaTheme="minorHAnsi"/>
          <w:lang w:eastAsia="en-US"/>
        </w:rPr>
      </w:pPr>
      <w:r>
        <w:rPr>
          <w:rFonts w:eastAsiaTheme="minorHAnsi"/>
          <w:lang w:eastAsia="en-US"/>
        </w:rPr>
        <w:t>D</w:t>
      </w:r>
      <w:r w:rsidRPr="004E7086">
        <w:rPr>
          <w:rFonts w:eastAsiaTheme="minorHAnsi"/>
          <w:lang w:eastAsia="en-US"/>
        </w:rPr>
        <w:t>ans </w:t>
      </w:r>
      <w:r w:rsidRPr="004E7086">
        <w:rPr>
          <w:rFonts w:eastAsiaTheme="minorHAnsi"/>
          <w:i/>
          <w:lang w:eastAsia="en-US"/>
        </w:rPr>
        <w:t>Biron</w:t>
      </w:r>
      <w:r w:rsidRPr="004E7086">
        <w:rPr>
          <w:rFonts w:eastAsiaTheme="minorHAnsi"/>
          <w:lang w:eastAsia="en-US"/>
        </w:rPr>
        <w:t xml:space="preserve"> c. </w:t>
      </w:r>
      <w:r w:rsidRPr="004E7086">
        <w:rPr>
          <w:rFonts w:eastAsiaTheme="minorHAnsi"/>
          <w:i/>
          <w:lang w:eastAsia="en-US"/>
        </w:rPr>
        <w:t>150 Marchand Holdings inc</w:t>
      </w:r>
      <w:r w:rsidRPr="004E7086">
        <w:rPr>
          <w:rFonts w:eastAsiaTheme="minorHAnsi"/>
          <w:lang w:eastAsia="en-US"/>
        </w:rPr>
        <w:t>., la Cour d’appel énonce que la barre est haute avant de conclure à une situation d’abus de procédure</w:t>
      </w:r>
      <w:r>
        <w:rPr>
          <w:rFonts w:eastAsiaTheme="minorHAnsi"/>
          <w:vertAlign w:val="superscript"/>
          <w:lang w:eastAsia="en-US"/>
        </w:rPr>
        <w:footnoteReference w:id="65"/>
      </w:r>
      <w:r w:rsidR="00362892">
        <w:rPr>
          <w:rFonts w:eastAsiaTheme="minorHAnsi"/>
          <w:lang w:eastAsia="en-US"/>
        </w:rPr>
        <w:t xml:space="preserve"> </w:t>
      </w:r>
      <w:r w:rsidRPr="004E7086">
        <w:rPr>
          <w:rFonts w:eastAsiaTheme="minorHAnsi"/>
          <w:lang w:eastAsia="en-US"/>
        </w:rPr>
        <w:t>:</w:t>
      </w:r>
    </w:p>
    <w:p w14:paraId="64D7C66B" w14:textId="77777777" w:rsidR="004E7086" w:rsidRPr="004E7086" w:rsidRDefault="00893AC8" w:rsidP="008A1100">
      <w:pPr>
        <w:pStyle w:val="Citationenretrait"/>
        <w:rPr>
          <w:rFonts w:eastAsiaTheme="minorHAnsi"/>
          <w:lang w:eastAsia="en-US"/>
        </w:rPr>
      </w:pPr>
      <w:r w:rsidRPr="004E7086">
        <w:rPr>
          <w:rFonts w:eastAsiaTheme="minorHAnsi"/>
          <w:lang w:eastAsia="en-US"/>
        </w:rPr>
        <w:t xml:space="preserve">[126]     L’article 51 </w:t>
      </w:r>
      <w:r w:rsidRPr="004E7086">
        <w:rPr>
          <w:rFonts w:eastAsiaTheme="minorHAnsi"/>
          <w:i/>
          <w:iCs/>
          <w:lang w:eastAsia="en-US"/>
        </w:rPr>
        <w:t>C.p.c.</w:t>
      </w:r>
      <w:r w:rsidRPr="004E7086">
        <w:rPr>
          <w:rFonts w:eastAsiaTheme="minorHAnsi"/>
          <w:lang w:eastAsia="en-US"/>
        </w:rPr>
        <w:t xml:space="preserve"> couvre une panoplie de situations et le spectre de ces situations est large, mais, dans tous les cas, la barre est haut placée et elle doit le demeurer au risque de banaliser ce qu’est une procédure abusive et de constituer un frein à l’accès à la justice. Les procédures manifestement mal fondées et celles qui ne visent qu’à faire taire l’autre partie doivent être sanctionnées. Il en va de même de la partie qui utilise la procédure de manière excessive ou déraisonnable ou de manière à nuire à autrui. Mais, je le répète, </w:t>
      </w:r>
      <w:r w:rsidRPr="004E7086">
        <w:rPr>
          <w:rFonts w:eastAsiaTheme="minorHAnsi"/>
          <w:u w:val="single"/>
          <w:lang w:eastAsia="en-US"/>
        </w:rPr>
        <w:t>la barre de l’abus de procédure doit demeurer haut placée</w:t>
      </w:r>
      <w:r w:rsidRPr="004E7086">
        <w:rPr>
          <w:rFonts w:eastAsiaTheme="minorHAnsi"/>
          <w:lang w:eastAsia="en-US"/>
        </w:rPr>
        <w:t>.</w:t>
      </w:r>
    </w:p>
    <w:p w14:paraId="44E3F08E" w14:textId="77777777" w:rsidR="004E7086" w:rsidRPr="004E7086" w:rsidRDefault="00893AC8" w:rsidP="008A1100">
      <w:pPr>
        <w:pStyle w:val="Citationenretrait"/>
        <w:jc w:val="right"/>
        <w:rPr>
          <w:rFonts w:eastAsiaTheme="minorHAnsi"/>
          <w:lang w:eastAsia="en-US"/>
        </w:rPr>
      </w:pPr>
      <w:r w:rsidRPr="004E7086">
        <w:rPr>
          <w:rFonts w:eastAsiaTheme="minorHAnsi"/>
          <w:lang w:eastAsia="en-US"/>
        </w:rPr>
        <w:t xml:space="preserve">[Soulignement </w:t>
      </w:r>
      <w:r w:rsidR="00362892">
        <w:rPr>
          <w:rFonts w:eastAsiaTheme="minorHAnsi"/>
          <w:lang w:eastAsia="en-US"/>
        </w:rPr>
        <w:t>du Tribunal</w:t>
      </w:r>
      <w:r w:rsidRPr="004E7086">
        <w:rPr>
          <w:rFonts w:eastAsiaTheme="minorHAnsi"/>
          <w:lang w:eastAsia="en-US"/>
        </w:rPr>
        <w:t>]</w:t>
      </w:r>
    </w:p>
    <w:p w14:paraId="779050D3" w14:textId="77777777" w:rsidR="004E7086" w:rsidRPr="004E7086" w:rsidRDefault="00893AC8" w:rsidP="008A1100">
      <w:pPr>
        <w:pStyle w:val="Paragraphe"/>
        <w:spacing w:line="240" w:lineRule="auto"/>
        <w:rPr>
          <w:rFonts w:eastAsiaTheme="minorHAnsi"/>
          <w:lang w:eastAsia="en-US"/>
        </w:rPr>
      </w:pPr>
      <w:r w:rsidRPr="004E7086">
        <w:rPr>
          <w:rFonts w:eastAsiaTheme="minorHAnsi"/>
          <w:lang w:eastAsia="en-US"/>
        </w:rPr>
        <w:t xml:space="preserve">La Cour d’appel réitérait cet enseignement dans </w:t>
      </w:r>
      <w:r w:rsidRPr="004E7086">
        <w:rPr>
          <w:rFonts w:eastAsiaTheme="minorHAnsi"/>
          <w:i/>
          <w:iCs/>
          <w:lang w:eastAsia="en-US"/>
        </w:rPr>
        <w:t xml:space="preserve">Tecsys inc. </w:t>
      </w:r>
      <w:r w:rsidRPr="004E7086">
        <w:rPr>
          <w:rFonts w:eastAsiaTheme="minorHAnsi"/>
          <w:lang w:eastAsia="en-US"/>
        </w:rPr>
        <w:t>c</w:t>
      </w:r>
      <w:r w:rsidRPr="004E7086">
        <w:rPr>
          <w:rFonts w:eastAsiaTheme="minorHAnsi"/>
          <w:i/>
          <w:iCs/>
          <w:lang w:eastAsia="en-US"/>
        </w:rPr>
        <w:t>. Patrao</w:t>
      </w:r>
      <w:r>
        <w:rPr>
          <w:rFonts w:eastAsiaTheme="minorHAnsi"/>
          <w:vertAlign w:val="superscript"/>
          <w:lang w:eastAsia="en-US"/>
        </w:rPr>
        <w:footnoteReference w:id="66"/>
      </w:r>
      <w:r w:rsidR="00362892">
        <w:rPr>
          <w:rFonts w:eastAsiaTheme="minorHAnsi"/>
          <w:lang w:eastAsia="en-US"/>
        </w:rPr>
        <w:t>.</w:t>
      </w:r>
    </w:p>
    <w:p w14:paraId="7679954D" w14:textId="77777777" w:rsidR="00446B29" w:rsidRDefault="00893AC8" w:rsidP="008A1100">
      <w:pPr>
        <w:pStyle w:val="Paragraphe"/>
        <w:tabs>
          <w:tab w:val="clear" w:pos="360"/>
        </w:tabs>
        <w:spacing w:line="240" w:lineRule="auto"/>
      </w:pPr>
      <w:r>
        <w:t xml:space="preserve">Le Barreau plaide que la doctrine de la préclusion </w:t>
      </w:r>
      <w:r w:rsidR="004F136A">
        <w:t>justifie</w:t>
      </w:r>
      <w:r>
        <w:t xml:space="preserve"> une </w:t>
      </w:r>
      <w:r w:rsidR="004F136A">
        <w:t>déclaration d’abus.</w:t>
      </w:r>
      <w:r w:rsidR="00A85971">
        <w:t xml:space="preserve"> </w:t>
      </w:r>
    </w:p>
    <w:p w14:paraId="3161A57B" w14:textId="77777777" w:rsidR="00E5606B" w:rsidRDefault="00893AC8" w:rsidP="008A1100">
      <w:pPr>
        <w:pStyle w:val="Paragraphe"/>
        <w:tabs>
          <w:tab w:val="clear" w:pos="360"/>
        </w:tabs>
        <w:spacing w:line="240" w:lineRule="auto"/>
      </w:pPr>
      <w:r w:rsidRPr="00446B29">
        <w:t xml:space="preserve">La doctrine de la préclusion </w:t>
      </w:r>
      <w:r w:rsidR="000574D6" w:rsidRPr="000574D6">
        <w:t>découlant d’une question déjà tranchée</w:t>
      </w:r>
      <w:r w:rsidR="000574D6">
        <w:t xml:space="preserve"> </w:t>
      </w:r>
      <w:r w:rsidRPr="00446B29">
        <w:t>se définit ainsi</w:t>
      </w:r>
      <w:r>
        <w:rPr>
          <w:rStyle w:val="Appelnotedebasdep"/>
        </w:rPr>
        <w:footnoteReference w:id="67"/>
      </w:r>
      <w:r w:rsidRPr="00446B29">
        <w:t> :</w:t>
      </w:r>
    </w:p>
    <w:p w14:paraId="0A1638ED" w14:textId="77777777" w:rsidR="004F136A" w:rsidRDefault="00893AC8" w:rsidP="008A1100">
      <w:pPr>
        <w:pStyle w:val="Citationenretrait"/>
      </w:pPr>
      <w:r w:rsidRPr="00DB289A">
        <w:t>[20]        L’intérêt de la justice commande qu’une décision judiciaire – lorsqu’elle tranche une question de manière définitive – ne soit pas remise en cause dans une autre instance. Cette doctrine, qu’on l’on nomme préclusion découlant d’une question déjà tranchée, s’applique lorsque trois conditions sont réunies : 1) la même question a été décidée dans une procédure antérieure; 2) la décision judiciaire antérieure est définitive; et 3) les parties sont les mêmes dans les deux instances.</w:t>
      </w:r>
    </w:p>
    <w:p w14:paraId="11929C64" w14:textId="77777777" w:rsidR="00256DF9" w:rsidRDefault="00893AC8" w:rsidP="008A1100">
      <w:pPr>
        <w:pStyle w:val="Paragraphe"/>
        <w:tabs>
          <w:tab w:val="clear" w:pos="360"/>
        </w:tabs>
        <w:spacing w:line="240" w:lineRule="auto"/>
      </w:pPr>
      <w:r>
        <w:t xml:space="preserve">En l’espèce, </w:t>
      </w:r>
      <w:r w:rsidR="00943EE9">
        <w:t xml:space="preserve">la décision du </w:t>
      </w:r>
      <w:r w:rsidR="003D3189">
        <w:t>j</w:t>
      </w:r>
      <w:r w:rsidR="00943EE9">
        <w:t xml:space="preserve">uge Dubois n’est pas définitive puisqu’elle est </w:t>
      </w:r>
      <w:r>
        <w:t>rendue</w:t>
      </w:r>
      <w:r w:rsidR="00943EE9">
        <w:t xml:space="preserve"> au stade interlocutoire.</w:t>
      </w:r>
    </w:p>
    <w:p w14:paraId="408655F6" w14:textId="77777777" w:rsidR="00760A6D" w:rsidRDefault="00893AC8" w:rsidP="008A1100">
      <w:pPr>
        <w:pStyle w:val="Paragraphe"/>
        <w:tabs>
          <w:tab w:val="clear" w:pos="360"/>
        </w:tabs>
        <w:spacing w:line="240" w:lineRule="auto"/>
      </w:pPr>
      <w:r>
        <w:t xml:space="preserve">Quant </w:t>
      </w:r>
      <w:r w:rsidR="00E23680">
        <w:t>à</w:t>
      </w:r>
      <w:r w:rsidR="00943EE9">
        <w:t xml:space="preserve"> la décision du </w:t>
      </w:r>
      <w:r w:rsidR="003D3189">
        <w:t>j</w:t>
      </w:r>
      <w:r w:rsidR="00943EE9">
        <w:t>uge Lafrenièr</w:t>
      </w:r>
      <w:r>
        <w:t>e</w:t>
      </w:r>
      <w:r w:rsidR="00E23680">
        <w:t>, bien qu’elle</w:t>
      </w:r>
      <w:r>
        <w:t xml:space="preserve"> </w:t>
      </w:r>
      <w:r w:rsidR="00631105">
        <w:t>soit dé</w:t>
      </w:r>
      <w:r w:rsidR="00CF3AA0">
        <w:t>fi</w:t>
      </w:r>
      <w:r w:rsidR="00631105">
        <w:t>nitive</w:t>
      </w:r>
      <w:r w:rsidR="00E23680">
        <w:t>, elle n’implique pas les mêmes parties.</w:t>
      </w:r>
    </w:p>
    <w:p w14:paraId="7C9C8998" w14:textId="77777777" w:rsidR="00631105" w:rsidRDefault="00893AC8" w:rsidP="008A1100">
      <w:pPr>
        <w:pStyle w:val="Paragraphe"/>
        <w:spacing w:line="240" w:lineRule="auto"/>
      </w:pPr>
      <w:r>
        <w:t>Toutefois, l</w:t>
      </w:r>
      <w:r w:rsidRPr="0016762B">
        <w:t>orsque la doctrine de la préclusion ne peut être appliquée, notamment lorsque l’une des trois conditions strictes qui la fondent n’est pas présente</w:t>
      </w:r>
      <w:r>
        <w:t xml:space="preserve"> </w:t>
      </w:r>
      <w:r w:rsidR="00183AA3">
        <w:t xml:space="preserve">- </w:t>
      </w:r>
      <w:r w:rsidR="00183AA3" w:rsidRPr="00183AA3">
        <w:t>c’est le cas ici </w:t>
      </w:r>
      <w:r w:rsidR="00183AA3">
        <w:t xml:space="preserve">- </w:t>
      </w:r>
      <w:r w:rsidRPr="0016762B">
        <w:t>la doctrine de l’abus de procédure prend le relais</w:t>
      </w:r>
      <w:r w:rsidR="0066733F" w:rsidRPr="0066733F">
        <w:rPr>
          <w:kern w:val="0"/>
        </w:rPr>
        <w:t xml:space="preserve"> </w:t>
      </w:r>
      <w:r w:rsidR="0066733F">
        <w:rPr>
          <w:kern w:val="0"/>
        </w:rPr>
        <w:t xml:space="preserve">et </w:t>
      </w:r>
      <w:r w:rsidR="0066733F" w:rsidRPr="0066733F">
        <w:t>le tribunal peut néanmoins déclarer une procédure abusive pour éviter la réouverture d’un litige qui aurait pour effet de discréditer l’administration de la justice</w:t>
      </w:r>
      <w:r>
        <w:rPr>
          <w:rStyle w:val="Appelnotedebasdep"/>
        </w:rPr>
        <w:footnoteReference w:id="68"/>
      </w:r>
      <w:r>
        <w:t>.</w:t>
      </w:r>
    </w:p>
    <w:p w14:paraId="1C577426" w14:textId="77777777" w:rsidR="004A7D66" w:rsidRDefault="00893AC8" w:rsidP="008A1100">
      <w:pPr>
        <w:pStyle w:val="Paragraphe"/>
        <w:spacing w:line="240" w:lineRule="auto"/>
      </w:pPr>
      <w:r w:rsidRPr="004A7D66">
        <w:t>Ce pouvoir discrétionnaire peut faire échec à la réouverture d’un litige, lorsque celle-ci porte atteinte aux principes d’économie, de cohérence, de caractère définitif des instances et d’intégrité de l’administration de la justice</w:t>
      </w:r>
      <w:r>
        <w:rPr>
          <w:rStyle w:val="Appelnotedebasdep"/>
        </w:rPr>
        <w:footnoteReference w:id="69"/>
      </w:r>
      <w:r w:rsidR="00C35770">
        <w:t>. U</w:t>
      </w:r>
      <w:r w:rsidR="00C35770" w:rsidRPr="00C35770">
        <w:t>n tribunal jouit du pouvoir discrétionnaire d’empêcher qu’un justiciable abuse de sa procédure en remettant en cause un jugement définitif</w:t>
      </w:r>
      <w:r>
        <w:rPr>
          <w:rStyle w:val="Appelnotedebasdep"/>
        </w:rPr>
        <w:footnoteReference w:id="70"/>
      </w:r>
      <w:r w:rsidR="00C35770" w:rsidRPr="00C35770">
        <w:t>.</w:t>
      </w:r>
    </w:p>
    <w:p w14:paraId="620F86E2" w14:textId="77777777" w:rsidR="00631105" w:rsidRDefault="00893AC8" w:rsidP="008A1100">
      <w:pPr>
        <w:pStyle w:val="Paragraphe"/>
        <w:tabs>
          <w:tab w:val="clear" w:pos="360"/>
        </w:tabs>
        <w:spacing w:line="240" w:lineRule="auto"/>
      </w:pPr>
      <w:r w:rsidRPr="0066733F">
        <w:t xml:space="preserve"> </w:t>
      </w:r>
      <w:r w:rsidR="00621D3B">
        <w:t>En l’</w:t>
      </w:r>
      <w:r w:rsidR="00904280">
        <w:t>espèce</w:t>
      </w:r>
      <w:r w:rsidR="00621D3B">
        <w:t xml:space="preserve">, le jugement du </w:t>
      </w:r>
      <w:r w:rsidR="003D3189">
        <w:t>j</w:t>
      </w:r>
      <w:r w:rsidR="00621D3B">
        <w:t>uge Lafrenière est définitif</w:t>
      </w:r>
      <w:r w:rsidR="007830BB">
        <w:t>; l’appel de ce jugement est re</w:t>
      </w:r>
      <w:r w:rsidR="003421E1">
        <w:t>jeté par la Cour supérieure</w:t>
      </w:r>
      <w:r>
        <w:rPr>
          <w:rStyle w:val="Appelnotedebasdep"/>
        </w:rPr>
        <w:footnoteReference w:id="71"/>
      </w:r>
      <w:r w:rsidR="00CC5CCB">
        <w:t xml:space="preserve"> et la Cour d’appel</w:t>
      </w:r>
      <w:r w:rsidR="000B69F3">
        <w:t xml:space="preserve"> rejette l’appel formé par </w:t>
      </w:r>
      <w:r w:rsidR="00022732">
        <w:t>les défendeurs</w:t>
      </w:r>
      <w:r>
        <w:rPr>
          <w:rStyle w:val="Appelnotedebasdep"/>
        </w:rPr>
        <w:footnoteReference w:id="72"/>
      </w:r>
      <w:r w:rsidR="000B69F3">
        <w:t>.</w:t>
      </w:r>
    </w:p>
    <w:p w14:paraId="08B664F8" w14:textId="77777777" w:rsidR="00930FC0" w:rsidRDefault="00893AC8" w:rsidP="008A1100">
      <w:pPr>
        <w:pStyle w:val="Paragraphe"/>
        <w:tabs>
          <w:tab w:val="clear" w:pos="360"/>
        </w:tabs>
        <w:spacing w:line="240" w:lineRule="auto"/>
      </w:pPr>
      <w:r>
        <w:t xml:space="preserve">Les défendeurs commettent un </w:t>
      </w:r>
      <w:r w:rsidR="00923764" w:rsidRPr="00923764">
        <w:t xml:space="preserve">abus de procédure </w:t>
      </w:r>
      <w:r w:rsidR="00F257BC">
        <w:t xml:space="preserve">lorsqu’ils </w:t>
      </w:r>
      <w:r w:rsidR="00766732">
        <w:t xml:space="preserve">soulèvent le Moyen de défense fondé sur l’autorisation car ils </w:t>
      </w:r>
      <w:r w:rsidR="00923764" w:rsidRPr="00923764">
        <w:t>tente</w:t>
      </w:r>
      <w:r w:rsidR="00766732">
        <w:t>nt</w:t>
      </w:r>
      <w:r w:rsidR="00923764" w:rsidRPr="00923764">
        <w:t xml:space="preserve"> de remettre en cause une question qui a déjà été définitivement tranchée. </w:t>
      </w:r>
      <w:r>
        <w:t xml:space="preserve">Un tel comportement </w:t>
      </w:r>
      <w:r w:rsidRPr="00930FC0">
        <w:t>porte atteinte aux principes d’économie, de cohérence, de caractère définitif des instances et d’intégrité de l’administration de la justice</w:t>
      </w:r>
      <w:r w:rsidR="00173E4B">
        <w:t>.</w:t>
      </w:r>
    </w:p>
    <w:p w14:paraId="584C41E7" w14:textId="77777777" w:rsidR="00A32826" w:rsidRDefault="00893AC8" w:rsidP="008A1100">
      <w:pPr>
        <w:pStyle w:val="Paragraphe"/>
        <w:spacing w:line="240" w:lineRule="auto"/>
      </w:pPr>
      <w:r>
        <w:t>De plus</w:t>
      </w:r>
      <w:r w:rsidR="00587B3A">
        <w:t>, c</w:t>
      </w:r>
      <w:r>
        <w:t>e</w:t>
      </w:r>
      <w:r w:rsidR="00A72CD3">
        <w:t xml:space="preserve"> moyen de défense </w:t>
      </w:r>
      <w:r w:rsidR="00CE452D">
        <w:t>es</w:t>
      </w:r>
      <w:r w:rsidR="00A72CD3">
        <w:t xml:space="preserve">t </w:t>
      </w:r>
      <w:r>
        <w:t xml:space="preserve">abusif au sens de l’article 51 </w:t>
      </w:r>
      <w:r w:rsidRPr="00362892">
        <w:rPr>
          <w:i/>
          <w:iCs/>
        </w:rPr>
        <w:t>C.p.c.</w:t>
      </w:r>
      <w:r>
        <w:t xml:space="preserve"> parce qu’</w:t>
      </w:r>
      <w:r w:rsidRPr="004E7086">
        <w:t xml:space="preserve">une personne raisonnable et prudente, placée dans les circonstances connues par </w:t>
      </w:r>
      <w:r>
        <w:t>M. Roy</w:t>
      </w:r>
      <w:r w:rsidRPr="004E7086">
        <w:t xml:space="preserve"> au moment où </w:t>
      </w:r>
      <w:r>
        <w:t>il soulève ce moyen de défense (i.e. à l’instruction), et alors qu’il ne produit aucune preuve nouvelle et distincte que celle qu’il a produit devant les juges Lafrenière et Dubois</w:t>
      </w:r>
      <w:r w:rsidRPr="004E7086">
        <w:t>, conclurait à l’inexistence d’un fondement pour ce</w:t>
      </w:r>
      <w:r>
        <w:t xml:space="preserve"> moyen de défense</w:t>
      </w:r>
      <w:r>
        <w:rPr>
          <w:vertAlign w:val="superscript"/>
        </w:rPr>
        <w:footnoteReference w:id="73"/>
      </w:r>
      <w:r>
        <w:t>.</w:t>
      </w:r>
    </w:p>
    <w:p w14:paraId="00892386" w14:textId="77777777" w:rsidR="00904280" w:rsidRDefault="00893AC8" w:rsidP="008A1100">
      <w:pPr>
        <w:pStyle w:val="Paragraphe"/>
        <w:tabs>
          <w:tab w:val="clear" w:pos="360"/>
        </w:tabs>
        <w:spacing w:line="240" w:lineRule="auto"/>
      </w:pPr>
      <w:r>
        <w:t>L</w:t>
      </w:r>
      <w:r w:rsidR="00A72CD3">
        <w:t xml:space="preserve">e </w:t>
      </w:r>
      <w:r>
        <w:t>M</w:t>
      </w:r>
      <w:r w:rsidR="00A72CD3">
        <w:t xml:space="preserve">oyen de défense </w:t>
      </w:r>
      <w:r>
        <w:t xml:space="preserve">fondé sur l’autorisation préalable </w:t>
      </w:r>
      <w:r w:rsidR="00CE452D">
        <w:t>es</w:t>
      </w:r>
      <w:r w:rsidR="00A72CD3">
        <w:t xml:space="preserve">t </w:t>
      </w:r>
      <w:r w:rsidR="00A72CD3" w:rsidRPr="00A72CD3">
        <w:t xml:space="preserve">manifestement mal fondé, frivole ou dilatoire, </w:t>
      </w:r>
      <w:r w:rsidR="00CE452D">
        <w:t>et voué à l’échec.</w:t>
      </w:r>
    </w:p>
    <w:p w14:paraId="28246EAC" w14:textId="77777777" w:rsidR="00CE452D" w:rsidRDefault="00893AC8" w:rsidP="008A1100">
      <w:pPr>
        <w:pStyle w:val="Paragraphe"/>
        <w:tabs>
          <w:tab w:val="clear" w:pos="360"/>
        </w:tabs>
        <w:spacing w:line="240" w:lineRule="auto"/>
      </w:pPr>
      <w:r>
        <w:t>Une déclaration d’abus s’impose.</w:t>
      </w:r>
    </w:p>
    <w:p w14:paraId="18B68FA9" w14:textId="77777777" w:rsidR="006F3D5C" w:rsidRPr="00DC2EF0" w:rsidRDefault="00893AC8" w:rsidP="008A1100">
      <w:pPr>
        <w:pStyle w:val="Titre2"/>
        <w:numPr>
          <w:ilvl w:val="0"/>
          <w:numId w:val="5"/>
        </w:numPr>
      </w:pPr>
      <w:bookmarkStart w:id="56" w:name="_Toc256000014"/>
      <w:bookmarkStart w:id="57" w:name="_Toc224727333"/>
      <w:r w:rsidRPr="00DC2EF0">
        <w:t xml:space="preserve">Les défendeurs </w:t>
      </w:r>
      <w:r w:rsidR="00DF7348">
        <w:t>ont-ils commis</w:t>
      </w:r>
      <w:r w:rsidRPr="00DC2EF0">
        <w:t xml:space="preserve"> une faute </w:t>
      </w:r>
      <w:r w:rsidR="00362892">
        <w:t>civile parce qu’ils ont publié</w:t>
      </w:r>
      <w:r w:rsidRPr="00DC2EF0">
        <w:t xml:space="preserve"> sur les réseaux sociaux des écrits ou vidéos diffamatoires à l’égard du Barreau</w:t>
      </w:r>
      <w:r w:rsidR="00DC2EF0" w:rsidRPr="00DC2EF0">
        <w:t xml:space="preserve"> ou de ses employés, représentants et dirigeants</w:t>
      </w:r>
      <w:r w:rsidRPr="00DC2EF0">
        <w:t>?</w:t>
      </w:r>
      <w:bookmarkEnd w:id="56"/>
      <w:bookmarkEnd w:id="57"/>
    </w:p>
    <w:p w14:paraId="2EB1F6D6" w14:textId="77777777" w:rsidR="007764E9" w:rsidRPr="00C87F7A" w:rsidRDefault="00893AC8" w:rsidP="008A1100">
      <w:pPr>
        <w:pStyle w:val="Titre3"/>
        <w:numPr>
          <w:ilvl w:val="1"/>
          <w:numId w:val="12"/>
        </w:numPr>
        <w:ind w:left="1701" w:hanging="567"/>
        <w:rPr>
          <w:b/>
        </w:rPr>
      </w:pPr>
      <w:bookmarkStart w:id="58" w:name="_Toc256000015"/>
      <w:bookmarkStart w:id="59" w:name="_Toc224727334"/>
      <w:r w:rsidRPr="00C87F7A">
        <w:rPr>
          <w:b/>
        </w:rPr>
        <w:t>Cadre juridique</w:t>
      </w:r>
      <w:bookmarkEnd w:id="58"/>
      <w:bookmarkEnd w:id="59"/>
    </w:p>
    <w:p w14:paraId="7C5746EB" w14:textId="77777777" w:rsidR="007764E9" w:rsidRDefault="00893AC8" w:rsidP="008A1100">
      <w:pPr>
        <w:pStyle w:val="Paragraphe"/>
        <w:spacing w:line="240" w:lineRule="auto"/>
      </w:pPr>
      <w:r>
        <w:t xml:space="preserve">Le Barreau plaide que les défendeurs ont au fil des ans </w:t>
      </w:r>
      <w:r w:rsidR="00D861D4">
        <w:t xml:space="preserve">publié sur </w:t>
      </w:r>
      <w:r w:rsidR="00D861D4" w:rsidRPr="00D861D4">
        <w:t>les réseaux sociaux des écrits ou vidéos diffamatoires à l’égard du Barreau ou de ses employés, représentants et dirigeants</w:t>
      </w:r>
      <w:r w:rsidR="00C01AB8">
        <w:t>. Ces publications sont diffamatoires et porte</w:t>
      </w:r>
      <w:r w:rsidR="00F53C80">
        <w:t>nt</w:t>
      </w:r>
      <w:r w:rsidR="00C01AB8">
        <w:t xml:space="preserve"> atteinte à la réputation du Barreau</w:t>
      </w:r>
      <w:r w:rsidR="00942B26">
        <w:t>.</w:t>
      </w:r>
    </w:p>
    <w:p w14:paraId="3B489F64" w14:textId="77777777" w:rsidR="007764E9" w:rsidRDefault="00893AC8" w:rsidP="008A1100">
      <w:pPr>
        <w:pStyle w:val="Paragraphe"/>
        <w:spacing w:line="240" w:lineRule="auto"/>
      </w:pPr>
      <w:r w:rsidRPr="009D148B">
        <w:t xml:space="preserve">La diffamation se définit comme l’atteinte fautive à la réputation d’autrui. Elle consiste en </w:t>
      </w:r>
      <w:r w:rsidR="00F53C80">
        <w:t xml:space="preserve">« </w:t>
      </w:r>
      <w:r w:rsidRPr="009D148B">
        <w:t>la communication de propos ou d’écrits qui font perdre l’estime ou la considération de quelqu’un ou qui, encore, suscitent à son égard des sentiments défavorables ou désagréables</w:t>
      </w:r>
      <w:r w:rsidR="00F53C80">
        <w:t xml:space="preserve"> </w:t>
      </w:r>
      <w:bookmarkStart w:id="60" w:name="_Ref224560647"/>
      <w:r w:rsidR="00F53C80">
        <w:t>»</w:t>
      </w:r>
      <w:r>
        <w:rPr>
          <w:rStyle w:val="Appelnotedebasdep"/>
        </w:rPr>
        <w:footnoteReference w:id="74"/>
      </w:r>
      <w:bookmarkEnd w:id="60"/>
      <w:r w:rsidR="009755A5">
        <w:t>.</w:t>
      </w:r>
    </w:p>
    <w:p w14:paraId="6C17A4DB" w14:textId="77777777" w:rsidR="00DB2CBD" w:rsidRDefault="00893AC8" w:rsidP="008A1100">
      <w:pPr>
        <w:pStyle w:val="Paragraphe"/>
        <w:spacing w:line="240" w:lineRule="auto"/>
      </w:pPr>
      <w:r>
        <w:t>U</w:t>
      </w:r>
      <w:r w:rsidRPr="002318C4">
        <w:t>n recours en diffamation est une action en responsabilité extracontractuelle régie par l’</w:t>
      </w:r>
      <w:r w:rsidRPr="002318C4">
        <w:rPr>
          <w:rStyle w:val="Hyperlien"/>
          <w:color w:val="auto"/>
          <w:u w:val="none"/>
        </w:rPr>
        <w:t>article 1457</w:t>
      </w:r>
      <w:r w:rsidRPr="002318C4">
        <w:t> </w:t>
      </w:r>
      <w:r w:rsidRPr="00E67AB5">
        <w:rPr>
          <w:rStyle w:val="Hyperlien"/>
          <w:i/>
          <w:iCs/>
          <w:color w:val="auto"/>
          <w:u w:val="none"/>
        </w:rPr>
        <w:t>C.c.Q.</w:t>
      </w:r>
      <w:r w:rsidRPr="002318C4">
        <w:t xml:space="preserve"> Pour avoir gain de cause, il incombe donc </w:t>
      </w:r>
      <w:r w:rsidR="00A579E9">
        <w:t>au Barreau</w:t>
      </w:r>
      <w:r w:rsidRPr="002318C4">
        <w:t xml:space="preserve"> de prouver l’existence d’une faute</w:t>
      </w:r>
      <w:r w:rsidR="00A579E9">
        <w:t>,</w:t>
      </w:r>
      <w:r w:rsidRPr="002318C4">
        <w:t xml:space="preserve"> </w:t>
      </w:r>
      <w:r w:rsidR="00A579E9" w:rsidRPr="00A579E9">
        <w:t xml:space="preserve">d’un préjudice </w:t>
      </w:r>
      <w:r w:rsidRPr="002318C4">
        <w:t>et d’un lien de causalité.</w:t>
      </w:r>
    </w:p>
    <w:p w14:paraId="621C441E" w14:textId="77777777" w:rsidR="00DB2CBD" w:rsidRDefault="00893AC8" w:rsidP="008A1100">
      <w:pPr>
        <w:pStyle w:val="Paragraphe"/>
        <w:spacing w:line="240" w:lineRule="auto"/>
      </w:pPr>
      <w:r>
        <w:t>Pour déterminer s’il y a faute, l</w:t>
      </w:r>
      <w:r w:rsidRPr="002318C4">
        <w:t>a norme de conduite applicable est, comme c’est habituellement le cas en matière de r</w:t>
      </w:r>
      <w:r>
        <w:t>e</w:t>
      </w:r>
      <w:r w:rsidRPr="002318C4">
        <w:t>sponsabilité civile, celle de la personne raisonnable placée dans les mêmes circonstances</w:t>
      </w:r>
      <w:r>
        <w:t xml:space="preserve">. </w:t>
      </w:r>
      <w:r w:rsidRPr="002318C4">
        <w:t xml:space="preserve">Cette faute peut prendre la forme </w:t>
      </w:r>
      <w:r>
        <w:t xml:space="preserve">(1) </w:t>
      </w:r>
      <w:r w:rsidRPr="002318C4">
        <w:t xml:space="preserve">d’une conduite </w:t>
      </w:r>
      <w:r>
        <w:t xml:space="preserve">qui est empreinte de </w:t>
      </w:r>
      <w:r w:rsidRPr="002318C4">
        <w:t>malveillan</w:t>
      </w:r>
      <w:r>
        <w:t>c</w:t>
      </w:r>
      <w:r w:rsidRPr="002318C4">
        <w:t>e ou dénote une volonté de nuire ou encore (2) s</w:t>
      </w:r>
      <w:r w:rsidR="00AD74C0">
        <w:t>i la personne</w:t>
      </w:r>
      <w:r w:rsidRPr="002318C4">
        <w:t xml:space="preserve">, malgré toute sa bonne foi, </w:t>
      </w:r>
      <w:r w:rsidR="00AD74C0">
        <w:t xml:space="preserve">a </w:t>
      </w:r>
      <w:r w:rsidRPr="002318C4">
        <w:t>péché</w:t>
      </w:r>
      <w:r w:rsidR="00AD74C0">
        <w:t>e</w:t>
      </w:r>
      <w:r w:rsidRPr="002318C4">
        <w:t xml:space="preserve"> par « sa témérité, sa négligence, son impertinence ou son incurie</w:t>
      </w:r>
      <w:r>
        <w:rPr>
          <w:rStyle w:val="Appelnotedebasdep"/>
        </w:rPr>
        <w:footnoteReference w:id="75"/>
      </w:r>
      <w:r>
        <w:t>.</w:t>
      </w:r>
    </w:p>
    <w:p w14:paraId="716E15BA" w14:textId="77777777" w:rsidR="003C3239" w:rsidRDefault="00893AC8" w:rsidP="008A1100">
      <w:pPr>
        <w:pStyle w:val="Paragraphe"/>
        <w:spacing w:line="240" w:lineRule="auto"/>
        <w:rPr>
          <w:lang w:eastAsia="fr-CA"/>
        </w:rPr>
      </w:pPr>
      <w:r>
        <w:t>Trois situations peuvent engager la responsabilité de l’auteur de propos diffamatoires :</w:t>
      </w:r>
    </w:p>
    <w:p w14:paraId="274470D1" w14:textId="77777777" w:rsidR="003C3239" w:rsidRDefault="00893AC8" w:rsidP="008A1100">
      <w:pPr>
        <w:pStyle w:val="Paragraphe"/>
        <w:numPr>
          <w:ilvl w:val="0"/>
          <w:numId w:val="8"/>
        </w:numPr>
        <w:spacing w:line="240" w:lineRule="auto"/>
      </w:pPr>
      <w:r>
        <w:t>lorsqu’il prononce des propos désagréables à l’égard d’un tiers en les sachant faux;</w:t>
      </w:r>
    </w:p>
    <w:p w14:paraId="07A8B94D" w14:textId="77777777" w:rsidR="003C3239" w:rsidRDefault="00893AC8" w:rsidP="008A1100">
      <w:pPr>
        <w:pStyle w:val="Paragraphe"/>
        <w:numPr>
          <w:ilvl w:val="0"/>
          <w:numId w:val="8"/>
        </w:numPr>
        <w:spacing w:line="240" w:lineRule="auto"/>
      </w:pPr>
      <w:r>
        <w:t>lorsqu’il diffuse des choses désagréables sur autrui alors qu’il devrait les savoir fausses;</w:t>
      </w:r>
    </w:p>
    <w:p w14:paraId="6ED97B5D" w14:textId="77777777" w:rsidR="003C3239" w:rsidRDefault="00893AC8" w:rsidP="008A1100">
      <w:pPr>
        <w:pStyle w:val="Paragraphe"/>
        <w:numPr>
          <w:ilvl w:val="0"/>
          <w:numId w:val="8"/>
        </w:numPr>
        <w:spacing w:line="240" w:lineRule="auto"/>
      </w:pPr>
      <w:r>
        <w:t>lorsqu’il tient, sans justes motifs, des propos défavorables, mais véridiques, à l’égard d’un tiers</w:t>
      </w:r>
      <w:r>
        <w:rPr>
          <w:rStyle w:val="Appelnotedebasdep"/>
        </w:rPr>
        <w:footnoteReference w:id="76"/>
      </w:r>
      <w:r w:rsidR="00C1543D">
        <w:t>.</w:t>
      </w:r>
    </w:p>
    <w:p w14:paraId="285E8810" w14:textId="77777777" w:rsidR="00720573" w:rsidRDefault="00893AC8">
      <w:pPr>
        <w:rPr>
          <w:kern w:val="28"/>
        </w:rPr>
      </w:pPr>
      <w:r>
        <w:br w:type="page"/>
      </w:r>
    </w:p>
    <w:p w14:paraId="4D96893B" w14:textId="77777777" w:rsidR="00202298" w:rsidRDefault="00893AC8" w:rsidP="008A1100">
      <w:pPr>
        <w:pStyle w:val="Paragraphe"/>
        <w:spacing w:line="240" w:lineRule="auto"/>
      </w:pPr>
      <w:r w:rsidRPr="007F5795">
        <w:t>Le recours en diffamation met en jeu deux valeurs fondamentales, celles de la liberté d’expression et du droit à la réputation. </w:t>
      </w:r>
      <w:r>
        <w:t>L</w:t>
      </w:r>
      <w:r w:rsidRPr="00EA55D8">
        <w:t xml:space="preserve">a recherche du fragile équilibre entre le droit à la liberté d’expression et la protection de la réputation doit demeurer au cœur des préoccupations du juge appelé à </w:t>
      </w:r>
      <w:r>
        <w:t>évaluer s’il y a faute</w:t>
      </w:r>
      <w:r>
        <w:rPr>
          <w:rStyle w:val="Appelnotedebasdep"/>
        </w:rPr>
        <w:footnoteReference w:id="77"/>
      </w:r>
      <w:r>
        <w:t>.</w:t>
      </w:r>
    </w:p>
    <w:p w14:paraId="231B77D9" w14:textId="77777777" w:rsidR="007A286B" w:rsidRDefault="00893AC8" w:rsidP="008A1100">
      <w:pPr>
        <w:pStyle w:val="Paragraphe"/>
        <w:spacing w:line="240" w:lineRule="auto"/>
      </w:pPr>
      <w:r w:rsidRPr="007A286B">
        <w:t>En ce qui concerne la faute, la diffusion d’informations inexactes ou erronées n’est pas nécessairement fautive</w:t>
      </w:r>
      <w:r>
        <w:rPr>
          <w:vertAlign w:val="superscript"/>
        </w:rPr>
        <w:footnoteReference w:id="78"/>
      </w:r>
      <w:r w:rsidRPr="007A286B">
        <w:t>. À l’inverse, la transmission d’une information véridique peut parfois constituer une faute. Toutefois, même en droit civil, la véracité des propos peut constituer un moyen de prouver l’absence de faute dans des circonstances où l’intérêt public est en jeu</w:t>
      </w:r>
      <w:r>
        <w:rPr>
          <w:vertAlign w:val="superscript"/>
        </w:rPr>
        <w:footnoteReference w:id="79"/>
      </w:r>
      <w:r w:rsidRPr="007A286B">
        <w:t>.</w:t>
      </w:r>
    </w:p>
    <w:p w14:paraId="6FD18A62" w14:textId="77777777" w:rsidR="008703B0" w:rsidRDefault="00893AC8" w:rsidP="008A1100">
      <w:pPr>
        <w:pStyle w:val="Paragraphe"/>
        <w:spacing w:line="240" w:lineRule="auto"/>
      </w:pPr>
      <w:r w:rsidRPr="008703B0">
        <w:t xml:space="preserve">La notion d’intérêt public est </w:t>
      </w:r>
      <w:r w:rsidR="00F53C80">
        <w:t xml:space="preserve">« </w:t>
      </w:r>
      <w:r w:rsidRPr="008703B0">
        <w:t>un instrument permettant de déterminer le point d’équilibre entre la protection de la réputation et la liberté d’expression</w:t>
      </w:r>
      <w:r w:rsidR="00F53C80">
        <w:t xml:space="preserve"> »</w:t>
      </w:r>
      <w:r>
        <w:rPr>
          <w:rStyle w:val="Appelnotedebasdep"/>
        </w:rPr>
        <w:footnoteReference w:id="80"/>
      </w:r>
      <w:r w:rsidR="00F53C80">
        <w:t>.</w:t>
      </w:r>
      <w:r w:rsidRPr="008703B0">
        <w:t> La société accepte, dans une certaine mesure et dans certaines circonstances, qu’une atteinte à la réputation est justifiée lorsque des questions – dont on considère que la société a intérêt à ce qu’elles soient portées au grand jour – sont en jeu</w:t>
      </w:r>
      <w:r>
        <w:rPr>
          <w:rStyle w:val="Appelnotedebasdep"/>
        </w:rPr>
        <w:footnoteReference w:id="81"/>
      </w:r>
      <w:r w:rsidR="00B74C77">
        <w:t>.</w:t>
      </w:r>
    </w:p>
    <w:p w14:paraId="54B6C78A" w14:textId="77777777" w:rsidR="00B74C77" w:rsidRDefault="00893AC8" w:rsidP="008A1100">
      <w:pPr>
        <w:pStyle w:val="Paragraphe"/>
        <w:spacing w:line="240" w:lineRule="auto"/>
      </w:pPr>
      <w:r w:rsidRPr="00B74C77">
        <w:t>Une question est d’intérêt public si : 1) elle éveille l’attention publique de façon démontrable; 2) elle préoccupe sensiblement le public parce qu’elle concerne le bien</w:t>
      </w:r>
      <w:r w:rsidRPr="00B74C77">
        <w:noBreakHyphen/>
        <w:t>être de citoyens; 3) elle jouit d’une notoriété publique considérable; ou 4) elle suscite une controverse importante</w:t>
      </w:r>
      <w:r>
        <w:rPr>
          <w:rStyle w:val="Appelnotedebasdep"/>
        </w:rPr>
        <w:footnoteReference w:id="82"/>
      </w:r>
      <w:r>
        <w:t>.</w:t>
      </w:r>
    </w:p>
    <w:p w14:paraId="0311CF61" w14:textId="77777777" w:rsidR="00187217" w:rsidRPr="00700F76" w:rsidRDefault="00893AC8" w:rsidP="008A1100">
      <w:pPr>
        <w:pStyle w:val="Titre3"/>
        <w:numPr>
          <w:ilvl w:val="1"/>
          <w:numId w:val="12"/>
        </w:numPr>
        <w:ind w:left="1701" w:hanging="567"/>
        <w:rPr>
          <w:b/>
          <w:bCs/>
        </w:rPr>
      </w:pPr>
      <w:bookmarkStart w:id="62" w:name="_Toc256000016"/>
      <w:bookmarkStart w:id="63" w:name="_Toc224727335"/>
      <w:r w:rsidRPr="00E921FC">
        <w:rPr>
          <w:b/>
        </w:rPr>
        <w:t>Application aux faits</w:t>
      </w:r>
      <w:bookmarkEnd w:id="62"/>
      <w:bookmarkEnd w:id="63"/>
    </w:p>
    <w:p w14:paraId="5D4D7256" w14:textId="77777777" w:rsidR="007F11CC" w:rsidRDefault="00893AC8" w:rsidP="008A1100">
      <w:pPr>
        <w:pStyle w:val="Paragraphe"/>
        <w:spacing w:line="240" w:lineRule="auto"/>
        <w:rPr>
          <w:rFonts w:eastAsia="Arial"/>
          <w:lang w:bidi="fr-FR"/>
        </w:rPr>
      </w:pPr>
      <w:r w:rsidRPr="00C87F7A">
        <w:rPr>
          <w:rFonts w:eastAsia="Arial"/>
          <w:lang w:bidi="fr-FR"/>
        </w:rPr>
        <w:t xml:space="preserve">La preuve révèle que les défendeurs ont, à de nombreuses reprises depuis 2017, tenu des propos diffamatoires, menaçants et abusifs envers le Barreau. Ces propos contiennent des allégations infondées de corruption </w:t>
      </w:r>
      <w:r w:rsidR="00EB735E">
        <w:rPr>
          <w:rFonts w:eastAsia="Arial"/>
          <w:lang w:bidi="fr-FR"/>
        </w:rPr>
        <w:t xml:space="preserve">et de fraude </w:t>
      </w:r>
      <w:r w:rsidRPr="00C87F7A">
        <w:rPr>
          <w:rFonts w:eastAsia="Arial"/>
          <w:lang w:bidi="fr-FR"/>
        </w:rPr>
        <w:t>de la part du Barreau.</w:t>
      </w:r>
    </w:p>
    <w:p w14:paraId="7F282CA0" w14:textId="77777777" w:rsidR="005837F7" w:rsidRDefault="00893AC8" w:rsidP="008A1100">
      <w:pPr>
        <w:pStyle w:val="Paragraphe"/>
        <w:spacing w:line="240" w:lineRule="auto"/>
        <w:rPr>
          <w:rFonts w:eastAsia="Arial"/>
          <w:lang w:bidi="fr-FR"/>
        </w:rPr>
      </w:pPr>
      <w:r>
        <w:rPr>
          <w:rFonts w:eastAsia="Arial"/>
          <w:lang w:bidi="fr-FR"/>
        </w:rPr>
        <w:t>La preuve administrée par le Barreau quant au propos diffamatoire tenus par M. Roy</w:t>
      </w:r>
      <w:r w:rsidR="00803456">
        <w:rPr>
          <w:rFonts w:eastAsia="Arial"/>
          <w:lang w:bidi="fr-FR"/>
        </w:rPr>
        <w:t xml:space="preserve">, principalement sur les </w:t>
      </w:r>
      <w:r w:rsidR="00E921FC">
        <w:rPr>
          <w:rFonts w:eastAsia="Arial"/>
          <w:lang w:bidi="fr-FR"/>
        </w:rPr>
        <w:t>réseaux</w:t>
      </w:r>
      <w:r w:rsidR="00803456">
        <w:rPr>
          <w:rFonts w:eastAsia="Arial"/>
          <w:lang w:bidi="fr-FR"/>
        </w:rPr>
        <w:t xml:space="preserve"> sociaux tel </w:t>
      </w:r>
      <w:r w:rsidR="00304068">
        <w:rPr>
          <w:rFonts w:eastAsia="Arial"/>
          <w:lang w:bidi="fr-FR"/>
        </w:rPr>
        <w:t xml:space="preserve">Facebook, </w:t>
      </w:r>
      <w:r>
        <w:rPr>
          <w:rFonts w:eastAsia="Arial"/>
          <w:lang w:bidi="fr-FR"/>
        </w:rPr>
        <w:t xml:space="preserve">est </w:t>
      </w:r>
      <w:r w:rsidR="00EB735E">
        <w:rPr>
          <w:rFonts w:eastAsia="Arial"/>
          <w:lang w:bidi="fr-FR"/>
        </w:rPr>
        <w:t>convaincante et probante</w:t>
      </w:r>
      <w:r>
        <w:rPr>
          <w:rFonts w:eastAsia="Arial"/>
          <w:lang w:bidi="fr-FR"/>
        </w:rPr>
        <w:t>.</w:t>
      </w:r>
    </w:p>
    <w:p w14:paraId="4344EFBC" w14:textId="77777777" w:rsidR="005837F7" w:rsidRPr="005837F7" w:rsidRDefault="00893AC8" w:rsidP="008A1100">
      <w:pPr>
        <w:pStyle w:val="Paragraphe"/>
        <w:spacing w:line="240" w:lineRule="auto"/>
        <w:rPr>
          <w:rFonts w:eastAsia="Arial"/>
          <w:lang w:bidi="fr-FR"/>
        </w:rPr>
      </w:pPr>
      <w:r>
        <w:rPr>
          <w:rFonts w:eastAsia="Arial"/>
          <w:lang w:bidi="fr-FR"/>
        </w:rPr>
        <w:t>Le Tribunal iden</w:t>
      </w:r>
      <w:r w:rsidR="00803456">
        <w:rPr>
          <w:rFonts w:eastAsia="Arial"/>
          <w:lang w:bidi="fr-FR"/>
        </w:rPr>
        <w:t xml:space="preserve">tifie ci-dessous quelques exemples de propos diffamatoires </w:t>
      </w:r>
      <w:r w:rsidR="003D3189">
        <w:rPr>
          <w:rFonts w:eastAsia="Arial"/>
          <w:lang w:bidi="fr-FR"/>
        </w:rPr>
        <w:t>tenus</w:t>
      </w:r>
      <w:r w:rsidR="00803456">
        <w:rPr>
          <w:rFonts w:eastAsia="Arial"/>
          <w:lang w:bidi="fr-FR"/>
        </w:rPr>
        <w:t xml:space="preserve"> par </w:t>
      </w:r>
      <w:r w:rsidR="00304068">
        <w:rPr>
          <w:rFonts w:eastAsia="Arial"/>
          <w:lang w:bidi="fr-FR"/>
        </w:rPr>
        <w:t>M. Roy</w:t>
      </w:r>
      <w:r w:rsidR="00803456">
        <w:rPr>
          <w:rFonts w:eastAsia="Arial"/>
          <w:lang w:bidi="fr-FR"/>
        </w:rPr>
        <w:t>.</w:t>
      </w:r>
    </w:p>
    <w:p w14:paraId="46ADD1A5" w14:textId="77777777" w:rsidR="004C2AB7" w:rsidRPr="00C87F7A" w:rsidRDefault="00893AC8" w:rsidP="008A1100">
      <w:pPr>
        <w:pStyle w:val="Paragraphe"/>
        <w:spacing w:line="240" w:lineRule="auto"/>
        <w:rPr>
          <w:rFonts w:eastAsia="Arial"/>
          <w:lang w:bidi="fr-FR"/>
        </w:rPr>
      </w:pPr>
      <w:r w:rsidRPr="00C87F7A">
        <w:rPr>
          <w:rFonts w:eastAsia="Arial"/>
          <w:lang w:bidi="fr-FR"/>
        </w:rPr>
        <w:t>Entre le 9 et le 11 juillet 2019, Mario Roy publie une nouvelle vidéo sur sa page Facebook dans laquelle il dit</w:t>
      </w:r>
      <w:r>
        <w:rPr>
          <w:rStyle w:val="Appelnotedebasdep"/>
          <w:rFonts w:eastAsia="Arial"/>
          <w:lang w:bidi="fr-FR"/>
        </w:rPr>
        <w:footnoteReference w:id="83"/>
      </w:r>
      <w:r w:rsidRPr="00C87F7A">
        <w:rPr>
          <w:rFonts w:eastAsia="Arial"/>
          <w:lang w:bidi="fr-FR"/>
        </w:rPr>
        <w:t xml:space="preserve"> :</w:t>
      </w:r>
    </w:p>
    <w:p w14:paraId="15507252" w14:textId="77777777" w:rsidR="004C2AB7" w:rsidRPr="00C87F7A" w:rsidRDefault="00893AC8" w:rsidP="008A1100">
      <w:pPr>
        <w:pStyle w:val="Citationenretrait"/>
        <w:rPr>
          <w:rFonts w:eastAsia="Courier New"/>
          <w:lang w:bidi="fr-FR"/>
        </w:rPr>
      </w:pPr>
      <w:r w:rsidRPr="00C87F7A">
        <w:rPr>
          <w:i/>
          <w:lang w:bidi="fr-FR"/>
        </w:rPr>
        <w:t xml:space="preserve">« </w:t>
      </w:r>
      <w:r w:rsidRPr="00C87F7A">
        <w:rPr>
          <w:rFonts w:eastAsia="Courier New"/>
          <w:lang w:bidi="fr-FR"/>
        </w:rPr>
        <w:t>Maintenant, le Barreau du Québec, je - vous allez voir, là, avec ce qui suit, le Barreau du Québec... euh... “veulent” essayer de me fermer la gueule, parce que “chu”... “chu” un des rares qui a compris la “game” - qu’un des rares qui est pas membre du Barreau du Québec, un des rares qui est pas corrompu.</w:t>
      </w:r>
      <w:r w:rsidRPr="00C87F7A">
        <w:rPr>
          <w:i/>
          <w:lang w:bidi="fr-FR"/>
        </w:rPr>
        <w:t xml:space="preserve">» </w:t>
      </w:r>
      <w:r w:rsidRPr="00C87F7A">
        <w:rPr>
          <w:rFonts w:eastAsia="Courier New"/>
          <w:lang w:bidi="fr-FR"/>
        </w:rPr>
        <w:t xml:space="preserve">«Là je vais... je vais la lire, la requête, pis... euh... si vous trouvez ça trop long, ben, vous pouvez débarquer, mais je vais passer le temps de le faire, parce que - c’est pas que ça me tente, mais je “vas” la lire avec vous, en tout cas, en partie, pour vous montrer... euh... comment est-ce que c’est </w:t>
      </w:r>
      <w:r w:rsidRPr="00362892">
        <w:rPr>
          <w:u w:val="single"/>
          <w:lang w:bidi="fr-FR"/>
        </w:rPr>
        <w:t>cette organisation criminelle- là qu’est le Barreau du Québec</w:t>
      </w:r>
      <w:r w:rsidRPr="00C87F7A">
        <w:rPr>
          <w:rFonts w:eastAsia="Courier New"/>
          <w:lang w:bidi="fr-FR"/>
        </w:rPr>
        <w:t xml:space="preserve">.» </w:t>
      </w:r>
    </w:p>
    <w:p w14:paraId="4A3E834A" w14:textId="77777777" w:rsidR="004C2AB7" w:rsidRPr="00C87F7A" w:rsidRDefault="00893AC8" w:rsidP="008A1100">
      <w:pPr>
        <w:pStyle w:val="Citationenretrait"/>
        <w:rPr>
          <w:rFonts w:eastAsia="Courier New"/>
          <w:lang w:bidi="fr-FR"/>
        </w:rPr>
      </w:pPr>
      <w:r w:rsidRPr="00C87F7A">
        <w:rPr>
          <w:rFonts w:eastAsia="Courier New"/>
          <w:lang w:bidi="fr-FR"/>
        </w:rPr>
        <w:t>«</w:t>
      </w:r>
      <w:r w:rsidR="00E921FC">
        <w:rPr>
          <w:rFonts w:eastAsia="Courier New"/>
          <w:lang w:bidi="fr-FR"/>
        </w:rPr>
        <w:t xml:space="preserve"> </w:t>
      </w:r>
      <w:r w:rsidRPr="00C87F7A">
        <w:rPr>
          <w:rFonts w:eastAsia="Courier New"/>
          <w:lang w:bidi="fr-FR"/>
        </w:rPr>
        <w:t xml:space="preserve">Comment se fait-il, Claude G. Leduc - je... je sais qu’y va l’écouter pis Éliane Hogue aussi, parce que c’est dit qu’y écoutent toutes mes vidéo, là, puis probablement qu’y a quelqu’un présentement du Barreau qui est en train de l’écouter - comment se fait-il qu’y ont déposé des parjures à la Cour? Claude G. Leduc, cette semaine, “chu” revenu de vacances: «Je dépose officiellement les accusations criminelles contre toi! Je l’ai “faite” contre ton chum Drolet! Je l’ai “faite”! C’est à Cour! Tu vas arriver - Leduc, tu vas arriver au procès le trois (3), t’auras même pas le droit d’être là, parce que je vais te demander à témoigner! Je vais te prendre comme témoin, pis Éliane Hogue, c’est la même affaire! Votre “esti” de corruption, c’est assez!» </w:t>
      </w:r>
      <w:r w:rsidRPr="00C87F7A">
        <w:rPr>
          <w:i/>
          <w:lang w:bidi="fr-FR"/>
        </w:rPr>
        <w:t>«</w:t>
      </w:r>
      <w:r w:rsidRPr="00C87F7A">
        <w:rPr>
          <w:rFonts w:eastAsia="Courier New"/>
          <w:lang w:bidi="fr-FR"/>
        </w:rPr>
        <w:t>Le Barreau du Québec qui joue au narcissique! C’est eux qui font les cons, c’est eux que leur preuve prouve que c’est des corrompus et c’est de ma faute à “moé” qui les dénigre! Ça veut dire que si, “moé”, je dépose une preuve qui prouve qu’y sont des crosseurs, comme le dépôt de - qu’y ont “faite”, là, de parjure de... de Drolet, “moé”, j’ai “faite” venir trois (3) personnes qui ont complètement contredit... euh... c’te avocat verreux-là, la preuve est que Claude G. Leduc a commis un acte criminel, Code criminel, article 131.1 du Code. Claude G. Leduc, t’es qui? T’es qui, “toé”, pour faire le “morron” en disant que c’est “moé” qui “mène” la confiance du public? C’est moi qui te cale; ben oui, “toé”! Je te dénigre parce que tu commets des crimes, pis que les gens sont assez intelligents pour le comprendre, parce qu’y se sont déplacés, y ont assisté, pis y ont constaté! Assez spécial!»</w:t>
      </w:r>
    </w:p>
    <w:p w14:paraId="5B3F7D01" w14:textId="77777777" w:rsidR="00E921FC" w:rsidRPr="00C87F7A" w:rsidRDefault="00893AC8" w:rsidP="008A1100">
      <w:pPr>
        <w:pStyle w:val="Citationenretrait"/>
        <w:jc w:val="right"/>
        <w:rPr>
          <w:rFonts w:eastAsia="Courier New"/>
          <w:lang w:bidi="fr-FR"/>
        </w:rPr>
      </w:pPr>
      <w:r>
        <w:rPr>
          <w:rFonts w:eastAsia="Courier New"/>
          <w:lang w:bidi="fr-FR"/>
        </w:rPr>
        <w:t>[Soulignement du Tribunal]</w:t>
      </w:r>
    </w:p>
    <w:p w14:paraId="2DAB8860" w14:textId="77777777" w:rsidR="004C2AB7" w:rsidRPr="00C87F7A" w:rsidRDefault="00893AC8" w:rsidP="008A1100">
      <w:pPr>
        <w:pStyle w:val="Paragraphe"/>
        <w:spacing w:line="240" w:lineRule="auto"/>
        <w:rPr>
          <w:rFonts w:eastAsia="Arial"/>
          <w:lang w:bidi="fr-FR"/>
        </w:rPr>
      </w:pPr>
      <w:r w:rsidRPr="00C87F7A">
        <w:rPr>
          <w:rFonts w:eastAsia="Arial"/>
          <w:lang w:bidi="fr-FR"/>
        </w:rPr>
        <w:t>Le 5 juillet 2020, Mario Roy publie une nouvelle vidéo sur sa page Facebook dans laquelle il dit</w:t>
      </w:r>
      <w:r>
        <w:rPr>
          <w:rStyle w:val="Appelnotedebasdep"/>
          <w:rFonts w:eastAsia="Arial"/>
          <w:lang w:bidi="fr-FR"/>
        </w:rPr>
        <w:footnoteReference w:id="84"/>
      </w:r>
      <w:r w:rsidRPr="00C87F7A">
        <w:rPr>
          <w:rFonts w:eastAsia="Arial"/>
          <w:lang w:bidi="fr-FR"/>
        </w:rPr>
        <w:t xml:space="preserve"> :</w:t>
      </w:r>
    </w:p>
    <w:p w14:paraId="289B8BC4" w14:textId="77777777" w:rsidR="004C2AB7" w:rsidRDefault="00893AC8" w:rsidP="008A1100">
      <w:pPr>
        <w:pStyle w:val="Citationenretrait"/>
        <w:rPr>
          <w:rFonts w:cs="Arial"/>
          <w:szCs w:val="22"/>
          <w:lang w:bidi="fr-FR"/>
        </w:rPr>
      </w:pPr>
      <w:r w:rsidRPr="00E921FC">
        <w:rPr>
          <w:rFonts w:cs="Arial"/>
          <w:szCs w:val="22"/>
          <w:lang w:bidi="fr-FR"/>
        </w:rPr>
        <w:t>«</w:t>
      </w:r>
      <w:r w:rsidRPr="00C87F7A">
        <w:rPr>
          <w:rFonts w:cs="Arial"/>
          <w:i/>
          <w:szCs w:val="22"/>
          <w:lang w:bidi="fr-FR"/>
        </w:rPr>
        <w:t xml:space="preserve"> </w:t>
      </w:r>
      <w:r w:rsidRPr="00C87F7A">
        <w:rPr>
          <w:rFonts w:eastAsia="Courier New"/>
          <w:lang w:bidi="fr-FR"/>
        </w:rPr>
        <w:t xml:space="preserve">Ça prend quelqu’un qui n’est pas membre du Barreau du Québec, qui ne baise pas avec eux dans les cubicules, qui ne fasse pas d’ententes avec eux. Mais ça prend des personnes intègres qui vont parler avec l’enfant, qui vont rencontrer l’enfant, rencontrer les parents et s’assurer qu’il y ait aucun mensonge dans les requêtes du DPJ que les avocats laissent passer volontairement sous silence afin que le DPJ récolte cent quarante mille (140 000) par année par enfant dans leur réseau, parce que </w:t>
      </w:r>
      <w:r w:rsidRPr="00E921FC">
        <w:rPr>
          <w:rFonts w:eastAsia="Courier New"/>
          <w:u w:val="single"/>
          <w:lang w:bidi="fr-FR"/>
        </w:rPr>
        <w:t>c’est un réseau de fraude</w:t>
      </w:r>
      <w:r w:rsidRPr="00C87F7A">
        <w:rPr>
          <w:rFonts w:eastAsia="Courier New"/>
          <w:lang w:bidi="fr-FR"/>
        </w:rPr>
        <w:t>.</w:t>
      </w:r>
      <w:r w:rsidRPr="00C87F7A">
        <w:rPr>
          <w:rFonts w:cs="Arial"/>
          <w:i/>
          <w:sz w:val="19"/>
          <w:szCs w:val="19"/>
          <w:lang w:bidi="fr-FR"/>
        </w:rPr>
        <w:t xml:space="preserve"> </w:t>
      </w:r>
      <w:r w:rsidRPr="00E921FC">
        <w:rPr>
          <w:rFonts w:cs="Arial"/>
          <w:iCs/>
          <w:szCs w:val="22"/>
          <w:lang w:bidi="fr-FR"/>
        </w:rPr>
        <w:t>»</w:t>
      </w:r>
    </w:p>
    <w:p w14:paraId="724D9D37" w14:textId="77777777" w:rsidR="00E921FC" w:rsidRPr="00C87F7A" w:rsidRDefault="00893AC8" w:rsidP="008A1100">
      <w:pPr>
        <w:pStyle w:val="Citationenretrait"/>
        <w:jc w:val="right"/>
        <w:rPr>
          <w:rFonts w:eastAsia="Courier New"/>
          <w:lang w:bidi="fr-FR"/>
        </w:rPr>
      </w:pPr>
      <w:r>
        <w:rPr>
          <w:rFonts w:eastAsia="Courier New"/>
          <w:lang w:bidi="fr-FR"/>
        </w:rPr>
        <w:t>[Soulignement du Tribunal]</w:t>
      </w:r>
    </w:p>
    <w:p w14:paraId="26953DF8" w14:textId="77777777" w:rsidR="004C2AB7" w:rsidRPr="00C87F7A" w:rsidRDefault="00893AC8" w:rsidP="008A1100">
      <w:pPr>
        <w:pStyle w:val="Paragraphe"/>
        <w:spacing w:line="240" w:lineRule="auto"/>
        <w:rPr>
          <w:rFonts w:eastAsia="Arial"/>
          <w:lang w:bidi="fr-FR"/>
        </w:rPr>
      </w:pPr>
      <w:r w:rsidRPr="00C87F7A">
        <w:rPr>
          <w:rFonts w:eastAsia="Arial"/>
          <w:lang w:bidi="fr-FR"/>
        </w:rPr>
        <w:t>Le 11 septembre 2020, Mario Roy publie une nouvelle vidéo sur sa page Facebook, dans laquelle il dit</w:t>
      </w:r>
      <w:r>
        <w:rPr>
          <w:rStyle w:val="Appelnotedebasdep"/>
          <w:rFonts w:eastAsia="Arial"/>
          <w:lang w:bidi="fr-FR"/>
        </w:rPr>
        <w:footnoteReference w:id="85"/>
      </w:r>
      <w:r w:rsidRPr="00C87F7A">
        <w:rPr>
          <w:rFonts w:eastAsia="Arial"/>
          <w:lang w:bidi="fr-FR"/>
        </w:rPr>
        <w:t xml:space="preserve"> :</w:t>
      </w:r>
    </w:p>
    <w:p w14:paraId="467717A7" w14:textId="77777777" w:rsidR="004C2AB7" w:rsidRPr="00C87F7A" w:rsidRDefault="00893AC8" w:rsidP="008A1100">
      <w:pPr>
        <w:pStyle w:val="Citationenretrait"/>
        <w:rPr>
          <w:rFonts w:eastAsia="Courier New"/>
          <w:lang w:bidi="fr-FR"/>
        </w:rPr>
      </w:pPr>
      <w:r w:rsidRPr="00C87F7A">
        <w:rPr>
          <w:rFonts w:eastAsia="Courier New"/>
          <w:lang w:bidi="fr-FR"/>
        </w:rPr>
        <w:t xml:space="preserve">Si le système de justice a été infiltré par la franc-maçonnerie d’un bout à l’autre, si </w:t>
      </w:r>
      <w:r w:rsidRPr="00E921FC">
        <w:rPr>
          <w:rFonts w:eastAsia="Courier New"/>
          <w:u w:val="single"/>
          <w:lang w:bidi="fr-FR"/>
        </w:rPr>
        <w:t>le Barreau du Québec protège des avocats corrompus, des politiciens corrompus</w:t>
      </w:r>
      <w:r w:rsidRPr="00C87F7A">
        <w:rPr>
          <w:rFonts w:eastAsia="Courier New"/>
          <w:lang w:bidi="fr-FR"/>
        </w:rPr>
        <w:t>, si le Conseil de la magistrature baise avec tout ce beau monde-là pour leur rendre des jugements, bien, il est temps qu’on se lève debout, il est temps qu’on manifeste debout, il est temps qu’on se tienne serrés puis il est temps qu’on les plante dehors. Ce que je veux dire par là, il est temps de les éjecter de leurs sièges parce qu’il est pas question qu’on laisse les crimes se commettre comme ça puis que monsieur Legault continusse à nous menacer pendant des années.</w:t>
      </w:r>
    </w:p>
    <w:p w14:paraId="61D34339" w14:textId="77777777" w:rsidR="00E921FC" w:rsidRPr="00C87F7A" w:rsidRDefault="00893AC8" w:rsidP="008A1100">
      <w:pPr>
        <w:pStyle w:val="Citationenretrait"/>
        <w:jc w:val="right"/>
        <w:rPr>
          <w:rFonts w:eastAsia="Courier New"/>
          <w:lang w:bidi="fr-FR"/>
        </w:rPr>
      </w:pPr>
      <w:r>
        <w:rPr>
          <w:rFonts w:eastAsia="Courier New"/>
          <w:lang w:bidi="fr-FR"/>
        </w:rPr>
        <w:t>[Soulignement du Tribunal]</w:t>
      </w:r>
    </w:p>
    <w:p w14:paraId="00C6CE95" w14:textId="77777777" w:rsidR="004C2AB7" w:rsidRPr="00C87F7A" w:rsidRDefault="00893AC8" w:rsidP="008A1100">
      <w:pPr>
        <w:pStyle w:val="Paragraphe"/>
        <w:spacing w:line="240" w:lineRule="auto"/>
        <w:rPr>
          <w:rFonts w:eastAsia="Arial"/>
          <w:lang w:bidi="fr-FR"/>
        </w:rPr>
      </w:pPr>
      <w:r w:rsidRPr="00C87F7A">
        <w:rPr>
          <w:rFonts w:eastAsia="Arial"/>
          <w:lang w:bidi="fr-FR"/>
        </w:rPr>
        <w:t>Le 3 décembre 2020, Mario Roy publie une nouvelle vidéo sur sa page Facebook dans laquelle il dit</w:t>
      </w:r>
      <w:r>
        <w:rPr>
          <w:rStyle w:val="Appelnotedebasdep"/>
          <w:rFonts w:eastAsia="Arial"/>
          <w:lang w:bidi="fr-FR"/>
        </w:rPr>
        <w:footnoteReference w:id="86"/>
      </w:r>
      <w:r w:rsidRPr="00C87F7A">
        <w:rPr>
          <w:rFonts w:eastAsia="Arial"/>
          <w:lang w:bidi="fr-FR"/>
        </w:rPr>
        <w:t xml:space="preserve"> :</w:t>
      </w:r>
    </w:p>
    <w:p w14:paraId="65EFDAAE" w14:textId="77777777" w:rsidR="004C2AB7" w:rsidRPr="00C87F7A" w:rsidRDefault="00893AC8" w:rsidP="008A1100">
      <w:pPr>
        <w:pStyle w:val="Citationenretrait"/>
        <w:rPr>
          <w:rFonts w:eastAsia="Courier New"/>
          <w:lang w:bidi="fr-FR"/>
        </w:rPr>
      </w:pPr>
      <w:r w:rsidRPr="00362892">
        <w:rPr>
          <w:rFonts w:cs="Arial"/>
          <w:szCs w:val="22"/>
          <w:lang w:bidi="fr-FR"/>
        </w:rPr>
        <w:t>«</w:t>
      </w:r>
      <w:r w:rsidRPr="00C87F7A">
        <w:rPr>
          <w:rFonts w:cs="Arial"/>
          <w:i/>
          <w:szCs w:val="22"/>
          <w:lang w:bidi="fr-FR"/>
        </w:rPr>
        <w:t xml:space="preserve"> </w:t>
      </w:r>
      <w:r w:rsidRPr="00C87F7A">
        <w:rPr>
          <w:rFonts w:eastAsia="Courier New"/>
          <w:lang w:bidi="fr-FR"/>
        </w:rPr>
        <w:t xml:space="preserve">Donc, selon le Procureur général du Québec, j’ai pas le droit de dénoncer, avec mon langage, </w:t>
      </w:r>
      <w:r w:rsidRPr="00C87F7A">
        <w:rPr>
          <w:rFonts w:eastAsia="Courier New"/>
          <w:u w:val="single"/>
          <w:lang w:bidi="fr-FR"/>
        </w:rPr>
        <w:t>que les avocats du Barreau, pis le ministère de la Justice et que plusieurs avocats sont des corrompus</w:t>
      </w:r>
      <w:r w:rsidRPr="00C87F7A">
        <w:rPr>
          <w:rFonts w:eastAsia="Courier New"/>
          <w:lang w:bidi="fr-FR"/>
        </w:rPr>
        <w:t xml:space="preserve">. C’est un dossier de preuve que j’ai à </w:t>
      </w:r>
      <w:r w:rsidRPr="00362892">
        <w:rPr>
          <w:rFonts w:cs="Arial"/>
          <w:color w:val="000000"/>
          <w:szCs w:val="22"/>
          <w:shd w:val="clear" w:color="auto" w:fill="FFFFFF"/>
          <w:lang w:val="fr-FR" w:bidi="fr-FR"/>
        </w:rPr>
        <w:t>soumettre - que j’ai soumis à Cour d’appel et... euh... selon le Procureur général du Québec, si je le dis, ça déconsidère l’administration de la justice. Autrement dit, c’est des “crosseurs”; y faut pas qu’on le dise!</w:t>
      </w:r>
    </w:p>
    <w:p w14:paraId="3DA53A07" w14:textId="77777777" w:rsidR="004C2AB7" w:rsidRPr="00362892" w:rsidRDefault="00893AC8" w:rsidP="008A1100">
      <w:pPr>
        <w:pStyle w:val="Citationenretrait"/>
        <w:rPr>
          <w:rFonts w:eastAsia="Arial" w:cs="Arial"/>
          <w:szCs w:val="22"/>
          <w:lang w:val="fr-FR" w:bidi="fr-FR"/>
        </w:rPr>
      </w:pPr>
      <w:r w:rsidRPr="00362892">
        <w:rPr>
          <w:rFonts w:eastAsia="Arial" w:cs="Arial"/>
          <w:szCs w:val="22"/>
          <w:lang w:bidi="fr-FR"/>
        </w:rPr>
        <w:t xml:space="preserve">C’est rendu que le Procureur général du Québec ne veut pas que le public sache </w:t>
      </w:r>
      <w:r w:rsidRPr="00362892">
        <w:rPr>
          <w:rFonts w:eastAsia="Arial" w:cs="Arial"/>
          <w:szCs w:val="22"/>
          <w:u w:val="single"/>
          <w:lang w:val="fr-FR" w:bidi="fr-FR"/>
        </w:rPr>
        <w:t>la réalité de la corruption du Barreau du Québec</w:t>
      </w:r>
      <w:r w:rsidRPr="00362892">
        <w:rPr>
          <w:rFonts w:eastAsia="Arial" w:cs="Arial"/>
          <w:szCs w:val="22"/>
          <w:lang w:val="fr-FR" w:bidi="fr-FR"/>
        </w:rPr>
        <w:t>. Spécial! Y veulent pas qu’on assiste au Tribunal! Y veulent même pas qu’on se présente au Tribunal! Y veulent faire “toute” par Internet, pis en cachant la vérité au monde.</w:t>
      </w:r>
      <w:r w:rsidRPr="004C2AB7">
        <w:rPr>
          <w:rFonts w:cs="Arial"/>
          <w:color w:val="000000"/>
          <w:szCs w:val="22"/>
          <w:shd w:val="clear" w:color="auto" w:fill="FFFFFF"/>
          <w:lang w:val="fr-FR" w:bidi="fr-FR"/>
        </w:rPr>
        <w:t xml:space="preserve"> »</w:t>
      </w:r>
    </w:p>
    <w:p w14:paraId="06AFE44E" w14:textId="77777777" w:rsidR="004C2AB7" w:rsidRPr="00C87F7A" w:rsidRDefault="00893AC8" w:rsidP="008A1100">
      <w:pPr>
        <w:pStyle w:val="Paragraphe"/>
        <w:spacing w:line="240" w:lineRule="auto"/>
        <w:rPr>
          <w:rFonts w:eastAsia="Arial"/>
          <w:lang w:bidi="fr-FR"/>
        </w:rPr>
      </w:pPr>
      <w:r>
        <w:rPr>
          <w:rFonts w:eastAsia="Arial"/>
          <w:lang w:bidi="fr-FR"/>
        </w:rPr>
        <w:t xml:space="preserve">Le 4 juillet 2025, à deux mois du début du procès, </w:t>
      </w:r>
      <w:r w:rsidRPr="00C87F7A">
        <w:rPr>
          <w:rFonts w:eastAsia="Arial"/>
          <w:lang w:bidi="fr-FR"/>
        </w:rPr>
        <w:t>Mario Roy utilise sa page Facebook pour publier une vidéo « LIVE » où il emploie un vocabulaire menaçant, abusif et diffamatoire à l’encontre du Barreau et de ses membres</w:t>
      </w:r>
      <w:r>
        <w:rPr>
          <w:rFonts w:eastAsia="Arial"/>
          <w:lang w:bidi="fr-FR"/>
        </w:rPr>
        <w:t xml:space="preserve"> et avocats</w:t>
      </w:r>
      <w:r w:rsidRPr="00C87F7A">
        <w:rPr>
          <w:rFonts w:eastAsia="Arial"/>
          <w:lang w:bidi="fr-FR"/>
        </w:rPr>
        <w:t>, tel qu’il appert de c</w:t>
      </w:r>
      <w:r w:rsidR="00CF7905" w:rsidRPr="00C87F7A">
        <w:rPr>
          <w:rFonts w:eastAsia="Arial"/>
          <w:lang w:bidi="fr-FR"/>
        </w:rPr>
        <w:t>ette</w:t>
      </w:r>
      <w:r w:rsidRPr="00C87F7A">
        <w:rPr>
          <w:rFonts w:eastAsia="Arial"/>
          <w:lang w:bidi="fr-FR"/>
        </w:rPr>
        <w:t xml:space="preserve"> vidéo </w:t>
      </w:r>
      <w:r w:rsidR="00CF7905" w:rsidRPr="00C87F7A">
        <w:rPr>
          <w:rFonts w:eastAsia="Arial"/>
          <w:lang w:bidi="fr-FR"/>
        </w:rPr>
        <w:t>et de sa transcription</w:t>
      </w:r>
      <w:r>
        <w:rPr>
          <w:rStyle w:val="Appelnotedebasdep"/>
          <w:rFonts w:eastAsia="Arial"/>
          <w:lang w:bidi="fr-FR"/>
        </w:rPr>
        <w:footnoteReference w:id="87"/>
      </w:r>
      <w:r w:rsidR="00CF7905" w:rsidRPr="00C87F7A">
        <w:rPr>
          <w:rFonts w:eastAsia="Arial"/>
          <w:lang w:bidi="fr-FR"/>
        </w:rPr>
        <w:t xml:space="preserve"> </w:t>
      </w:r>
      <w:r w:rsidRPr="00C87F7A">
        <w:rPr>
          <w:rFonts w:eastAsia="Arial"/>
          <w:lang w:bidi="fr-FR"/>
        </w:rPr>
        <w:t>:</w:t>
      </w:r>
    </w:p>
    <w:p w14:paraId="24D63BEF" w14:textId="77777777" w:rsidR="004C2AB7" w:rsidRPr="00C87F7A" w:rsidRDefault="00893AC8" w:rsidP="008A1100">
      <w:pPr>
        <w:pStyle w:val="Citationenretrait"/>
        <w:rPr>
          <w:rFonts w:eastAsia="Courier New"/>
          <w:lang w:bidi="fr-FR"/>
        </w:rPr>
      </w:pPr>
      <w:r w:rsidRPr="00C87F7A">
        <w:rPr>
          <w:rFonts w:cs="Arial"/>
          <w:i/>
          <w:szCs w:val="22"/>
          <w:lang w:bidi="fr-FR"/>
        </w:rPr>
        <w:t xml:space="preserve">« </w:t>
      </w:r>
      <w:r w:rsidRPr="00C87F7A">
        <w:rPr>
          <w:rFonts w:eastAsia="Courier New"/>
          <w:lang w:bidi="fr-FR"/>
        </w:rPr>
        <w:t xml:space="preserve">La manière de fonctionner </w:t>
      </w:r>
      <w:r w:rsidRPr="00E921FC">
        <w:rPr>
          <w:rFonts w:eastAsia="Courier New"/>
          <w:u w:val="single"/>
          <w:lang w:bidi="fr-FR"/>
        </w:rPr>
        <w:t>des corrompus du Barreau du Québec</w:t>
      </w:r>
      <w:r w:rsidRPr="00C87F7A">
        <w:rPr>
          <w:rFonts w:eastAsia="Courier New"/>
          <w:lang w:bidi="fr-FR"/>
        </w:rPr>
        <w:t xml:space="preserve"> - pis je pèse mes mots, pis j’espère que c’te vidéo-là va se rendre au Barreau du Québec et à Claude G. Leduc, là, c’est assez, et le public va savoir, dans le procès, ce qui se passe!</w:t>
      </w:r>
      <w:r w:rsidRPr="00C87F7A">
        <w:rPr>
          <w:rFonts w:cs="Arial"/>
          <w:i/>
          <w:sz w:val="19"/>
          <w:szCs w:val="19"/>
          <w:lang w:bidi="fr-FR"/>
        </w:rPr>
        <w:t xml:space="preserve"> </w:t>
      </w:r>
      <w:r w:rsidRPr="004C2AB7">
        <w:rPr>
          <w:rFonts w:cs="Arial"/>
          <w:i/>
          <w:iCs/>
          <w:color w:val="000000"/>
          <w:szCs w:val="22"/>
          <w:lang w:val="fr-FR" w:bidi="fr-FR"/>
        </w:rPr>
        <w:t>»</w:t>
      </w:r>
    </w:p>
    <w:p w14:paraId="49C6111F" w14:textId="77777777" w:rsidR="004C2AB7" w:rsidRPr="00C87F7A" w:rsidRDefault="00893AC8" w:rsidP="008A1100">
      <w:pPr>
        <w:pStyle w:val="Citationenretrait"/>
        <w:rPr>
          <w:rFonts w:eastAsia="Courier New"/>
          <w:lang w:bidi="fr-FR"/>
        </w:rPr>
      </w:pPr>
      <w:r w:rsidRPr="00C87F7A">
        <w:rPr>
          <w:rFonts w:cs="Arial"/>
          <w:i/>
          <w:szCs w:val="22"/>
          <w:lang w:bidi="fr-FR"/>
        </w:rPr>
        <w:t xml:space="preserve">« </w:t>
      </w:r>
      <w:r w:rsidRPr="00C87F7A">
        <w:rPr>
          <w:rFonts w:eastAsia="Courier New"/>
          <w:lang w:bidi="fr-FR"/>
        </w:rPr>
        <w:t>Dans sa lettre, à Goldwater, parjure accoté, les parents ont déjà - le père a déjà témoigné au Tribunal et j’ai encore ici, en mains propres, le dossier de la Goldwater. Étant donné qu’y a parjure, je demande son arrestation à elle!</w:t>
      </w:r>
      <w:r w:rsidRPr="00C87F7A">
        <w:rPr>
          <w:rFonts w:cs="Arial"/>
          <w:i/>
          <w:sz w:val="19"/>
          <w:szCs w:val="19"/>
          <w:lang w:bidi="fr-FR"/>
        </w:rPr>
        <w:t xml:space="preserve"> </w:t>
      </w:r>
      <w:r w:rsidRPr="004C2AB7">
        <w:rPr>
          <w:rFonts w:cs="Arial"/>
          <w:i/>
          <w:iCs/>
          <w:color w:val="000000"/>
          <w:szCs w:val="22"/>
          <w:lang w:val="fr-FR" w:bidi="fr-FR"/>
        </w:rPr>
        <w:t>»</w:t>
      </w:r>
    </w:p>
    <w:p w14:paraId="4E8BAF2C" w14:textId="77777777" w:rsidR="004C2AB7" w:rsidRPr="00C87F7A" w:rsidRDefault="00893AC8" w:rsidP="008A1100">
      <w:pPr>
        <w:pStyle w:val="Citationenretrait"/>
        <w:rPr>
          <w:rFonts w:eastAsia="Courier New"/>
          <w:lang w:bidi="fr-FR"/>
        </w:rPr>
      </w:pPr>
      <w:r w:rsidRPr="00C87F7A">
        <w:rPr>
          <w:rFonts w:cs="Arial"/>
          <w:i/>
          <w:szCs w:val="22"/>
          <w:lang w:bidi="fr-FR"/>
        </w:rPr>
        <w:t xml:space="preserve">« </w:t>
      </w:r>
      <w:r w:rsidRPr="00C87F7A">
        <w:rPr>
          <w:rFonts w:eastAsia="Courier New"/>
          <w:lang w:bidi="fr-FR"/>
        </w:rPr>
        <w:t xml:space="preserve">Pis, lui, </w:t>
      </w:r>
      <w:r w:rsidRPr="00E921FC">
        <w:rPr>
          <w:rFonts w:cs="Arial"/>
          <w:szCs w:val="22"/>
          <w:u w:val="single"/>
          <w:lang w:bidi="fr-FR"/>
        </w:rPr>
        <w:t>c’te enfant de chienne-là,</w:t>
      </w:r>
      <w:r w:rsidRPr="00E921FC">
        <w:rPr>
          <w:rFonts w:eastAsia="Courier New"/>
          <w:sz w:val="28"/>
          <w:szCs w:val="24"/>
          <w:lang w:bidi="fr-FR"/>
        </w:rPr>
        <w:t xml:space="preserve"> </w:t>
      </w:r>
      <w:r w:rsidRPr="00C87F7A">
        <w:rPr>
          <w:rFonts w:eastAsia="Courier New"/>
          <w:lang w:bidi="fr-FR"/>
        </w:rPr>
        <w:t>de Mathieu Dessureault</w:t>
      </w:r>
      <w:r>
        <w:rPr>
          <w:rStyle w:val="Appelnotedebasdep"/>
          <w:rFonts w:eastAsia="Courier New"/>
          <w:lang w:bidi="fr-FR"/>
        </w:rPr>
        <w:footnoteReference w:id="88"/>
      </w:r>
      <w:r w:rsidRPr="00C87F7A">
        <w:rPr>
          <w:rFonts w:eastAsia="Courier New"/>
          <w:lang w:bidi="fr-FR"/>
        </w:rPr>
        <w:t>, de complicité avec Éliane Hogue, parce que c’est ben marqué “su” son papier, mais c’est pas... c’est... c’est Dessureault qui avait “faite” la lettre, y avait marqué dedans - pis il a même témoigné au Tribunal - que c’était lui mon agent de probation, pis - ce qui était faux - pis y... y est venu qu’à avouer qu’y m’avait vu une (1) seule fois, c’était la journée que “chu” allé chercher la lettre, tout simplement, et dedans... euh... jamais qu’y m’a dit de “pus” le faire, que j’avais pas le droit de pas le faire.</w:t>
      </w:r>
      <w:r w:rsidRPr="00C87F7A">
        <w:rPr>
          <w:rFonts w:cs="Arial"/>
          <w:i/>
          <w:sz w:val="19"/>
          <w:szCs w:val="19"/>
          <w:lang w:bidi="fr-FR"/>
        </w:rPr>
        <w:t xml:space="preserve"> </w:t>
      </w:r>
      <w:r w:rsidRPr="004C2AB7">
        <w:rPr>
          <w:rFonts w:cs="Arial"/>
          <w:i/>
          <w:iCs/>
          <w:color w:val="000000"/>
          <w:szCs w:val="22"/>
          <w:lang w:val="fr-FR" w:bidi="fr-FR"/>
        </w:rPr>
        <w:t>»</w:t>
      </w:r>
    </w:p>
    <w:p w14:paraId="5FCC0DD0" w14:textId="77777777" w:rsidR="004C2AB7" w:rsidRPr="00C87F7A" w:rsidRDefault="00893AC8" w:rsidP="008A1100">
      <w:pPr>
        <w:pStyle w:val="Citationenretrait"/>
        <w:rPr>
          <w:rFonts w:eastAsia="Courier New"/>
          <w:lang w:bidi="fr-FR"/>
        </w:rPr>
      </w:pPr>
      <w:r w:rsidRPr="00C87F7A">
        <w:rPr>
          <w:rFonts w:cs="Arial"/>
          <w:i/>
          <w:szCs w:val="22"/>
          <w:lang w:bidi="fr-FR"/>
        </w:rPr>
        <w:t xml:space="preserve">« </w:t>
      </w:r>
      <w:r w:rsidRPr="00C87F7A">
        <w:rPr>
          <w:rFonts w:eastAsia="Courier New"/>
          <w:lang w:bidi="fr-FR"/>
        </w:rPr>
        <w:t xml:space="preserve">Ben, m’a te le dire, </w:t>
      </w:r>
      <w:r w:rsidRPr="00E921FC">
        <w:rPr>
          <w:rFonts w:eastAsia="Courier New"/>
          <w:u w:val="single"/>
          <w:lang w:bidi="fr-FR"/>
        </w:rPr>
        <w:t>Leduc, pis t’as beau le dire au Procureur général, m’a te le dire: “fuck you”</w:t>
      </w:r>
      <w:r w:rsidRPr="00C87F7A">
        <w:rPr>
          <w:rFonts w:eastAsia="Courier New"/>
          <w:lang w:bidi="fr-FR"/>
        </w:rPr>
        <w:t>»</w:t>
      </w:r>
    </w:p>
    <w:p w14:paraId="323AD4CE" w14:textId="77777777" w:rsidR="004C2AB7" w:rsidRPr="00C87F7A" w:rsidRDefault="00893AC8" w:rsidP="008A1100">
      <w:pPr>
        <w:pStyle w:val="Citationenretrait"/>
        <w:rPr>
          <w:rFonts w:eastAsia="Courier New"/>
          <w:lang w:bidi="fr-FR"/>
        </w:rPr>
      </w:pPr>
      <w:r w:rsidRPr="00C87F7A">
        <w:rPr>
          <w:rFonts w:cs="Arial"/>
          <w:i/>
          <w:szCs w:val="22"/>
          <w:lang w:bidi="fr-FR"/>
        </w:rPr>
        <w:t xml:space="preserve">« </w:t>
      </w:r>
      <w:r w:rsidRPr="00C87F7A">
        <w:rPr>
          <w:rFonts w:eastAsia="Courier New"/>
          <w:lang w:bidi="fr-FR"/>
        </w:rPr>
        <w:t xml:space="preserve">Ça fait que j’ai les audios de deux (2) personnes que Dessureault a commis un parjure! Ça fait que, </w:t>
      </w:r>
      <w:r w:rsidRPr="00E921FC">
        <w:rPr>
          <w:rFonts w:eastAsia="Courier New"/>
          <w:u w:val="single"/>
          <w:lang w:bidi="fr-FR"/>
        </w:rPr>
        <w:t>Leduc, tu veux que - je sais que... que j’accorde ça? Tu vas aller chier, pis tu vas manger un “osti” de char de “marde”! On va se revoir au procès en “crisse”!</w:t>
      </w:r>
      <w:r w:rsidRPr="00C87F7A">
        <w:rPr>
          <w:rFonts w:eastAsia="Courier New"/>
          <w:lang w:bidi="fr-FR"/>
        </w:rPr>
        <w:t>»</w:t>
      </w:r>
    </w:p>
    <w:p w14:paraId="1602C06D" w14:textId="77777777" w:rsidR="004C2AB7" w:rsidRPr="00C87F7A" w:rsidRDefault="00893AC8" w:rsidP="008A1100">
      <w:pPr>
        <w:pStyle w:val="Citationenretrait"/>
        <w:rPr>
          <w:rFonts w:eastAsia="Courier New"/>
          <w:lang w:bidi="fr-FR"/>
        </w:rPr>
      </w:pPr>
      <w:r w:rsidRPr="00C87F7A">
        <w:rPr>
          <w:rFonts w:eastAsia="Courier New"/>
          <w:lang w:bidi="fr-FR"/>
        </w:rPr>
        <w:t>«Maintenant, “moé”, je peux faire ma job, pis y aller, pis les réveiller, pis “leux” brasser, pis leur “crisser” ça dans dents, avec toutes les preuves que j’ai “icitte”, j’en ai des caisses, mais, “tabarnac”, j’ai besoin de vous autres pour que vous vous...»</w:t>
      </w:r>
    </w:p>
    <w:p w14:paraId="029CC40F" w14:textId="77777777" w:rsidR="004C2AB7" w:rsidRPr="00C87F7A" w:rsidRDefault="00893AC8" w:rsidP="008A1100">
      <w:pPr>
        <w:pStyle w:val="Citationenretrait"/>
        <w:rPr>
          <w:rFonts w:eastAsia="Courier New"/>
          <w:lang w:bidi="fr-FR"/>
        </w:rPr>
      </w:pPr>
      <w:r w:rsidRPr="00C87F7A">
        <w:rPr>
          <w:rFonts w:eastAsia="Courier New"/>
          <w:lang w:bidi="fr-FR"/>
        </w:rPr>
        <w:t xml:space="preserve">«J’allume un feu, moi, à soir, “esti”, on va faire griller de la saucisse “t’a” l’heure! </w:t>
      </w:r>
      <w:r w:rsidRPr="00E921FC">
        <w:rPr>
          <w:rFonts w:eastAsia="Courier New"/>
          <w:u w:val="single"/>
          <w:lang w:bidi="fr-FR"/>
        </w:rPr>
        <w:t>Ta mise en demeure, mon Leduc, tu vas te la “câlisser” dans le cul!</w:t>
      </w:r>
      <w:r w:rsidRPr="00C87F7A">
        <w:rPr>
          <w:rFonts w:eastAsia="Courier New"/>
          <w:lang w:bidi="fr-FR"/>
        </w:rPr>
        <w:t xml:space="preserve"> Et là vous avez payé - rien que pour vous le montrer... M’a l’allumer </w:t>
      </w:r>
      <w:r w:rsidRPr="004C2AB7">
        <w:rPr>
          <w:rFonts w:cs="Arial"/>
          <w:i/>
          <w:iCs/>
          <w:color w:val="000000"/>
          <w:szCs w:val="22"/>
          <w:shd w:val="clear" w:color="auto" w:fill="FFFFFF"/>
          <w:lang w:val="fr-FR" w:bidi="fr-FR"/>
        </w:rPr>
        <w:t>comme du monde! Y ont payé un huissier ave...Ça, là, c’est “toute” les fonds des avocats!»</w:t>
      </w:r>
    </w:p>
    <w:p w14:paraId="531A183D" w14:textId="77777777" w:rsidR="004C2AB7" w:rsidRPr="00F53C80" w:rsidRDefault="00893AC8" w:rsidP="008A1100">
      <w:pPr>
        <w:pStyle w:val="Citationenretrait"/>
        <w:rPr>
          <w:rFonts w:eastAsia="Arial" w:cs="Arial"/>
          <w:szCs w:val="22"/>
          <w:lang w:val="fr-FR" w:bidi="fr-FR"/>
        </w:rPr>
      </w:pPr>
      <w:r w:rsidRPr="00F53C80">
        <w:rPr>
          <w:rFonts w:eastAsia="Arial" w:cs="Arial"/>
          <w:szCs w:val="22"/>
          <w:lang w:bidi="fr-FR"/>
        </w:rPr>
        <w:t>«Je veux qu’y allume en “osti”! Que - y... y me font un - y font un document, “tabarnac”, pour cacher le crime, ben “fuck you”! La v’là ta mise en demeure , Leduc! Barreau du Québec! Le Procureur général, là, y va être là dans le procès, là, parce qu’y est intimé, là, ça, c’est le ministère de la Justice, ben, “tabarnac”, m’a te les fournir les preuves, pis y va être le temps en “osti” que vous vous “réveillez” puis que vous “lâchez” la corruption! Là, là, vous abusez du monde, “tabarnac”, vous brisez des familles!» «“Fuck you” le Barreau! Mangez de la “marde”! Bonne soirée à tous! “Moé” - on va la regarder brûler comme du monde! “Kin” mon Leduc! Dépense l’argent des membres du Barreau du Québec! Envoye, dépense-la l’argent des membres du Barreau du Québec, mon “osti” de trou de cul</w:t>
      </w:r>
      <w:r w:rsidRPr="004C2AB7">
        <w:rPr>
          <w:rFonts w:cs="Arial"/>
          <w:color w:val="000000"/>
          <w:szCs w:val="22"/>
          <w:shd w:val="clear" w:color="auto" w:fill="FFFFFF"/>
          <w:lang w:val="fr-FR" w:bidi="fr-FR"/>
        </w:rPr>
        <w:t xml:space="preserve">!» </w:t>
      </w:r>
      <w:r w:rsidRPr="00F53C80">
        <w:rPr>
          <w:rFonts w:eastAsia="Arial" w:cs="Arial"/>
          <w:szCs w:val="22"/>
          <w:lang w:val="fr-FR" w:bidi="fr-FR"/>
        </w:rPr>
        <w:t>«“Chu t’écoeuré” de tes “osti” de mensonges, pis que tu dilapides l’argent des membres du Barreau du Québec</w:t>
      </w:r>
      <w:r w:rsidRPr="004C2AB7">
        <w:rPr>
          <w:rFonts w:cs="Arial"/>
          <w:color w:val="000000"/>
          <w:szCs w:val="22"/>
          <w:shd w:val="clear" w:color="auto" w:fill="FFFFFF"/>
          <w:lang w:val="fr-FR" w:bidi="fr-FR"/>
        </w:rPr>
        <w:t>!»</w:t>
      </w:r>
    </w:p>
    <w:p w14:paraId="2B20BD1F" w14:textId="77777777" w:rsidR="004C2AB7" w:rsidRPr="00F53C80" w:rsidRDefault="00893AC8" w:rsidP="008A1100">
      <w:pPr>
        <w:pStyle w:val="Citationenretrait"/>
        <w:rPr>
          <w:rFonts w:eastAsia="Arial" w:cs="Arial"/>
          <w:szCs w:val="22"/>
          <w:lang w:bidi="fr-FR"/>
        </w:rPr>
      </w:pPr>
      <w:r w:rsidRPr="00F53C80">
        <w:rPr>
          <w:rFonts w:eastAsia="Arial" w:cs="Arial"/>
          <w:szCs w:val="22"/>
          <w:lang w:bidi="fr-FR"/>
        </w:rPr>
        <w:t xml:space="preserve">«“Fuck you”! Pis, Leduc, tu m’embarqueras pas dans des parjures! Ton dossier, je te l’ai dit au début de “toute” qu’y a des parjures dedans et je “vas” demander l’arrestation des personnes, sinon c’est “moé” qui “vas” les arrêter, pis je “vas” les soumettre aux constables légalement! “Fuck you” le Barreau du Québec! M’a le faire le ménage, “moé”, “câlisse”! </w:t>
      </w:r>
    </w:p>
    <w:p w14:paraId="22041A64" w14:textId="77777777" w:rsidR="00E921FC" w:rsidRPr="00E921FC" w:rsidRDefault="00893AC8" w:rsidP="008A1100">
      <w:pPr>
        <w:pStyle w:val="Citationenretrait"/>
        <w:jc w:val="right"/>
        <w:rPr>
          <w:rFonts w:eastAsia="Arial" w:cs="Arial"/>
          <w:iCs/>
          <w:szCs w:val="22"/>
          <w:lang w:bidi="fr-FR"/>
        </w:rPr>
      </w:pPr>
      <w:r>
        <w:rPr>
          <w:rFonts w:eastAsia="Arial" w:cs="Arial"/>
          <w:iCs/>
          <w:szCs w:val="22"/>
          <w:lang w:bidi="fr-FR"/>
        </w:rPr>
        <w:t>[Soulignements du Tribunal]</w:t>
      </w:r>
    </w:p>
    <w:p w14:paraId="127536C9" w14:textId="77777777" w:rsidR="002A6569" w:rsidRPr="00C87F7A" w:rsidRDefault="00893AC8" w:rsidP="008A1100">
      <w:pPr>
        <w:pStyle w:val="Paragraphe"/>
        <w:spacing w:line="240" w:lineRule="auto"/>
        <w:rPr>
          <w:rFonts w:eastAsia="Arial"/>
          <w:lang w:bidi="fr-FR"/>
        </w:rPr>
      </w:pPr>
      <w:r w:rsidRPr="00C87F7A">
        <w:rPr>
          <w:rFonts w:eastAsia="Arial"/>
          <w:lang w:bidi="fr-FR"/>
        </w:rPr>
        <w:t>M. Roy a admis tou</w:t>
      </w:r>
      <w:r w:rsidR="00362892">
        <w:rPr>
          <w:rFonts w:eastAsia="Arial"/>
          <w:lang w:bidi="fr-FR"/>
        </w:rPr>
        <w:t>te</w:t>
      </w:r>
      <w:r w:rsidRPr="00C87F7A">
        <w:rPr>
          <w:rFonts w:eastAsia="Arial"/>
          <w:lang w:bidi="fr-FR"/>
        </w:rPr>
        <w:t>s les vidéos produit</w:t>
      </w:r>
      <w:r w:rsidR="00362892">
        <w:rPr>
          <w:rFonts w:eastAsia="Arial"/>
          <w:lang w:bidi="fr-FR"/>
        </w:rPr>
        <w:t>e</w:t>
      </w:r>
      <w:r w:rsidRPr="00C87F7A">
        <w:rPr>
          <w:rFonts w:eastAsia="Arial"/>
          <w:lang w:bidi="fr-FR"/>
        </w:rPr>
        <w:t>s en preuve par le Barreau, les captures d’écran ou ses écrits, comme étant les siens et comme étant ses faits et gestes.</w:t>
      </w:r>
    </w:p>
    <w:p w14:paraId="35C3894C" w14:textId="77777777" w:rsidR="00DB6F0B" w:rsidRDefault="00893AC8" w:rsidP="008A1100">
      <w:pPr>
        <w:pStyle w:val="Paragraphe"/>
        <w:spacing w:line="240" w:lineRule="auto"/>
        <w:rPr>
          <w:rFonts w:eastAsia="Arial"/>
          <w:lang w:bidi="fr-FR"/>
        </w:rPr>
      </w:pPr>
      <w:r>
        <w:rPr>
          <w:rFonts w:eastAsia="Arial"/>
          <w:lang w:bidi="fr-FR"/>
        </w:rPr>
        <w:t xml:space="preserve">Il ressort des extraits cités ci-dessus que M. Roy </w:t>
      </w:r>
      <w:r w:rsidR="00937FB8">
        <w:rPr>
          <w:rFonts w:eastAsia="Arial"/>
          <w:lang w:bidi="fr-FR"/>
        </w:rPr>
        <w:t xml:space="preserve">accuse le Barreau et ses membres, représentants ou avocats externes </w:t>
      </w:r>
      <w:r w:rsidR="001568EA">
        <w:rPr>
          <w:rFonts w:eastAsia="Arial"/>
          <w:lang w:bidi="fr-FR"/>
        </w:rPr>
        <w:t xml:space="preserve">de mener une « organisation criminelle », </w:t>
      </w:r>
      <w:r w:rsidR="006255EC">
        <w:rPr>
          <w:rFonts w:eastAsia="Arial"/>
          <w:lang w:bidi="fr-FR"/>
        </w:rPr>
        <w:t>d’être corrompu</w:t>
      </w:r>
      <w:r w:rsidR="00362892">
        <w:rPr>
          <w:rFonts w:eastAsia="Arial"/>
          <w:lang w:bidi="fr-FR"/>
        </w:rPr>
        <w:t>s</w:t>
      </w:r>
      <w:r w:rsidR="006255EC">
        <w:rPr>
          <w:rFonts w:eastAsia="Arial"/>
          <w:lang w:bidi="fr-FR"/>
        </w:rPr>
        <w:t xml:space="preserve">, </w:t>
      </w:r>
      <w:r w:rsidR="0057046B">
        <w:rPr>
          <w:rFonts w:eastAsia="Arial"/>
          <w:lang w:bidi="fr-FR"/>
        </w:rPr>
        <w:t xml:space="preserve">d’être partie à un réseau frauduleux, </w:t>
      </w:r>
      <w:r w:rsidR="000514D3">
        <w:rPr>
          <w:rFonts w:eastAsia="Arial"/>
          <w:lang w:bidi="fr-FR"/>
        </w:rPr>
        <w:t>de protég</w:t>
      </w:r>
      <w:r w:rsidR="00362892">
        <w:rPr>
          <w:rFonts w:eastAsia="Arial"/>
          <w:lang w:bidi="fr-FR"/>
        </w:rPr>
        <w:t>er</w:t>
      </w:r>
      <w:r w:rsidR="000514D3">
        <w:rPr>
          <w:rFonts w:eastAsia="Arial"/>
          <w:lang w:bidi="fr-FR"/>
        </w:rPr>
        <w:t xml:space="preserve"> des avocats</w:t>
      </w:r>
      <w:r w:rsidR="006255EC">
        <w:rPr>
          <w:rFonts w:eastAsia="Arial"/>
          <w:lang w:bidi="fr-FR"/>
        </w:rPr>
        <w:t xml:space="preserve"> et </w:t>
      </w:r>
      <w:r w:rsidR="000514D3">
        <w:rPr>
          <w:rFonts w:eastAsia="Arial"/>
          <w:lang w:bidi="fr-FR"/>
        </w:rPr>
        <w:t>politiciens</w:t>
      </w:r>
      <w:r w:rsidR="006255EC">
        <w:rPr>
          <w:rFonts w:eastAsia="Arial"/>
          <w:lang w:bidi="fr-FR"/>
        </w:rPr>
        <w:t xml:space="preserve"> corrompus</w:t>
      </w:r>
      <w:r w:rsidR="000D7B75">
        <w:rPr>
          <w:rFonts w:eastAsia="Arial"/>
          <w:lang w:bidi="fr-FR"/>
        </w:rPr>
        <w:t>. En outre,</w:t>
      </w:r>
      <w:r w:rsidRPr="00DB6F0B">
        <w:rPr>
          <w:kern w:val="0"/>
        </w:rPr>
        <w:t xml:space="preserve"> </w:t>
      </w:r>
      <w:r w:rsidR="003F1F97">
        <w:rPr>
          <w:kern w:val="0"/>
        </w:rPr>
        <w:t xml:space="preserve">il </w:t>
      </w:r>
      <w:r w:rsidRPr="00DB6F0B">
        <w:rPr>
          <w:rFonts w:eastAsia="Arial"/>
          <w:lang w:bidi="fr-FR"/>
        </w:rPr>
        <w:t>décrit ses représentants en utilisant un langage vil et grossier.</w:t>
      </w:r>
    </w:p>
    <w:p w14:paraId="2976FF01" w14:textId="77777777" w:rsidR="0004210D" w:rsidRPr="00C87F7A" w:rsidRDefault="00893AC8" w:rsidP="008A1100">
      <w:pPr>
        <w:pStyle w:val="Paragraphe"/>
        <w:spacing w:line="240" w:lineRule="auto"/>
        <w:rPr>
          <w:rFonts w:eastAsia="Arial"/>
          <w:lang w:bidi="fr-FR"/>
        </w:rPr>
      </w:pPr>
      <w:r w:rsidRPr="003F1F97">
        <w:rPr>
          <w:rFonts w:eastAsia="Arial"/>
          <w:lang w:bidi="fr-FR"/>
        </w:rPr>
        <w:t xml:space="preserve"> </w:t>
      </w:r>
      <w:r w:rsidRPr="00C87F7A">
        <w:rPr>
          <w:rFonts w:eastAsia="Arial"/>
          <w:lang w:bidi="fr-FR"/>
        </w:rPr>
        <w:t xml:space="preserve">Dans son jugement du 4 septembre 2019 rendu dans la présente instance et par lequel </w:t>
      </w:r>
      <w:r w:rsidR="00957DF7" w:rsidRPr="00C87F7A">
        <w:rPr>
          <w:rFonts w:eastAsia="Arial"/>
          <w:lang w:bidi="fr-FR"/>
        </w:rPr>
        <w:t>la Cour</w:t>
      </w:r>
      <w:r>
        <w:rPr>
          <w:rFonts w:cs="Arial"/>
          <w:b/>
          <w:bCs/>
          <w:color w:val="000000"/>
        </w:rPr>
        <w:t xml:space="preserve"> </w:t>
      </w:r>
      <w:r w:rsidRPr="004E4722">
        <w:rPr>
          <w:rFonts w:cs="Arial"/>
          <w:color w:val="000000"/>
        </w:rPr>
        <w:t>émet</w:t>
      </w:r>
      <w:r>
        <w:rPr>
          <w:rFonts w:cs="Arial"/>
          <w:b/>
          <w:bCs/>
          <w:color w:val="000000"/>
        </w:rPr>
        <w:t xml:space="preserve"> </w:t>
      </w:r>
      <w:r>
        <w:rPr>
          <w:rFonts w:cs="Arial"/>
          <w:color w:val="000000"/>
        </w:rPr>
        <w:t>une injonction interlocutoire et ordonne à Facebook Canada Ltd et Facebook inc</w:t>
      </w:r>
      <w:r w:rsidRPr="003F1F97">
        <w:rPr>
          <w:rFonts w:cs="Arial"/>
          <w:color w:val="000000"/>
        </w:rPr>
        <w:t>.</w:t>
      </w:r>
      <w:r>
        <w:rPr>
          <w:rFonts w:cs="Arial"/>
          <w:color w:val="000000"/>
        </w:rPr>
        <w:t xml:space="preserve"> de désactiver et fermer les comptes Facebook de</w:t>
      </w:r>
      <w:r>
        <w:rPr>
          <w:rStyle w:val="apple-converted-space"/>
          <w:rFonts w:cs="Arial"/>
          <w:color w:val="000000"/>
        </w:rPr>
        <w:t> </w:t>
      </w:r>
      <w:r>
        <w:rPr>
          <w:rStyle w:val="solexhl"/>
          <w:rFonts w:cs="Arial"/>
          <w:color w:val="000000"/>
        </w:rPr>
        <w:t>Mario Roy</w:t>
      </w:r>
      <w:r>
        <w:rPr>
          <w:rStyle w:val="apple-converted-space"/>
          <w:rFonts w:cs="Arial"/>
          <w:color w:val="000000"/>
        </w:rPr>
        <w:t> </w:t>
      </w:r>
      <w:r>
        <w:rPr>
          <w:rFonts w:cs="Arial"/>
          <w:color w:val="000000"/>
        </w:rPr>
        <w:t>et de l’Unité,</w:t>
      </w:r>
      <w:r w:rsidRPr="00C87F7A">
        <w:rPr>
          <w:rFonts w:eastAsia="Arial"/>
          <w:lang w:bidi="fr-FR"/>
        </w:rPr>
        <w:t xml:space="preserve"> le </w:t>
      </w:r>
      <w:r w:rsidR="00F53C80">
        <w:rPr>
          <w:rFonts w:eastAsia="Arial"/>
          <w:lang w:bidi="fr-FR"/>
        </w:rPr>
        <w:t>j</w:t>
      </w:r>
      <w:r w:rsidRPr="003F1F97">
        <w:rPr>
          <w:rFonts w:eastAsia="Arial"/>
          <w:lang w:bidi="fr-FR"/>
        </w:rPr>
        <w:t>uge</w:t>
      </w:r>
      <w:r w:rsidRPr="00C87F7A">
        <w:rPr>
          <w:rFonts w:eastAsia="Arial"/>
          <w:lang w:bidi="fr-FR"/>
        </w:rPr>
        <w:t xml:space="preserve"> Castonguay </w:t>
      </w:r>
      <w:r>
        <w:rPr>
          <w:rFonts w:eastAsia="Arial"/>
          <w:lang w:bidi="fr-FR"/>
        </w:rPr>
        <w:t>écrit</w:t>
      </w:r>
      <w:r>
        <w:rPr>
          <w:rStyle w:val="Appelnotedebasdep"/>
          <w:rFonts w:eastAsia="Arial"/>
          <w:lang w:bidi="fr-FR"/>
        </w:rPr>
        <w:footnoteReference w:id="89"/>
      </w:r>
      <w:r>
        <w:rPr>
          <w:rFonts w:eastAsia="Arial"/>
          <w:lang w:bidi="fr-FR"/>
        </w:rPr>
        <w:t> :</w:t>
      </w:r>
    </w:p>
    <w:p w14:paraId="55218D66" w14:textId="77777777" w:rsidR="00C80F38" w:rsidRPr="00C87F7A" w:rsidRDefault="00893AC8" w:rsidP="008A1100">
      <w:pPr>
        <w:pStyle w:val="Citationenretrait"/>
      </w:pPr>
      <w:r w:rsidRPr="00C87F7A">
        <w:t>[3] Ainsi, le Barreau du Québec avance que Mario Roy et l’Unité citoyenne d’enquête anti-corruption, contreviennent au jugement Dubois en se servant notamment de l’outil Facebook.</w:t>
      </w:r>
    </w:p>
    <w:p w14:paraId="033A5933" w14:textId="77777777" w:rsidR="00C80F38" w:rsidRPr="00C87F7A" w:rsidRDefault="00893AC8" w:rsidP="008A1100">
      <w:pPr>
        <w:pStyle w:val="Citationenretrait"/>
      </w:pPr>
      <w:r w:rsidRPr="00C87F7A">
        <w:t>[4] Pour faire cette démonstration, ils produisent divers vidéos ainsi que leur retranscription par notes sténographiques.</w:t>
      </w:r>
    </w:p>
    <w:p w14:paraId="707CB684" w14:textId="77777777" w:rsidR="00C80F38" w:rsidRPr="00C87F7A" w:rsidRDefault="00893AC8" w:rsidP="008A1100">
      <w:pPr>
        <w:pStyle w:val="Citationenretrait"/>
      </w:pPr>
      <w:r w:rsidRPr="00C87F7A">
        <w:t>[5] Ainsi, le 30 avril 2019, Mario Roy y va des commentaires suivants sur Facebook, et nous citons :</w:t>
      </w:r>
    </w:p>
    <w:p w14:paraId="7B72E09C" w14:textId="77777777" w:rsidR="00C80F38" w:rsidRPr="00C87F7A" w:rsidRDefault="00893AC8" w:rsidP="008A1100">
      <w:pPr>
        <w:pStyle w:val="Citationenretrait"/>
        <w:ind w:left="1418" w:right="1424"/>
      </w:pPr>
      <w:r w:rsidRPr="00C87F7A">
        <w:t>J’avise l’ostie de Barreau du Québec que je prends ce dossier-là personnellement, puis si Éliane Hogue ou Claude G. Leduc veut m’accuser d’outrage au Tribunal, je m’en calisse. Je m’en calisse parce que, on m’a demandé aujourd’hui si j’étais prêt à accompagner la mère et la grand-mère dans une poursuite judiciaire, parce qu’ils ont pas les moyens de se payer un avocat véreux à trois cents piastres (300 $) de l’heure.</w:t>
      </w:r>
    </w:p>
    <w:p w14:paraId="011FBEC8" w14:textId="77777777" w:rsidR="00C80F38" w:rsidRPr="00C87F7A" w:rsidRDefault="00893AC8" w:rsidP="008A1100">
      <w:pPr>
        <w:pStyle w:val="Citationenretrait"/>
        <w:ind w:left="1418" w:right="1424"/>
      </w:pPr>
      <w:r w:rsidRPr="00C87F7A">
        <w:t xml:space="preserve">Ça fait que je vais préparer et je vais rencontrer les parents, je vais aller aux obsèques, puis dans trois (3) semaines, je vais m’asseoir avec la famille, je vais faire la mise en demeure, puis c’est clair qu’il va avoir une ostie de poursuite </w:t>
      </w:r>
      <w:r w:rsidR="00766240" w:rsidRPr="00C87F7A">
        <w:t>judiciaire. [</w:t>
      </w:r>
      <w:r w:rsidRPr="00C87F7A">
        <w:t>2</w:t>
      </w:r>
      <w:r w:rsidR="00343A1E" w:rsidRPr="00C87F7A">
        <w:t>- P-4</w:t>
      </w:r>
      <w:r w:rsidR="004F3BBF" w:rsidRPr="00C87F7A">
        <w:t>5</w:t>
      </w:r>
      <w:r w:rsidR="003132F4" w:rsidRPr="00C87F7A">
        <w:t xml:space="preserve"> : </w:t>
      </w:r>
      <w:r w:rsidR="00766240" w:rsidRPr="00C87F7A">
        <w:t>transcription d’une vidéo Facebook de Mario Roy du 30 avril 2019</w:t>
      </w:r>
      <w:r w:rsidRPr="00C87F7A">
        <w:t>]</w:t>
      </w:r>
    </w:p>
    <w:p w14:paraId="39E6A6BE" w14:textId="77777777" w:rsidR="00C80F38" w:rsidRPr="00C87F7A" w:rsidRDefault="00893AC8" w:rsidP="008A1100">
      <w:pPr>
        <w:pStyle w:val="Citationenretrait"/>
      </w:pPr>
      <w:r w:rsidRPr="00C87F7A">
        <w:t>[6]  Également, le 1er mai 2019 et nous citons :</w:t>
      </w:r>
    </w:p>
    <w:p w14:paraId="6097A7AE" w14:textId="77777777" w:rsidR="00C80F38" w:rsidRPr="00C87F7A" w:rsidRDefault="00893AC8" w:rsidP="008A1100">
      <w:pPr>
        <w:pStyle w:val="Citationenretrait"/>
        <w:ind w:left="1418" w:right="1424"/>
      </w:pPr>
      <w:r w:rsidRPr="00C87F7A">
        <w:t>Et j’ai fait un vidéo hier, dont… dans lequel dossier impliquant la jeune fille décédée, comme quoi j’avais été contacté et qu’on m’avait demandé de faire les poursuites, pas les poursuites, faire…. préparer les dossiers. On m’a demandé de préparer les dossiers parce que, dans ce que je fais, je le fais, je le fais mieux que les avocats, puis je le fais mieux que des enquêteurs de police du BEI, puis je le fais mieux que des procureurs de la Couronne, et surtout, je le fais mieux que Claude G. Leduc et Éliane Hogue.[3</w:t>
      </w:r>
      <w:r w:rsidR="0084516A" w:rsidRPr="00C87F7A">
        <w:t> : P-49, transcription d’une vidéo Facebook de Mario Roy du 1</w:t>
      </w:r>
      <w:r w:rsidR="0084516A" w:rsidRPr="00C87F7A">
        <w:rPr>
          <w:vertAlign w:val="superscript"/>
        </w:rPr>
        <w:t>er</w:t>
      </w:r>
      <w:r w:rsidR="0084516A" w:rsidRPr="00C87F7A">
        <w:t> mai 2019,</w:t>
      </w:r>
      <w:r w:rsidRPr="00C87F7A">
        <w:t>]</w:t>
      </w:r>
    </w:p>
    <w:p w14:paraId="3508AFA7" w14:textId="77777777" w:rsidR="004940E4" w:rsidRPr="00C87F7A" w:rsidRDefault="00893AC8" w:rsidP="008A1100">
      <w:pPr>
        <w:pStyle w:val="Citationenretrait"/>
      </w:pPr>
      <w:r w:rsidRPr="00C87F7A">
        <w:t>…</w:t>
      </w:r>
    </w:p>
    <w:p w14:paraId="294773A9" w14:textId="77777777" w:rsidR="0004210D" w:rsidRDefault="00893AC8" w:rsidP="008A1100">
      <w:pPr>
        <w:pStyle w:val="Citationenretrait"/>
        <w:rPr>
          <w:kern w:val="0"/>
          <w:szCs w:val="24"/>
        </w:rPr>
      </w:pPr>
      <w:r>
        <w:t>[</w:t>
      </w:r>
      <w:bookmarkStart w:id="64" w:name="par16"/>
      <w:r>
        <w:t>16</w:t>
      </w:r>
      <w:bookmarkEnd w:id="64"/>
      <w:r>
        <w:t>]</w:t>
      </w:r>
      <w:r w:rsidR="00F53C80">
        <w:rPr>
          <w:sz w:val="14"/>
          <w:szCs w:val="14"/>
        </w:rPr>
        <w:t xml:space="preserve">  </w:t>
      </w:r>
      <w:r w:rsidRPr="00F53C80">
        <w:rPr>
          <w:szCs w:val="22"/>
        </w:rPr>
        <w:t>Force</w:t>
      </w:r>
      <w:r>
        <w:t xml:space="preserve"> est de constater que les échanges, mis en preuve du compte Facebook, dépassent le cadre des gestes posés en contravention de l’ordonnance du juge Dubois et </w:t>
      </w:r>
      <w:r w:rsidRPr="00C87F7A">
        <w:rPr>
          <w:u w:val="single"/>
        </w:rPr>
        <w:t>constituent une attaque en règle contre l’ensemble du système judiciaire et de ses intervenants</w:t>
      </w:r>
      <w:r>
        <w:t>.</w:t>
      </w:r>
    </w:p>
    <w:p w14:paraId="352CD3A4" w14:textId="77777777" w:rsidR="0004210D" w:rsidRDefault="00893AC8" w:rsidP="008A1100">
      <w:pPr>
        <w:pStyle w:val="Citationenretrait"/>
      </w:pPr>
      <w:r>
        <w:t>[</w:t>
      </w:r>
      <w:bookmarkStart w:id="65" w:name="par17"/>
      <w:r>
        <w:t>17</w:t>
      </w:r>
      <w:bookmarkEnd w:id="65"/>
      <w:r>
        <w:t>]</w:t>
      </w:r>
      <w:r>
        <w:rPr>
          <w:sz w:val="14"/>
          <w:szCs w:val="14"/>
        </w:rPr>
        <w:t>  </w:t>
      </w:r>
      <w:r>
        <w:t xml:space="preserve">Que l’on soit en désaccord avec la façon de pratiquer le droit, de certains avocats, </w:t>
      </w:r>
      <w:r w:rsidRPr="00C87F7A">
        <w:rPr>
          <w:u w:val="single"/>
        </w:rPr>
        <w:t>ne justifie pas de tirer à boulets rouges et en terme injurieux sur l’organisme à qui le législateur a confié le soin de protéger le public, soit le Barreau du Québec, ses représentants et les avocats mandatés par celui-ci dans la présente affaire</w:t>
      </w:r>
      <w:r>
        <w:t>.</w:t>
      </w:r>
    </w:p>
    <w:p w14:paraId="13C00BBA" w14:textId="77777777" w:rsidR="0004210D" w:rsidRDefault="00893AC8" w:rsidP="008A1100">
      <w:pPr>
        <w:pStyle w:val="Citationenretrait"/>
      </w:pPr>
      <w:r>
        <w:t>[</w:t>
      </w:r>
      <w:bookmarkStart w:id="66" w:name="par18"/>
      <w:r>
        <w:t>18</w:t>
      </w:r>
      <w:bookmarkEnd w:id="66"/>
      <w:r>
        <w:t>]</w:t>
      </w:r>
      <w:r>
        <w:rPr>
          <w:sz w:val="14"/>
          <w:szCs w:val="14"/>
        </w:rPr>
        <w:t>  </w:t>
      </w:r>
      <w:r>
        <w:t>Cette simple démonstration aurait été suffisante pour donner raison au Barreau du Québec quant à la fermeture du compte Facebook des défendeurs si elle avait été demandée sur cette base.</w:t>
      </w:r>
    </w:p>
    <w:p w14:paraId="498EAD8B" w14:textId="77777777" w:rsidR="0004210D" w:rsidRDefault="00893AC8" w:rsidP="008A1100">
      <w:pPr>
        <w:pStyle w:val="Citationenretrait"/>
      </w:pPr>
      <w:r>
        <w:t>[</w:t>
      </w:r>
      <w:bookmarkStart w:id="67" w:name="par19"/>
      <w:r>
        <w:t>19</w:t>
      </w:r>
      <w:bookmarkEnd w:id="67"/>
      <w:r>
        <w:t>]</w:t>
      </w:r>
      <w:r>
        <w:rPr>
          <w:sz w:val="14"/>
          <w:szCs w:val="14"/>
        </w:rPr>
        <w:t xml:space="preserve">   </w:t>
      </w:r>
      <w:r w:rsidRPr="00C87F7A">
        <w:rPr>
          <w:u w:val="single"/>
        </w:rPr>
        <w:t>L’utilisation que fait Mario Roy et son alter ego, l’Unité citoyenne d’enquête anti-corruption, de son compte Facebook,</w:t>
      </w:r>
      <w:r>
        <w:t xml:space="preserve"> sert non seulement à contrevenir l’ordonnance du juge Dubois, </w:t>
      </w:r>
      <w:r w:rsidRPr="00C87F7A">
        <w:rPr>
          <w:u w:val="single"/>
        </w:rPr>
        <w:t>mais sert également non pas à critiquer le Barreau du Québec et ses membres, mais bien à attiser la haine et la désobéissance civile, ce qui est totalement inacceptable dans une société de droit, telle que la nôtre</w:t>
      </w:r>
      <w:r>
        <w:t>.</w:t>
      </w:r>
    </w:p>
    <w:p w14:paraId="01A49893" w14:textId="77777777" w:rsidR="005E4C60" w:rsidRPr="00C87F7A" w:rsidRDefault="00893AC8" w:rsidP="008A1100">
      <w:pPr>
        <w:pStyle w:val="Citationenretrait"/>
        <w:jc w:val="right"/>
      </w:pPr>
      <w:r w:rsidRPr="00C87F7A">
        <w:t>[</w:t>
      </w:r>
      <w:r w:rsidR="008B068D" w:rsidRPr="00C87F7A">
        <w:t>Sou</w:t>
      </w:r>
      <w:r w:rsidR="00B25569" w:rsidRPr="00C87F7A">
        <w:t>lignement</w:t>
      </w:r>
      <w:r w:rsidR="00F53C80">
        <w:t>s</w:t>
      </w:r>
      <w:r w:rsidR="00B25569" w:rsidRPr="00C87F7A">
        <w:t xml:space="preserve"> du Tribunal</w:t>
      </w:r>
      <w:r w:rsidR="008B068D" w:rsidRPr="00C87F7A">
        <w:t>]</w:t>
      </w:r>
    </w:p>
    <w:p w14:paraId="227DE22C" w14:textId="77777777" w:rsidR="00720573" w:rsidRDefault="00893AC8">
      <w:pPr>
        <w:rPr>
          <w:kern w:val="28"/>
        </w:rPr>
      </w:pPr>
      <w:r>
        <w:br w:type="page"/>
      </w:r>
    </w:p>
    <w:p w14:paraId="525A7040" w14:textId="77777777" w:rsidR="00964E8A" w:rsidRPr="00C87F7A" w:rsidRDefault="00893AC8" w:rsidP="008A1100">
      <w:pPr>
        <w:pStyle w:val="Paragraphe"/>
        <w:numPr>
          <w:ilvl w:val="0"/>
          <w:numId w:val="2"/>
        </w:numPr>
        <w:tabs>
          <w:tab w:val="clear" w:pos="360"/>
        </w:tabs>
        <w:spacing w:line="240" w:lineRule="auto"/>
      </w:pPr>
      <w:r>
        <w:t>S</w:t>
      </w:r>
      <w:r w:rsidRPr="00964E8A">
        <w:t>ix ans se sont écoulés depuis le prononcé de ce jugement. Malgré les constats et conclusions qui y sont formulés, les défendeurs ont néanmoins continué de publier et de diffuser des propos diffamatoires à l’endroit du Barreau entre les mois de juillet 2020 et juillet 2025, tel qu’il appert des extraits reproduits ci-dessus.</w:t>
      </w:r>
    </w:p>
    <w:p w14:paraId="72912A6A" w14:textId="77777777" w:rsidR="00D322A0" w:rsidRPr="00C87F7A" w:rsidRDefault="00893AC8" w:rsidP="008A1100">
      <w:pPr>
        <w:pStyle w:val="Paragraphe"/>
        <w:numPr>
          <w:ilvl w:val="0"/>
          <w:numId w:val="2"/>
        </w:numPr>
        <w:tabs>
          <w:tab w:val="clear" w:pos="360"/>
        </w:tabs>
        <w:spacing w:line="240" w:lineRule="auto"/>
      </w:pPr>
      <w:r w:rsidRPr="00C87F7A">
        <w:t xml:space="preserve">Comme le souligne la Cour suprême dans </w:t>
      </w:r>
      <w:r w:rsidRPr="00C87F7A">
        <w:rPr>
          <w:i/>
          <w:iCs/>
        </w:rPr>
        <w:t>Prud’homme</w:t>
      </w:r>
      <w:r w:rsidRPr="00C87F7A">
        <w:t>, la liberté de parole n’est pas absolue. Tout droit à la liberté d’expression trouve sa limite dans le droit d’autrui au respect de sa réputation</w:t>
      </w:r>
      <w:bookmarkStart w:id="68" w:name="_Ref224560853"/>
      <w:r>
        <w:rPr>
          <w:rStyle w:val="Appelnotedebasdep"/>
        </w:rPr>
        <w:footnoteReference w:id="90"/>
      </w:r>
      <w:bookmarkEnd w:id="68"/>
      <w:r w:rsidRPr="00C87F7A">
        <w:t xml:space="preserve"> :</w:t>
      </w:r>
    </w:p>
    <w:p w14:paraId="461520E4" w14:textId="77777777" w:rsidR="00242FE9" w:rsidRPr="00C87F7A" w:rsidRDefault="00893AC8" w:rsidP="008A1100">
      <w:pPr>
        <w:pStyle w:val="Citationenretrait"/>
        <w:rPr>
          <w:lang w:eastAsia="fr-CA"/>
        </w:rPr>
      </w:pPr>
      <w:r w:rsidRPr="00C87F7A">
        <w:rPr>
          <w:lang w:eastAsia="fr-CA"/>
        </w:rPr>
        <w:t>43</w:t>
      </w:r>
      <w:r w:rsidRPr="00C87F7A">
        <w:rPr>
          <w:sz w:val="14"/>
          <w:szCs w:val="14"/>
          <w:lang w:eastAsia="fr-CA"/>
        </w:rPr>
        <w:t>                               </w:t>
      </w:r>
      <w:r w:rsidRPr="00C87F7A">
        <w:rPr>
          <w:lang w:eastAsia="fr-CA"/>
        </w:rPr>
        <w:t>Cette liberté de parole n’est toutefois pas absolue.  Elle est limitée, entre autres, par les exigences du droit d’autrui à la protection de sa réputation.  Comme le soulignait le juge Cory dans l’arrêt </w:t>
      </w:r>
      <w:r w:rsidRPr="00C87F7A">
        <w:rPr>
          <w:i/>
          <w:iCs/>
          <w:lang w:eastAsia="fr-CA"/>
        </w:rPr>
        <w:t>Hill c. Église de scientologie de Toronto</w:t>
      </w:r>
      <w:r w:rsidRPr="00C87F7A">
        <w:rPr>
          <w:lang w:eastAsia="fr-CA"/>
        </w:rPr>
        <w:t>, [1995] 2 R.C.S. 1130, par. 108, la réputation fait partie de ces attributs de la personnalité que doit protéger toute société démocratique soucieuse du respect de la personne :</w:t>
      </w:r>
    </w:p>
    <w:p w14:paraId="339B9263" w14:textId="77777777" w:rsidR="00242FE9" w:rsidRPr="00C87F7A" w:rsidRDefault="00893AC8" w:rsidP="008A1100">
      <w:pPr>
        <w:pStyle w:val="Citationenretrait"/>
        <w:ind w:left="1134" w:right="1140"/>
        <w:rPr>
          <w:lang w:eastAsia="fr-CA"/>
        </w:rPr>
      </w:pPr>
      <w:r w:rsidRPr="00C87F7A">
        <w:rPr>
          <w:lang w:eastAsia="fr-CA"/>
        </w:rPr>
        <w:t> Les démocraties ont toujours reconnu et révéré l’importance fondamentale de la personne. Cette importance doit, à son tour, reposer sur la bonne réputation. Cette bonne réputation, qui rehausse le sens de valeur et de dignité d’une personne, peut également être très rapidement et complètement détruite par de fausses allégations. Et une réputation ternie par le libelle peut rarement regagner son lustre passé. Une société démocratique a donc intérêt à s’assurer que ses membres puissent jouir d’une bonne réputation et la protéger aussi longtemps qu’ils en sont dignes.</w:t>
      </w:r>
    </w:p>
    <w:p w14:paraId="724BA558" w14:textId="77777777" w:rsidR="00495644" w:rsidRPr="00C87F7A" w:rsidRDefault="00893AC8" w:rsidP="008A1100">
      <w:pPr>
        <w:pStyle w:val="Paragraphe"/>
        <w:spacing w:line="240" w:lineRule="auto"/>
      </w:pPr>
      <w:r w:rsidRPr="00C87F7A">
        <w:rPr>
          <w:rFonts w:ascii="Times New Roman" w:hAnsi="Times New Roman"/>
          <w:color w:val="000000"/>
          <w:sz w:val="27"/>
          <w:szCs w:val="27"/>
          <w:lang w:eastAsia="fr-CA"/>
        </w:rPr>
        <w:t> </w:t>
      </w:r>
      <w:r w:rsidR="00CB3224" w:rsidRPr="00C87F7A">
        <w:t>S’</w:t>
      </w:r>
      <w:r w:rsidR="00827BEA" w:rsidRPr="00C87F7A">
        <w:t>il est vrai que la liberté d’expression est un droit fondamental dans notre société, ce droit est balisé par un autre droit, tout aussi fondamental qu’est celui de la protection de la réputation.</w:t>
      </w:r>
    </w:p>
    <w:p w14:paraId="5B1328D0" w14:textId="77777777" w:rsidR="00AF411C" w:rsidRPr="00C87F7A" w:rsidRDefault="00893AC8" w:rsidP="008A1100">
      <w:pPr>
        <w:pStyle w:val="Paragraphe"/>
        <w:spacing w:line="240" w:lineRule="auto"/>
      </w:pPr>
      <w:r w:rsidRPr="00C87F7A">
        <w:t>En l’esp</w:t>
      </w:r>
      <w:r w:rsidR="00A2523F" w:rsidRPr="00C87F7A">
        <w:t xml:space="preserve">èce, </w:t>
      </w:r>
      <w:r w:rsidR="00255F1E" w:rsidRPr="00C87F7A">
        <w:t>M. Roy et l’Unité</w:t>
      </w:r>
      <w:r w:rsidR="00B07DBC" w:rsidRPr="00C87F7A">
        <w:t xml:space="preserve">, par </w:t>
      </w:r>
      <w:r w:rsidR="00B35E8D" w:rsidRPr="00C87F7A">
        <w:t>leur</w:t>
      </w:r>
      <w:r w:rsidR="00B07DBC" w:rsidRPr="00C87F7A">
        <w:t xml:space="preserve">s propos </w:t>
      </w:r>
      <w:r w:rsidR="00BD17C1" w:rsidRPr="00C87F7A">
        <w:t xml:space="preserve">injurieux et </w:t>
      </w:r>
      <w:r w:rsidR="00B07DBC" w:rsidRPr="00C87F7A">
        <w:t>virulent</w:t>
      </w:r>
      <w:r w:rsidR="00F53C80">
        <w:t>s</w:t>
      </w:r>
      <w:r w:rsidR="00B35E8D" w:rsidRPr="00C87F7A">
        <w:t xml:space="preserve"> à l’égard du Barreau et </w:t>
      </w:r>
      <w:r w:rsidR="00FB0638" w:rsidRPr="00C87F7A">
        <w:t>leurs représentants</w:t>
      </w:r>
      <w:r w:rsidR="00BD17C1" w:rsidRPr="00C87F7A">
        <w:t xml:space="preserve">, </w:t>
      </w:r>
      <w:r w:rsidR="0098092E" w:rsidRPr="00C87F7A">
        <w:t xml:space="preserve">ont </w:t>
      </w:r>
      <w:r w:rsidR="00BD17C1" w:rsidRPr="00C87F7A">
        <w:t>franchi la ligne</w:t>
      </w:r>
      <w:r w:rsidR="00C44552" w:rsidRPr="00C87F7A">
        <w:t xml:space="preserve"> entre ce qui est l’exercice </w:t>
      </w:r>
      <w:r w:rsidR="0040624F" w:rsidRPr="00C87F7A">
        <w:t>légitime</w:t>
      </w:r>
      <w:r w:rsidR="00C44552" w:rsidRPr="00C87F7A">
        <w:t xml:space="preserve"> du droit à la liberté </w:t>
      </w:r>
      <w:r w:rsidR="0040624F" w:rsidRPr="00C87F7A">
        <w:t>d’expression et ce</w:t>
      </w:r>
      <w:r w:rsidR="00A26623" w:rsidRPr="00C87F7A">
        <w:t xml:space="preserve"> qui ne l’est pas.</w:t>
      </w:r>
    </w:p>
    <w:p w14:paraId="0911998B" w14:textId="77777777" w:rsidR="00FB0638" w:rsidRPr="00C87F7A" w:rsidRDefault="00893AC8" w:rsidP="008A1100">
      <w:pPr>
        <w:pStyle w:val="Paragraphe"/>
        <w:spacing w:line="240" w:lineRule="auto"/>
      </w:pPr>
      <w:r w:rsidRPr="00C87F7A">
        <w:t> </w:t>
      </w:r>
      <w:r w:rsidR="00936DFB" w:rsidRPr="00C87F7A">
        <w:t>Ils commettent une</w:t>
      </w:r>
      <w:r w:rsidRPr="00C87F7A">
        <w:t xml:space="preserve"> faute</w:t>
      </w:r>
      <w:r w:rsidR="00936DFB" w:rsidRPr="00C87F7A">
        <w:t xml:space="preserve"> vu </w:t>
      </w:r>
      <w:r w:rsidRPr="00C87F7A">
        <w:t>le caractère illicite de l'atteinte à la réputation</w:t>
      </w:r>
      <w:r w:rsidR="00936DFB" w:rsidRPr="00C87F7A">
        <w:t xml:space="preserve"> du Barreau</w:t>
      </w:r>
      <w:r>
        <w:rPr>
          <w:rStyle w:val="Appelnotedebasdep"/>
        </w:rPr>
        <w:footnoteReference w:id="91"/>
      </w:r>
      <w:r w:rsidR="00934937" w:rsidRPr="00C87F7A">
        <w:t xml:space="preserve"> et parce que leur </w:t>
      </w:r>
      <w:r w:rsidRPr="00C87F7A">
        <w:t>conduite s'écarte de la norme de comportement qu'adopterait une personne raisonnable</w:t>
      </w:r>
      <w:r>
        <w:rPr>
          <w:vertAlign w:val="superscript"/>
        </w:rPr>
        <w:footnoteReference w:id="92"/>
      </w:r>
      <w:r w:rsidR="00526528" w:rsidRPr="00C87F7A">
        <w:t>.</w:t>
      </w:r>
    </w:p>
    <w:p w14:paraId="033C2525" w14:textId="77777777" w:rsidR="00B013CB" w:rsidRDefault="00893AC8" w:rsidP="008A1100">
      <w:pPr>
        <w:pStyle w:val="Paragraphe"/>
        <w:numPr>
          <w:ilvl w:val="0"/>
          <w:numId w:val="2"/>
        </w:numPr>
        <w:tabs>
          <w:tab w:val="clear" w:pos="360"/>
        </w:tabs>
        <w:spacing w:line="240" w:lineRule="auto"/>
      </w:pPr>
      <w:r>
        <w:t>Le Barreau a prouvé que M. Roy</w:t>
      </w:r>
      <w:r w:rsidR="00700F76" w:rsidRPr="00700F76">
        <w:t xml:space="preserve"> </w:t>
      </w:r>
      <w:r w:rsidR="00700F76">
        <w:t xml:space="preserve">et </w:t>
      </w:r>
      <w:r w:rsidR="00700F76" w:rsidRPr="00C87F7A">
        <w:t>l’</w:t>
      </w:r>
      <w:r w:rsidR="00255F1E" w:rsidRPr="00C87F7A">
        <w:t>U</w:t>
      </w:r>
      <w:r w:rsidR="00700F76" w:rsidRPr="00C87F7A">
        <w:t>nité</w:t>
      </w:r>
      <w:r w:rsidR="00700F76">
        <w:t xml:space="preserve"> ont commis</w:t>
      </w:r>
      <w:r w:rsidR="00700F76" w:rsidRPr="00DC2EF0">
        <w:t xml:space="preserve"> une faute </w:t>
      </w:r>
      <w:r w:rsidR="00700F76">
        <w:t>en</w:t>
      </w:r>
      <w:r w:rsidR="00700F76" w:rsidRPr="00DC2EF0">
        <w:t xml:space="preserve"> publi</w:t>
      </w:r>
      <w:r w:rsidR="00700F76">
        <w:t>ant</w:t>
      </w:r>
      <w:r w:rsidR="00700F76" w:rsidRPr="00DC2EF0">
        <w:t xml:space="preserve"> sur les réseaux sociaux des écrits ou vidéos diffamatoires à l’égard du Barreau ou de ses employés, représentants et dirigeants</w:t>
      </w:r>
      <w:r w:rsidR="00352E88">
        <w:t>.</w:t>
      </w:r>
    </w:p>
    <w:p w14:paraId="3569A009" w14:textId="77777777" w:rsidR="005A31BC" w:rsidRPr="00E45009" w:rsidRDefault="00893AC8" w:rsidP="008A1100">
      <w:pPr>
        <w:pStyle w:val="Titre2"/>
        <w:numPr>
          <w:ilvl w:val="0"/>
          <w:numId w:val="5"/>
        </w:numPr>
      </w:pPr>
      <w:bookmarkStart w:id="69" w:name="_Toc256000017"/>
      <w:bookmarkStart w:id="70" w:name="_Toc224727336"/>
      <w:r w:rsidRPr="00E45009">
        <w:t>L</w:t>
      </w:r>
      <w:r w:rsidR="009364A9" w:rsidRPr="00E45009">
        <w:t xml:space="preserve">’article </w:t>
      </w:r>
      <w:r w:rsidRPr="00E45009">
        <w:t>128</w:t>
      </w:r>
      <w:r w:rsidR="00134938">
        <w:t>.</w:t>
      </w:r>
      <w:r w:rsidRPr="00E45009">
        <w:t xml:space="preserve">1b) de la </w:t>
      </w:r>
      <w:r w:rsidRPr="00E45009">
        <w:rPr>
          <w:iCs/>
        </w:rPr>
        <w:t>Loi sur le Barreau</w:t>
      </w:r>
      <w:r w:rsidRPr="00E45009">
        <w:t xml:space="preserve"> et l’article 87 alinéa 3 du </w:t>
      </w:r>
      <w:r w:rsidRPr="00E45009">
        <w:rPr>
          <w:iCs/>
        </w:rPr>
        <w:t>Code de procédure civile</w:t>
      </w:r>
      <w:r w:rsidRPr="00E45009">
        <w:t xml:space="preserve"> sont-</w:t>
      </w:r>
      <w:r w:rsidR="00134938">
        <w:t>ils</w:t>
      </w:r>
      <w:r w:rsidRPr="00E45009">
        <w:t xml:space="preserve"> invalides parce qu’</w:t>
      </w:r>
      <w:r w:rsidR="00134938">
        <w:t>ils</w:t>
      </w:r>
      <w:r w:rsidRPr="00E45009">
        <w:t xml:space="preserve"> dérogent aux articles 2, 3, 37.1 de la </w:t>
      </w:r>
      <w:r w:rsidRPr="00E45009">
        <w:rPr>
          <w:iCs/>
        </w:rPr>
        <w:t>Charte des droits et libertés de la personne</w:t>
      </w:r>
      <w:r w:rsidR="003D3189">
        <w:rPr>
          <w:i w:val="0"/>
        </w:rPr>
        <w:t xml:space="preserve"> </w:t>
      </w:r>
      <w:r w:rsidR="003D3189">
        <w:rPr>
          <w:iCs/>
        </w:rPr>
        <w:t>ou l’article 192 du Code de procédure pénale</w:t>
      </w:r>
      <w:r w:rsidRPr="00E45009">
        <w:t>?</w:t>
      </w:r>
      <w:bookmarkEnd w:id="69"/>
      <w:bookmarkEnd w:id="70"/>
    </w:p>
    <w:p w14:paraId="302D3777" w14:textId="77777777" w:rsidR="002B20F5" w:rsidRDefault="00893AC8" w:rsidP="008A1100">
      <w:pPr>
        <w:pStyle w:val="Titre3"/>
        <w:numPr>
          <w:ilvl w:val="1"/>
          <w:numId w:val="13"/>
        </w:numPr>
        <w:ind w:left="1701" w:hanging="567"/>
        <w:rPr>
          <w:b/>
          <w:bCs/>
        </w:rPr>
      </w:pPr>
      <w:bookmarkStart w:id="71" w:name="_Toc256000018"/>
      <w:bookmarkStart w:id="72" w:name="_Toc224727337"/>
      <w:r>
        <w:rPr>
          <w:b/>
          <w:bCs/>
        </w:rPr>
        <w:t>Position des parties</w:t>
      </w:r>
      <w:bookmarkEnd w:id="71"/>
      <w:bookmarkEnd w:id="72"/>
    </w:p>
    <w:p w14:paraId="51B59191" w14:textId="77777777" w:rsidR="002B20F5" w:rsidRDefault="00893AC8" w:rsidP="008A1100">
      <w:pPr>
        <w:pStyle w:val="Paragraphe"/>
        <w:spacing w:line="240" w:lineRule="auto"/>
      </w:pPr>
      <w:r>
        <w:t xml:space="preserve">Dans </w:t>
      </w:r>
      <w:r w:rsidR="002B3377">
        <w:t xml:space="preserve">son </w:t>
      </w:r>
      <w:r w:rsidR="002B3377" w:rsidRPr="002B3377">
        <w:t xml:space="preserve">Avis au </w:t>
      </w:r>
      <w:r w:rsidR="006967F0">
        <w:t>PGQ</w:t>
      </w:r>
      <w:r w:rsidR="002B3377" w:rsidRPr="002B3377">
        <w:t xml:space="preserve">, M. Roy, conteste </w:t>
      </w:r>
      <w:bookmarkStart w:id="73" w:name="_Hlk224217351"/>
      <w:r w:rsidR="002B3377" w:rsidRPr="002B3377">
        <w:t>la constitutionnalité de l’article 128</w:t>
      </w:r>
      <w:r w:rsidR="00134938">
        <w:t>.</w:t>
      </w:r>
      <w:r w:rsidR="002B3377" w:rsidRPr="002B3377">
        <w:t xml:space="preserve">1b) de la </w:t>
      </w:r>
      <w:r w:rsidR="002B3377" w:rsidRPr="002B3377">
        <w:rPr>
          <w:i/>
          <w:iCs/>
        </w:rPr>
        <w:t>Loi sur le Barreau</w:t>
      </w:r>
      <w:r w:rsidR="002B3377" w:rsidRPr="002B3377">
        <w:t xml:space="preserve"> </w:t>
      </w:r>
      <w:r w:rsidR="00F97EB4">
        <w:t>et</w:t>
      </w:r>
      <w:r w:rsidR="002B3377" w:rsidRPr="002B3377">
        <w:t xml:space="preserve"> l’article 87 </w:t>
      </w:r>
      <w:r w:rsidR="00134938">
        <w:t>alinéa 3</w:t>
      </w:r>
      <w:r w:rsidR="002B3377" w:rsidRPr="002B3377">
        <w:t xml:space="preserve"> du </w:t>
      </w:r>
      <w:r w:rsidR="002B3377" w:rsidRPr="002B3377">
        <w:rPr>
          <w:i/>
          <w:iCs/>
        </w:rPr>
        <w:t>Code de procédure civile</w:t>
      </w:r>
      <w:r w:rsidR="00F97EB4">
        <w:t xml:space="preserve"> au motif qu’ils sont contraires aux droits garantis par les articles 2, 3 et 37.1 de la </w:t>
      </w:r>
      <w:r w:rsidR="00F97EB4">
        <w:rPr>
          <w:i/>
          <w:iCs/>
        </w:rPr>
        <w:t>Charte québécoise</w:t>
      </w:r>
      <w:r w:rsidR="00F97EB4">
        <w:t>.</w:t>
      </w:r>
    </w:p>
    <w:bookmarkEnd w:id="73"/>
    <w:p w14:paraId="3D9E5080" w14:textId="77777777" w:rsidR="005059F3" w:rsidRDefault="00893AC8" w:rsidP="008A1100">
      <w:pPr>
        <w:pStyle w:val="Paragraphe"/>
        <w:spacing w:line="240" w:lineRule="auto"/>
      </w:pPr>
      <w:r>
        <w:t>M.</w:t>
      </w:r>
      <w:r w:rsidR="00134938">
        <w:t xml:space="preserve"> </w:t>
      </w:r>
      <w:r>
        <w:t>Roy n’a pas traité de</w:t>
      </w:r>
      <w:r w:rsidR="00130147">
        <w:t>s</w:t>
      </w:r>
      <w:r>
        <w:t xml:space="preserve"> argument</w:t>
      </w:r>
      <w:r w:rsidR="00130147">
        <w:t>s soulevés dans son Avis au Procureur général l</w:t>
      </w:r>
      <w:r>
        <w:t>ors de ses observation</w:t>
      </w:r>
      <w:r w:rsidR="00130147">
        <w:t xml:space="preserve">s. </w:t>
      </w:r>
      <w:r w:rsidR="00FD7D66">
        <w:t>C</w:t>
      </w:r>
      <w:r w:rsidR="00A67EF7">
        <w:t>’</w:t>
      </w:r>
      <w:r w:rsidR="00130147">
        <w:t xml:space="preserve">est le Tribunal qui lui </w:t>
      </w:r>
      <w:r w:rsidR="00A67EF7">
        <w:t xml:space="preserve">a rappelé qu’il avait déposé un avis contestant la conditionnalité de l’article 128 de la </w:t>
      </w:r>
      <w:r w:rsidR="00A67EF7" w:rsidRPr="00B97AFA">
        <w:rPr>
          <w:i/>
          <w:iCs/>
        </w:rPr>
        <w:t xml:space="preserve">Loi sur le </w:t>
      </w:r>
      <w:r w:rsidR="00B97AFA">
        <w:rPr>
          <w:i/>
          <w:iCs/>
        </w:rPr>
        <w:t>B</w:t>
      </w:r>
      <w:r w:rsidR="00A67EF7" w:rsidRPr="00B97AFA">
        <w:rPr>
          <w:i/>
          <w:iCs/>
        </w:rPr>
        <w:t>arreau</w:t>
      </w:r>
      <w:r w:rsidR="00A67EF7">
        <w:t xml:space="preserve"> et l’article 87</w:t>
      </w:r>
      <w:r w:rsidR="00134938" w:rsidRPr="00134938">
        <w:t xml:space="preserve"> </w:t>
      </w:r>
      <w:r w:rsidR="00134938">
        <w:t xml:space="preserve">alinéa </w:t>
      </w:r>
      <w:r w:rsidR="00A67EF7">
        <w:t xml:space="preserve">3 </w:t>
      </w:r>
      <w:r w:rsidR="00A67EF7" w:rsidRPr="00134938">
        <w:rPr>
          <w:i/>
        </w:rPr>
        <w:t>C.p.c</w:t>
      </w:r>
      <w:r w:rsidR="00A67EF7">
        <w:t xml:space="preserve">. et </w:t>
      </w:r>
      <w:r w:rsidR="00DF5767">
        <w:t xml:space="preserve">qui </w:t>
      </w:r>
      <w:r w:rsidR="00792C75">
        <w:t xml:space="preserve">lui demande s’il entend présenter </w:t>
      </w:r>
      <w:r w:rsidR="009D7DE3">
        <w:t>des observations</w:t>
      </w:r>
      <w:r w:rsidR="00B97AFA">
        <w:t xml:space="preserve"> à ce sujet</w:t>
      </w:r>
      <w:r w:rsidR="009D7DE3">
        <w:t>.</w:t>
      </w:r>
    </w:p>
    <w:p w14:paraId="7D831CC2" w14:textId="77777777" w:rsidR="00DF5767" w:rsidRDefault="00893AC8" w:rsidP="008A1100">
      <w:pPr>
        <w:pStyle w:val="Paragraphe"/>
        <w:spacing w:line="240" w:lineRule="auto"/>
      </w:pPr>
      <w:r>
        <w:t xml:space="preserve">M. Roy a d’abord affirmé qu’il ne </w:t>
      </w:r>
      <w:r w:rsidR="002B0287">
        <w:t>contestait</w:t>
      </w:r>
      <w:r>
        <w:t xml:space="preserve"> plus </w:t>
      </w:r>
      <w:r w:rsidR="002B0287">
        <w:t>la</w:t>
      </w:r>
      <w:r>
        <w:t xml:space="preserve"> </w:t>
      </w:r>
      <w:r w:rsidR="002B0287">
        <w:t>con</w:t>
      </w:r>
      <w:r w:rsidR="0006261D">
        <w:t>sti</w:t>
      </w:r>
      <w:r w:rsidR="002B0287">
        <w:t>t</w:t>
      </w:r>
      <w:r w:rsidR="00E93E7C">
        <w:t>ut</w:t>
      </w:r>
      <w:r w:rsidR="002B0287">
        <w:t>ionnalité</w:t>
      </w:r>
      <w:r>
        <w:t xml:space="preserve"> de ce</w:t>
      </w:r>
      <w:r w:rsidR="002B0287">
        <w:t xml:space="preserve">s dispositions, </w:t>
      </w:r>
      <w:r w:rsidR="00E93E7C">
        <w:t>car s</w:t>
      </w:r>
      <w:r w:rsidR="00EC7D90">
        <w:t>a</w:t>
      </w:r>
      <w:r w:rsidR="00E93E7C">
        <w:t xml:space="preserve"> défen</w:t>
      </w:r>
      <w:r w:rsidR="00EC7D90">
        <w:t xml:space="preserve">se </w:t>
      </w:r>
      <w:r w:rsidR="00E93E7C">
        <w:t>repose sur l</w:t>
      </w:r>
      <w:r w:rsidR="00EC7D90">
        <w:t>’argument</w:t>
      </w:r>
      <w:r w:rsidR="00304DEC">
        <w:t xml:space="preserve"> </w:t>
      </w:r>
      <w:r w:rsidR="00EC7D90">
        <w:t>de</w:t>
      </w:r>
      <w:r w:rsidR="002D79DF">
        <w:t xml:space="preserve"> la préséance de</w:t>
      </w:r>
      <w:r w:rsidR="00685CDA">
        <w:t>s article 42 et 43 de</w:t>
      </w:r>
      <w:r w:rsidR="002D79DF">
        <w:t xml:space="preserve"> la </w:t>
      </w:r>
      <w:r w:rsidR="00020B14" w:rsidRPr="00020B14">
        <w:rPr>
          <w:i/>
          <w:iCs/>
        </w:rPr>
        <w:t>L.</w:t>
      </w:r>
      <w:r w:rsidR="00134938">
        <w:rPr>
          <w:i/>
          <w:iCs/>
        </w:rPr>
        <w:t>p.j</w:t>
      </w:r>
      <w:r w:rsidR="00020B14" w:rsidRPr="00020B14">
        <w:rPr>
          <w:i/>
          <w:iCs/>
        </w:rPr>
        <w:t>.</w:t>
      </w:r>
      <w:r w:rsidR="002D79DF">
        <w:t xml:space="preserve"> sur la </w:t>
      </w:r>
      <w:r w:rsidR="002D79DF" w:rsidRPr="00685CDA">
        <w:rPr>
          <w:i/>
          <w:iCs/>
        </w:rPr>
        <w:t>Loi sur le barreau</w:t>
      </w:r>
      <w:r w:rsidR="002D79DF">
        <w:t>. I</w:t>
      </w:r>
      <w:r w:rsidR="002659E0">
        <w:t>l</w:t>
      </w:r>
      <w:r w:rsidR="002D79DF">
        <w:t xml:space="preserve"> ajoute qu’il reconna</w:t>
      </w:r>
      <w:r w:rsidR="00134938">
        <w:t>î</w:t>
      </w:r>
      <w:r w:rsidR="002D79DF">
        <w:t xml:space="preserve">t que l’article 128 de la </w:t>
      </w:r>
      <w:r w:rsidR="002D79DF" w:rsidRPr="00FE0666">
        <w:rPr>
          <w:i/>
          <w:iCs/>
        </w:rPr>
        <w:t>Loi sur le Barreau</w:t>
      </w:r>
      <w:r w:rsidR="002D79DF">
        <w:t xml:space="preserve"> l</w:t>
      </w:r>
      <w:r w:rsidR="00AE4FC4">
        <w:t xml:space="preserve">ui </w:t>
      </w:r>
      <w:r w:rsidR="002D79DF">
        <w:t>inte</w:t>
      </w:r>
      <w:r w:rsidR="0085331A">
        <w:t>rdit de rédiger des procédures et des requêtes dans des instances civiles impliquant des adultes</w:t>
      </w:r>
      <w:r w:rsidR="00AE4FC4">
        <w:t xml:space="preserve">, mais </w:t>
      </w:r>
      <w:r w:rsidR="00FE0666">
        <w:t>que cette interdiction</w:t>
      </w:r>
      <w:r w:rsidR="00304DEC">
        <w:t xml:space="preserve"> </w:t>
      </w:r>
      <w:r w:rsidR="007472B0">
        <w:t>ne s’applique</w:t>
      </w:r>
      <w:r w:rsidR="00794945">
        <w:t xml:space="preserve"> pas </w:t>
      </w:r>
      <w:r w:rsidR="007472B0">
        <w:t>aux requêtes qu’il a rédigé</w:t>
      </w:r>
      <w:r w:rsidR="00134938">
        <w:t>es</w:t>
      </w:r>
      <w:r w:rsidR="007472B0">
        <w:t xml:space="preserve"> vu qu’elles visaient tou</w:t>
      </w:r>
      <w:r w:rsidR="00134938">
        <w:t>tes</w:t>
      </w:r>
      <w:r w:rsidR="007472B0">
        <w:t xml:space="preserve"> à</w:t>
      </w:r>
      <w:r w:rsidR="00786A3B" w:rsidRPr="001D559A">
        <w:t xml:space="preserve"> </w:t>
      </w:r>
      <w:r w:rsidR="001D559A" w:rsidRPr="001D559A">
        <w:t xml:space="preserve">assurer la </w:t>
      </w:r>
      <w:r w:rsidR="00786A3B" w:rsidRPr="001D559A">
        <w:t xml:space="preserve">sécurité ou </w:t>
      </w:r>
      <w:r w:rsidR="0047239D">
        <w:t>le</w:t>
      </w:r>
      <w:r w:rsidR="00786A3B" w:rsidRPr="001D559A">
        <w:t xml:space="preserve"> développement</w:t>
      </w:r>
      <w:r w:rsidR="001D559A">
        <w:t xml:space="preserve"> d’enfants</w:t>
      </w:r>
      <w:r>
        <w:rPr>
          <w:rStyle w:val="Appelnotedebasdep"/>
        </w:rPr>
        <w:footnoteReference w:id="93"/>
      </w:r>
      <w:r w:rsidR="0085331A">
        <w:t>.</w:t>
      </w:r>
    </w:p>
    <w:p w14:paraId="29F32BA6" w14:textId="77777777" w:rsidR="00B00498" w:rsidRPr="00B00498" w:rsidRDefault="00893AC8" w:rsidP="008A1100">
      <w:pPr>
        <w:pStyle w:val="Paragraphe"/>
        <w:spacing w:line="240" w:lineRule="auto"/>
      </w:pPr>
      <w:r>
        <w:t xml:space="preserve">Après une courte suspension </w:t>
      </w:r>
      <w:r w:rsidRPr="00B00498">
        <w:t>afin de</w:t>
      </w:r>
      <w:r>
        <w:t xml:space="preserve"> permettre à M. Roy de </w:t>
      </w:r>
      <w:r w:rsidRPr="00B00498">
        <w:t xml:space="preserve">préciser </w:t>
      </w:r>
      <w:r w:rsidR="00690854">
        <w:t xml:space="preserve">sa </w:t>
      </w:r>
      <w:r w:rsidR="00E136F4">
        <w:t>position</w:t>
      </w:r>
      <w:r w:rsidR="00690854">
        <w:t xml:space="preserve"> concernant </w:t>
      </w:r>
      <w:r w:rsidRPr="00B00498">
        <w:t>l’avis au PGQ, celui-ci</w:t>
      </w:r>
      <w:r w:rsidR="00690854">
        <w:t xml:space="preserve"> informe la Cour </w:t>
      </w:r>
      <w:r w:rsidR="00E136F4">
        <w:t xml:space="preserve">qu’il maintient sa contestation </w:t>
      </w:r>
      <w:r w:rsidR="00B91B18" w:rsidRPr="00C87F7A">
        <w:t>de l’article</w:t>
      </w:r>
      <w:r w:rsidR="00B91B18" w:rsidRPr="00B00498">
        <w:t xml:space="preserve"> </w:t>
      </w:r>
      <w:r w:rsidR="00DD69B6" w:rsidRPr="00C87F7A">
        <w:t>87</w:t>
      </w:r>
      <w:r w:rsidRPr="00B00498">
        <w:t xml:space="preserve">, alinéa </w:t>
      </w:r>
      <w:r w:rsidR="00DD69B6" w:rsidRPr="00C87F7A">
        <w:t xml:space="preserve">3 </w:t>
      </w:r>
      <w:r w:rsidR="00DD69B6" w:rsidRPr="00B00498">
        <w:rPr>
          <w:i/>
        </w:rPr>
        <w:t>C.p.c</w:t>
      </w:r>
      <w:r w:rsidRPr="00B00498">
        <w:rPr>
          <w:i/>
          <w:iCs/>
        </w:rPr>
        <w:t>.,</w:t>
      </w:r>
      <w:r w:rsidRPr="00B00498">
        <w:t xml:space="preserve"> au motif que le</w:t>
      </w:r>
      <w:r w:rsidR="00DA4E3D" w:rsidRPr="00C87F7A">
        <w:t xml:space="preserve"> fait qu’une personne </w:t>
      </w:r>
      <w:r w:rsidR="00860DD5" w:rsidRPr="00C87F7A">
        <w:t>physique</w:t>
      </w:r>
      <w:r w:rsidR="00DA4E3D" w:rsidRPr="00C87F7A">
        <w:t xml:space="preserve"> puisse représenter une personne morale </w:t>
      </w:r>
      <w:r w:rsidR="00860DD5" w:rsidRPr="00C87F7A">
        <w:t xml:space="preserve">en </w:t>
      </w:r>
      <w:r w:rsidRPr="00B00498">
        <w:t>matière pénale, mais non</w:t>
      </w:r>
      <w:r w:rsidR="00860DD5" w:rsidRPr="00C87F7A">
        <w:t xml:space="preserve"> en matière civile</w:t>
      </w:r>
      <w:r w:rsidRPr="00B00498">
        <w:t>, serait</w:t>
      </w:r>
      <w:r w:rsidR="005D61FB" w:rsidRPr="00C87F7A">
        <w:t xml:space="preserve"> inconstitutionnel.</w:t>
      </w:r>
    </w:p>
    <w:p w14:paraId="70DE4BCE" w14:textId="77777777" w:rsidR="005D61FB" w:rsidRPr="00B00498" w:rsidRDefault="00893AC8" w:rsidP="008A1100">
      <w:pPr>
        <w:pStyle w:val="Paragraphe"/>
        <w:spacing w:line="240" w:lineRule="auto"/>
      </w:pPr>
      <w:r w:rsidRPr="00C87F7A">
        <w:t xml:space="preserve">Quant à </w:t>
      </w:r>
      <w:r w:rsidR="000734A0" w:rsidRPr="00C87F7A">
        <w:t>l’article</w:t>
      </w:r>
      <w:r w:rsidRPr="00C87F7A">
        <w:t xml:space="preserve"> 128 de la </w:t>
      </w:r>
      <w:r w:rsidRPr="00C87F7A">
        <w:rPr>
          <w:i/>
        </w:rPr>
        <w:t>Loi sur le Barreau</w:t>
      </w:r>
      <w:r w:rsidRPr="00C87F7A">
        <w:t xml:space="preserve">, il </w:t>
      </w:r>
      <w:r w:rsidR="00B00498" w:rsidRPr="00B00498">
        <w:t>soutient qu’il</w:t>
      </w:r>
      <w:r w:rsidR="00AF69B9" w:rsidRPr="00C87F7A">
        <w:t xml:space="preserve"> n’est pas </w:t>
      </w:r>
      <w:r w:rsidR="00B00498" w:rsidRPr="00B00498">
        <w:t>inconstitutionnel, mais qu’il contrevient aux articles</w:t>
      </w:r>
      <w:r w:rsidR="00AF69B9" w:rsidRPr="00C87F7A">
        <w:t xml:space="preserve"> 42 et 43 </w:t>
      </w:r>
      <w:r w:rsidR="00B00498" w:rsidRPr="00B00498">
        <w:t xml:space="preserve">de la </w:t>
      </w:r>
      <w:r w:rsidR="00B00498" w:rsidRPr="003D3189">
        <w:rPr>
          <w:i/>
          <w:iCs/>
        </w:rPr>
        <w:t>L.p.j</w:t>
      </w:r>
      <w:r w:rsidR="00B00498" w:rsidRPr="00B00498">
        <w:t>.</w:t>
      </w:r>
      <w:r w:rsidRPr="00C87F7A">
        <w:t xml:space="preserve"> Il n’a présenté </w:t>
      </w:r>
      <w:r w:rsidR="00B00498" w:rsidRPr="00B00498">
        <w:t>aucune autre observation au soutien de ces positions</w:t>
      </w:r>
      <w:r>
        <w:rPr>
          <w:rStyle w:val="Appelnotedebasdep"/>
        </w:rPr>
        <w:footnoteReference w:id="94"/>
      </w:r>
      <w:r w:rsidR="00134938">
        <w:t>.</w:t>
      </w:r>
    </w:p>
    <w:p w14:paraId="1B0F0923" w14:textId="77777777" w:rsidR="00DF316B" w:rsidRDefault="00893AC8" w:rsidP="008A1100">
      <w:pPr>
        <w:pStyle w:val="Paragraphe"/>
        <w:spacing w:line="240" w:lineRule="auto"/>
      </w:pPr>
      <w:r>
        <w:t xml:space="preserve">Vu </w:t>
      </w:r>
      <w:r w:rsidR="005E4E8E">
        <w:t xml:space="preserve">la position de M. Roy </w:t>
      </w:r>
      <w:r w:rsidR="000734A0">
        <w:t xml:space="preserve">concernant l’article 128 de la </w:t>
      </w:r>
      <w:r w:rsidR="000734A0" w:rsidRPr="008143DD">
        <w:rPr>
          <w:i/>
          <w:iCs/>
        </w:rPr>
        <w:t>Loi sur le Barreau</w:t>
      </w:r>
      <w:r w:rsidR="002A392C">
        <w:rPr>
          <w:i/>
          <w:iCs/>
        </w:rPr>
        <w:t>,</w:t>
      </w:r>
      <w:r w:rsidR="00AC5130">
        <w:rPr>
          <w:i/>
          <w:iCs/>
        </w:rPr>
        <w:t xml:space="preserve"> </w:t>
      </w:r>
      <w:r w:rsidR="002A392C">
        <w:t xml:space="preserve">le Tribunal considère que M. Roy a renoncé à demander </w:t>
      </w:r>
      <w:r w:rsidR="00241330">
        <w:t xml:space="preserve">l’invalidité </w:t>
      </w:r>
      <w:r w:rsidR="00AC5130">
        <w:t>constitutionnelle</w:t>
      </w:r>
      <w:r w:rsidR="00241330">
        <w:t xml:space="preserve"> de cet article. Son argument repose maintenant sur une </w:t>
      </w:r>
      <w:r w:rsidR="00AC5130">
        <w:t>question</w:t>
      </w:r>
      <w:r w:rsidR="00241330">
        <w:t xml:space="preserve"> d’inter</w:t>
      </w:r>
      <w:r w:rsidR="00AC5130">
        <w:t xml:space="preserve">prétations des lois, plus particulièrement que </w:t>
      </w:r>
      <w:r w:rsidR="000734A0">
        <w:t>les articles 42</w:t>
      </w:r>
      <w:r w:rsidR="00134938">
        <w:t xml:space="preserve"> et </w:t>
      </w:r>
      <w:r w:rsidR="000734A0">
        <w:t xml:space="preserve">43 </w:t>
      </w:r>
      <w:r w:rsidR="00020B14" w:rsidRPr="00020B14">
        <w:rPr>
          <w:i/>
          <w:iCs/>
        </w:rPr>
        <w:t>L.</w:t>
      </w:r>
      <w:r w:rsidR="00134938">
        <w:rPr>
          <w:i/>
          <w:iCs/>
        </w:rPr>
        <w:t>p.j.</w:t>
      </w:r>
      <w:r w:rsidR="00AC5130">
        <w:rPr>
          <w:i/>
          <w:iCs/>
        </w:rPr>
        <w:t xml:space="preserve"> </w:t>
      </w:r>
      <w:r w:rsidR="00AC5130" w:rsidRPr="00AC5130">
        <w:t>ont préséance sur l’article 128</w:t>
      </w:r>
      <w:r w:rsidR="00C60D50">
        <w:t xml:space="preserve"> de la </w:t>
      </w:r>
      <w:r w:rsidR="00C60D50" w:rsidRPr="00C60D50">
        <w:rPr>
          <w:i/>
          <w:iCs/>
        </w:rPr>
        <w:t>Loi sur le Barreau</w:t>
      </w:r>
      <w:r>
        <w:rPr>
          <w:rStyle w:val="Appelnotedebasdep"/>
        </w:rPr>
        <w:footnoteReference w:id="95"/>
      </w:r>
      <w:r w:rsidR="00AC5130">
        <w:rPr>
          <w:i/>
          <w:iCs/>
        </w:rPr>
        <w:t xml:space="preserve">. </w:t>
      </w:r>
      <w:r w:rsidR="00AC5130">
        <w:t>P</w:t>
      </w:r>
      <w:r w:rsidR="000734A0">
        <w:t xml:space="preserve">uisque ce sujet a été couvert à la section </w:t>
      </w:r>
      <w:r w:rsidR="008143DD">
        <w:t xml:space="preserve">2 </w:t>
      </w:r>
      <w:r w:rsidR="003D3189">
        <w:t xml:space="preserve">de la partie « Analyse » </w:t>
      </w:r>
      <w:r w:rsidR="008143DD">
        <w:t xml:space="preserve">du présent </w:t>
      </w:r>
      <w:r w:rsidR="00D7655C">
        <w:t>jugement</w:t>
      </w:r>
      <w:r>
        <w:t xml:space="preserve">, le Tribunal </w:t>
      </w:r>
      <w:r w:rsidR="00F44A1F">
        <w:t>n’</w:t>
      </w:r>
      <w:r>
        <w:t xml:space="preserve">en traitera pas d’avantage. </w:t>
      </w:r>
    </w:p>
    <w:p w14:paraId="2ADE3B63" w14:textId="77777777" w:rsidR="000E0CE2" w:rsidRDefault="00893AC8" w:rsidP="008A1100">
      <w:pPr>
        <w:pStyle w:val="Paragraphe"/>
        <w:spacing w:line="240" w:lineRule="auto"/>
      </w:pPr>
      <w:r>
        <w:t xml:space="preserve"> </w:t>
      </w:r>
      <w:r w:rsidRPr="000E0CE2">
        <w:t xml:space="preserve">Seul demeure en litige l’argument relatif à l’inconstitutionnalité de l’article 87 alinéa 3 du </w:t>
      </w:r>
      <w:r w:rsidRPr="000E0CE2">
        <w:rPr>
          <w:i/>
          <w:iCs/>
        </w:rPr>
        <w:t>Code de procédure civile</w:t>
      </w:r>
      <w:r w:rsidRPr="000E0CE2">
        <w:t>. Compte tenu de l’absence de représentations de la part de M. Roy et du fait que les tribunaux se sont déjà penchés à plusieurs reprises sur cette question, le Tribunal n’entend pas y consacrer de longs développements.</w:t>
      </w:r>
    </w:p>
    <w:p w14:paraId="2A991D3B" w14:textId="77777777" w:rsidR="007764E9" w:rsidRPr="00DC0354" w:rsidRDefault="00893AC8" w:rsidP="008A1100">
      <w:pPr>
        <w:pStyle w:val="Titre3"/>
        <w:numPr>
          <w:ilvl w:val="1"/>
          <w:numId w:val="13"/>
        </w:numPr>
        <w:ind w:left="1701" w:hanging="567"/>
        <w:rPr>
          <w:b/>
          <w:bCs/>
        </w:rPr>
      </w:pPr>
      <w:bookmarkStart w:id="74" w:name="_Toc256000019"/>
      <w:bookmarkStart w:id="75" w:name="_Toc224727338"/>
      <w:r w:rsidRPr="00DC0354">
        <w:rPr>
          <w:b/>
          <w:bCs/>
        </w:rPr>
        <w:t>Cadre juridique</w:t>
      </w:r>
      <w:bookmarkEnd w:id="74"/>
      <w:bookmarkEnd w:id="75"/>
    </w:p>
    <w:p w14:paraId="4F033939" w14:textId="77777777" w:rsidR="007764E9" w:rsidRDefault="00893AC8" w:rsidP="008A1100">
      <w:pPr>
        <w:pStyle w:val="Paragraphe"/>
        <w:spacing w:line="240" w:lineRule="auto"/>
      </w:pPr>
      <w:r>
        <w:t>L</w:t>
      </w:r>
      <w:r w:rsidR="002E6FA2">
        <w:t xml:space="preserve">es règles portant sur la </w:t>
      </w:r>
      <w:r w:rsidR="009618D5">
        <w:t>représentation</w:t>
      </w:r>
      <w:r w:rsidR="002E6FA2">
        <w:t xml:space="preserve"> devant </w:t>
      </w:r>
      <w:r w:rsidR="00134938">
        <w:t>l</w:t>
      </w:r>
      <w:r w:rsidR="002E6FA2">
        <w:t xml:space="preserve">es tribunaux civils sont </w:t>
      </w:r>
      <w:r w:rsidR="009618D5">
        <w:t>prévues</w:t>
      </w:r>
      <w:r w:rsidR="002E6FA2">
        <w:t xml:space="preserve"> aux articles 86 et s</w:t>
      </w:r>
      <w:r w:rsidR="00134938">
        <w:t>uivants</w:t>
      </w:r>
      <w:r w:rsidR="002E6FA2">
        <w:t xml:space="preserve"> du </w:t>
      </w:r>
      <w:r w:rsidR="002E6FA2" w:rsidRPr="009618D5">
        <w:rPr>
          <w:i/>
          <w:iCs/>
        </w:rPr>
        <w:t>Code de procédure civile</w:t>
      </w:r>
      <w:r w:rsidR="002E6FA2">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A34AC5" w14:paraId="021CF9DC" w14:textId="77777777" w:rsidTr="00493521">
        <w:tc>
          <w:tcPr>
            <w:tcW w:w="4676" w:type="dxa"/>
          </w:tcPr>
          <w:p w14:paraId="49B722E9" w14:textId="77777777" w:rsidR="009618D5" w:rsidRPr="00493521" w:rsidRDefault="00893AC8" w:rsidP="008A1100">
            <w:pPr>
              <w:pStyle w:val="Citationenretrait"/>
              <w:rPr>
                <w:b/>
              </w:rPr>
            </w:pPr>
            <w:r w:rsidRPr="00493521">
              <w:rPr>
                <w:b/>
              </w:rPr>
              <w:t>CHAPITRE III</w:t>
            </w:r>
          </w:p>
          <w:p w14:paraId="11C3315E" w14:textId="77777777" w:rsidR="002E6FA2" w:rsidRPr="00493521" w:rsidRDefault="00893AC8" w:rsidP="008A1100">
            <w:pPr>
              <w:pStyle w:val="Citationenretrait"/>
              <w:rPr>
                <w:b/>
              </w:rPr>
            </w:pPr>
            <w:r w:rsidRPr="00493521">
              <w:rPr>
                <w:b/>
              </w:rPr>
              <w:t>LA REPRÉSENTATION DEVANT LES TRIBUNAUX ET</w:t>
            </w:r>
            <w:r>
              <w:t xml:space="preserve"> </w:t>
            </w:r>
            <w:r w:rsidRPr="00493521">
              <w:rPr>
                <w:b/>
              </w:rPr>
              <w:t>CERTAINES CONDITIONS POUR AGIR</w:t>
            </w:r>
          </w:p>
          <w:p w14:paraId="0849AC22" w14:textId="77777777" w:rsidR="002E6FA2" w:rsidRDefault="00893AC8" w:rsidP="008A1100">
            <w:pPr>
              <w:pStyle w:val="Citationenretrait"/>
            </w:pPr>
            <w:r>
              <w:t xml:space="preserve">86. </w:t>
            </w:r>
            <w:r w:rsidRPr="006F4100">
              <w:rPr>
                <w:u w:val="single"/>
              </w:rPr>
              <w:t>Le droit d’agir devant les tribunaux pour y représenter une personne est réservé aux avocats</w:t>
            </w:r>
            <w:r>
              <w:t>. Les notaires peuvent cependant agir dans toute demande pouvant être traitée suivant la procédure non contentieuse.</w:t>
            </w:r>
          </w:p>
          <w:p w14:paraId="0D5D44AF" w14:textId="77777777" w:rsidR="002E6FA2" w:rsidRDefault="00893AC8" w:rsidP="008A1100">
            <w:pPr>
              <w:pStyle w:val="Citationenretrait"/>
            </w:pPr>
            <w:r>
              <w:t xml:space="preserve">87. </w:t>
            </w:r>
            <w:r w:rsidRPr="009618D5">
              <w:rPr>
                <w:u w:val="single"/>
              </w:rPr>
              <w:t>Sont tenus, dans une procédure contentieuse, de se faire représenter par avocat devant les tribunaux ou, dans une procédure non contentieuse, par un avocat ou un notaire</w:t>
            </w:r>
            <w:r w:rsidR="00493521">
              <w:rPr>
                <w:u w:val="single"/>
              </w:rPr>
              <w:t> </w:t>
            </w:r>
            <w:r>
              <w:t>:</w:t>
            </w:r>
          </w:p>
          <w:p w14:paraId="4E20A71E" w14:textId="77777777" w:rsidR="002E6FA2" w:rsidRDefault="00893AC8" w:rsidP="008A1100">
            <w:pPr>
              <w:pStyle w:val="Citationenretrait"/>
            </w:pPr>
            <w:r>
              <w:t>1°  les représentants, mandataires ou tuteurs, et les autres personnes qui agissent pour le compte d’autrui, si celui-ci ne peut, pour des motifs sérieux, agir lui-même;</w:t>
            </w:r>
          </w:p>
          <w:p w14:paraId="55B816EB" w14:textId="77777777" w:rsidR="002E6FA2" w:rsidRDefault="00893AC8" w:rsidP="008A1100">
            <w:pPr>
              <w:pStyle w:val="Citationenretrait"/>
            </w:pPr>
            <w:r>
              <w:t>2°  le représentant ou le membre qui demande d’agir à ce titre dans une action collective;</w:t>
            </w:r>
          </w:p>
          <w:p w14:paraId="12541A3A" w14:textId="77777777" w:rsidR="002E6FA2" w:rsidRDefault="00893AC8" w:rsidP="008A1100">
            <w:pPr>
              <w:pStyle w:val="Citationenretrait"/>
            </w:pPr>
            <w:r>
              <w:t xml:space="preserve">3°  </w:t>
            </w:r>
            <w:r w:rsidRPr="009618D5">
              <w:rPr>
                <w:u w:val="single"/>
              </w:rPr>
              <w:t>les personnes morales</w:t>
            </w:r>
            <w:r>
              <w:t>;</w:t>
            </w:r>
          </w:p>
          <w:p w14:paraId="3F7EE947" w14:textId="77777777" w:rsidR="002E6FA2" w:rsidRDefault="00893AC8" w:rsidP="008A1100">
            <w:pPr>
              <w:pStyle w:val="Citationenretrait"/>
            </w:pPr>
            <w:r>
              <w:t>4°  les sociétés en nom collectif ou en commandite et les associations et les autres groupements sans personnalité juridique, à moins que tous les associés ou membres n’agissent eux-mêmes ou ne mandatent l’un d’eux pour agir;</w:t>
            </w:r>
          </w:p>
          <w:p w14:paraId="02C82A34" w14:textId="77777777" w:rsidR="002E6FA2" w:rsidRDefault="00893AC8" w:rsidP="008A1100">
            <w:pPr>
              <w:pStyle w:val="Citationenretrait"/>
            </w:pPr>
            <w:r>
              <w:t>5°  le curateur public, les gardiens et les séquestres;</w:t>
            </w:r>
          </w:p>
          <w:p w14:paraId="5407C576" w14:textId="77777777" w:rsidR="002E6FA2" w:rsidRDefault="00893AC8" w:rsidP="008A1100">
            <w:pPr>
              <w:pStyle w:val="Citationenretrait"/>
            </w:pPr>
            <w:r>
              <w:t>6°  les liquidateurs, syndics et autres représentants d’intérêts collectifs lorsqu’ils agissent en cette qualité;</w:t>
            </w:r>
          </w:p>
          <w:p w14:paraId="492F1F07" w14:textId="77777777" w:rsidR="002E6FA2" w:rsidRDefault="00893AC8" w:rsidP="008A1100">
            <w:pPr>
              <w:pStyle w:val="Citationenretrait"/>
            </w:pPr>
            <w:r>
              <w:t xml:space="preserve">7°  les </w:t>
            </w:r>
            <w:r w:rsidR="006F4100" w:rsidRPr="006F4100">
              <w:t>personnes qui ont acquis à titre onéreux les créances d’autrui ou les agents de recouvrement de créances.</w:t>
            </w:r>
          </w:p>
          <w:p w14:paraId="2FC6343F" w14:textId="77777777" w:rsidR="002E6FA2" w:rsidRDefault="002E6FA2" w:rsidP="008A1100">
            <w:pPr>
              <w:pStyle w:val="Citationenretrait"/>
              <w:ind w:left="0"/>
            </w:pPr>
          </w:p>
        </w:tc>
        <w:tc>
          <w:tcPr>
            <w:tcW w:w="4676" w:type="dxa"/>
          </w:tcPr>
          <w:p w14:paraId="61CF3385" w14:textId="77777777" w:rsidR="009618D5" w:rsidRPr="00493521" w:rsidRDefault="00893AC8" w:rsidP="008A1100">
            <w:pPr>
              <w:pStyle w:val="Citationenretrait"/>
              <w:rPr>
                <w:b/>
                <w:lang w:val="en-CA"/>
              </w:rPr>
            </w:pPr>
            <w:r w:rsidRPr="00493521">
              <w:rPr>
                <w:b/>
                <w:lang w:val="en-CA"/>
              </w:rPr>
              <w:t>CHAPTER III</w:t>
            </w:r>
          </w:p>
          <w:p w14:paraId="64F85EF7" w14:textId="77777777" w:rsidR="009618D5" w:rsidRPr="00493521" w:rsidRDefault="00893AC8" w:rsidP="008A1100">
            <w:pPr>
              <w:pStyle w:val="Citationenretrait"/>
              <w:rPr>
                <w:b/>
                <w:lang w:val="en-CA"/>
              </w:rPr>
            </w:pPr>
            <w:r w:rsidRPr="00493521">
              <w:rPr>
                <w:b/>
                <w:lang w:val="en-CA"/>
              </w:rPr>
              <w:t>REPRESENTATION BEFORE COURTS AND CAPACITY TO ACT</w:t>
            </w:r>
          </w:p>
          <w:p w14:paraId="276007EB" w14:textId="77777777" w:rsidR="009618D5" w:rsidRPr="00DD30DC" w:rsidRDefault="00893AC8" w:rsidP="008A1100">
            <w:pPr>
              <w:pStyle w:val="Citationenretrait"/>
              <w:rPr>
                <w:lang w:val="en-CA"/>
              </w:rPr>
            </w:pPr>
            <w:r w:rsidRPr="00DD30DC">
              <w:rPr>
                <w:lang w:val="en-CA"/>
              </w:rPr>
              <w:t>86. The right to act before the courts in order to represent a person before the courts is reserved to lawyers. However, notaries may do so in connection with any application that may be dealt with according to the procedure for non-contentious proceedings.</w:t>
            </w:r>
          </w:p>
          <w:p w14:paraId="2A1C8236" w14:textId="77777777" w:rsidR="009618D5" w:rsidRPr="00DD30DC" w:rsidRDefault="00893AC8" w:rsidP="008A1100">
            <w:pPr>
              <w:pStyle w:val="Citationenretrait"/>
              <w:rPr>
                <w:lang w:val="en-CA"/>
              </w:rPr>
            </w:pPr>
            <w:r w:rsidRPr="00DD30DC">
              <w:rPr>
                <w:lang w:val="en-CA"/>
              </w:rPr>
              <w:t xml:space="preserve">87. </w:t>
            </w:r>
            <w:r w:rsidRPr="00DD30DC">
              <w:rPr>
                <w:u w:val="single"/>
                <w:lang w:val="en-CA"/>
              </w:rPr>
              <w:t>The following are required to be represented before the courts by a lawyer in contentious proceedings, and by a lawyer or a notary in non-contentious proceedings</w:t>
            </w:r>
            <w:r w:rsidRPr="00DD30DC">
              <w:rPr>
                <w:lang w:val="en-CA"/>
              </w:rPr>
              <w:t>:</w:t>
            </w:r>
          </w:p>
          <w:p w14:paraId="22BC222B" w14:textId="77777777" w:rsidR="009618D5" w:rsidRPr="00DD30DC" w:rsidRDefault="00893AC8" w:rsidP="008A1100">
            <w:pPr>
              <w:pStyle w:val="Citationenretrait"/>
              <w:rPr>
                <w:lang w:val="en-CA"/>
              </w:rPr>
            </w:pPr>
            <w:r w:rsidRPr="00DD30DC">
              <w:rPr>
                <w:lang w:val="en-CA"/>
              </w:rPr>
              <w:t>1°  representatives, mandataries, tutors and other persons acting on behalf of another person who, for serious reasons, cannot act on their own behalf;</w:t>
            </w:r>
          </w:p>
          <w:p w14:paraId="26778937" w14:textId="77777777" w:rsidR="009618D5" w:rsidRPr="00DD30DC" w:rsidRDefault="00893AC8" w:rsidP="008A1100">
            <w:pPr>
              <w:pStyle w:val="Citationenretrait"/>
              <w:rPr>
                <w:lang w:val="en-CA"/>
              </w:rPr>
            </w:pPr>
            <w:r w:rsidRPr="00DD30DC">
              <w:rPr>
                <w:lang w:val="en-CA"/>
              </w:rPr>
              <w:t>2°  in a class action, the representative plaintiff or any person applying to act in that capacity;</w:t>
            </w:r>
          </w:p>
          <w:p w14:paraId="52D7C24B" w14:textId="77777777" w:rsidR="009618D5" w:rsidRPr="00DD30DC" w:rsidRDefault="00893AC8" w:rsidP="008A1100">
            <w:pPr>
              <w:pStyle w:val="Citationenretrait"/>
              <w:rPr>
                <w:lang w:val="en-CA"/>
              </w:rPr>
            </w:pPr>
            <w:r w:rsidRPr="00DD30DC">
              <w:rPr>
                <w:lang w:val="en-CA"/>
              </w:rPr>
              <w:t xml:space="preserve">3° </w:t>
            </w:r>
            <w:r w:rsidRPr="00DD30DC">
              <w:rPr>
                <w:u w:val="single"/>
                <w:lang w:val="en-CA"/>
              </w:rPr>
              <w:t xml:space="preserve"> legal persons</w:t>
            </w:r>
            <w:r w:rsidRPr="00DD30DC">
              <w:rPr>
                <w:lang w:val="en-CA"/>
              </w:rPr>
              <w:t>;</w:t>
            </w:r>
          </w:p>
          <w:p w14:paraId="3A45A3BE" w14:textId="77777777" w:rsidR="009618D5" w:rsidRPr="00DD30DC" w:rsidRDefault="00893AC8" w:rsidP="008A1100">
            <w:pPr>
              <w:pStyle w:val="Citationenretrait"/>
              <w:rPr>
                <w:lang w:val="en-CA"/>
              </w:rPr>
            </w:pPr>
            <w:r w:rsidRPr="00DD30DC">
              <w:rPr>
                <w:lang w:val="en-CA"/>
              </w:rPr>
              <w:t>4°  general or limited partnerships and associations and other groups not endowed with juridical personality, unless all the partners or members act themselves or mandate one of their number to act;</w:t>
            </w:r>
          </w:p>
          <w:p w14:paraId="1CA78A77" w14:textId="77777777" w:rsidR="009618D5" w:rsidRPr="00DD30DC" w:rsidRDefault="00893AC8" w:rsidP="008A1100">
            <w:pPr>
              <w:pStyle w:val="Citationenretrait"/>
              <w:rPr>
                <w:lang w:val="en-CA"/>
              </w:rPr>
            </w:pPr>
            <w:r w:rsidRPr="00DD30DC">
              <w:rPr>
                <w:lang w:val="en-CA"/>
              </w:rPr>
              <w:t>5°  the Public Curator, guardians and sequestrators;</w:t>
            </w:r>
          </w:p>
          <w:p w14:paraId="6277B3EC" w14:textId="77777777" w:rsidR="009618D5" w:rsidRPr="00DD30DC" w:rsidRDefault="00893AC8" w:rsidP="008A1100">
            <w:pPr>
              <w:pStyle w:val="Citationenretrait"/>
              <w:rPr>
                <w:lang w:val="en-CA"/>
              </w:rPr>
            </w:pPr>
            <w:r w:rsidRPr="00DD30DC">
              <w:rPr>
                <w:lang w:val="en-CA"/>
              </w:rPr>
              <w:t>6°  liquidators, trustees and other representatives of collective interests when acting in that capacity;</w:t>
            </w:r>
          </w:p>
          <w:p w14:paraId="253E4385" w14:textId="77777777" w:rsidR="009618D5" w:rsidRDefault="00893AC8" w:rsidP="008A1100">
            <w:pPr>
              <w:pStyle w:val="Citationenretrait"/>
              <w:rPr>
                <w:lang w:val="en-CA"/>
              </w:rPr>
            </w:pPr>
            <w:r w:rsidRPr="00DD30DC">
              <w:rPr>
                <w:lang w:val="en-CA"/>
              </w:rPr>
              <w:t>7°  acquirers of accounts by onerous title, and collection agents.</w:t>
            </w:r>
          </w:p>
          <w:p w14:paraId="60B11689" w14:textId="77777777" w:rsidR="00493521" w:rsidRDefault="00493521" w:rsidP="008A1100">
            <w:pPr>
              <w:pStyle w:val="Citationenretrait"/>
              <w:jc w:val="right"/>
              <w:rPr>
                <w:lang w:val="en-CA"/>
              </w:rPr>
            </w:pPr>
          </w:p>
          <w:p w14:paraId="04BA8214" w14:textId="77777777" w:rsidR="002E6FA2" w:rsidRPr="00DD30DC" w:rsidRDefault="00893AC8" w:rsidP="008A1100">
            <w:pPr>
              <w:pStyle w:val="Citationenretrait"/>
              <w:jc w:val="right"/>
              <w:rPr>
                <w:lang w:val="en-CA"/>
              </w:rPr>
            </w:pPr>
            <w:r>
              <w:rPr>
                <w:lang w:val="en-CA"/>
              </w:rPr>
              <w:t>[Soulignements du Tribunal]</w:t>
            </w:r>
          </w:p>
        </w:tc>
      </w:tr>
    </w:tbl>
    <w:p w14:paraId="2CAA1011" w14:textId="77777777" w:rsidR="00665C22" w:rsidRDefault="00893AC8" w:rsidP="008A1100">
      <w:pPr>
        <w:pStyle w:val="Paragraphe"/>
        <w:spacing w:line="240" w:lineRule="auto"/>
      </w:pPr>
      <w:r>
        <w:t>Enfin</w:t>
      </w:r>
      <w:r w:rsidR="00C63138">
        <w:t>,</w:t>
      </w:r>
      <w:r>
        <w:t xml:space="preserve"> les articles pertinents de la </w:t>
      </w:r>
      <w:r w:rsidRPr="00C63138">
        <w:rPr>
          <w:i/>
          <w:iCs/>
        </w:rPr>
        <w:t>Charte québécoise</w:t>
      </w:r>
      <w:r>
        <w:t xml:space="preserve"> prévoient :</w:t>
      </w:r>
      <w:r w:rsidR="003523DB" w:rsidRPr="003523DB">
        <w:rPr>
          <w:iCs/>
          <w:kern w:val="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A34AC5" w14:paraId="10214A18" w14:textId="77777777" w:rsidTr="00830236">
        <w:tc>
          <w:tcPr>
            <w:tcW w:w="4676" w:type="dxa"/>
          </w:tcPr>
          <w:p w14:paraId="133716ED" w14:textId="77777777" w:rsidR="00A6559E" w:rsidRDefault="00893AC8" w:rsidP="008A1100">
            <w:pPr>
              <w:pStyle w:val="Citationenretrait"/>
            </w:pPr>
            <w:r w:rsidRPr="00830236">
              <w:rPr>
                <w:b/>
                <w:bCs/>
              </w:rPr>
              <w:t>2.</w:t>
            </w:r>
            <w:r>
              <w:t xml:space="preserve"> Tout être humain dont la vie est en péril a droit au secours.</w:t>
            </w:r>
          </w:p>
          <w:p w14:paraId="437735CC" w14:textId="77777777" w:rsidR="00125E0C" w:rsidRDefault="00893AC8" w:rsidP="008A1100">
            <w:pPr>
              <w:pStyle w:val="Citationenretrait"/>
            </w:pPr>
            <w:r>
              <w:t>Toute personne doit porter secours à celui dont la vie est en péril, personnellement ou en obtenant du secours, en lui apportant l’aide physique nécessaire et immédiate, à moins d’un risque pour elle ou pour les tiers ou d’un autre motif raisonnable.</w:t>
            </w:r>
          </w:p>
          <w:p w14:paraId="4F57B9B0" w14:textId="77777777" w:rsidR="00A6559E" w:rsidRDefault="00893AC8" w:rsidP="008A1100">
            <w:pPr>
              <w:pStyle w:val="Citationenretrait"/>
            </w:pPr>
            <w:r w:rsidRPr="00830236">
              <w:rPr>
                <w:b/>
                <w:bCs/>
              </w:rPr>
              <w:t>3.</w:t>
            </w:r>
            <w:r w:rsidRPr="00A6559E">
              <w:t xml:space="preserve"> Toute personne est titulaire des libertés fondamentales telles la liberté de conscience, la liberté de religion, la liberté d’opinion, la liberté d’expression, la liberté de réunion pacifique et la liberté d’association</w:t>
            </w:r>
            <w:r>
              <w:t>.</w:t>
            </w:r>
          </w:p>
          <w:p w14:paraId="737B61F6" w14:textId="77777777" w:rsidR="00A6559E" w:rsidRDefault="00893AC8" w:rsidP="008A1100">
            <w:pPr>
              <w:pStyle w:val="Citationenretrait"/>
            </w:pPr>
            <w:r>
              <w:t>…</w:t>
            </w:r>
          </w:p>
          <w:p w14:paraId="5F6A1014" w14:textId="77777777" w:rsidR="00112FA9" w:rsidRDefault="00893AC8" w:rsidP="008A1100">
            <w:pPr>
              <w:pStyle w:val="Citationenretrait"/>
            </w:pPr>
            <w:r w:rsidRPr="00830236">
              <w:rPr>
                <w:b/>
                <w:bCs/>
              </w:rPr>
              <w:t>37.1.</w:t>
            </w:r>
            <w:r w:rsidRPr="00112FA9">
              <w:t xml:space="preserve"> Une personne ne peut être jugée de nouveau pour une infraction dont elle a été acquittée ou dont elle a été déclarée coupable en vertu d’un jugement passé en force de chose jugée.</w:t>
            </w:r>
          </w:p>
        </w:tc>
        <w:tc>
          <w:tcPr>
            <w:tcW w:w="4676" w:type="dxa"/>
          </w:tcPr>
          <w:p w14:paraId="02F7B6E5" w14:textId="77777777" w:rsidR="00830236" w:rsidRPr="00830236" w:rsidRDefault="00893AC8" w:rsidP="008A1100">
            <w:pPr>
              <w:pStyle w:val="Citationenretrait"/>
              <w:rPr>
                <w:lang w:val="en-CA"/>
              </w:rPr>
            </w:pPr>
            <w:r w:rsidRPr="00830236">
              <w:rPr>
                <w:b/>
                <w:bCs/>
                <w:lang w:val="en-CA"/>
              </w:rPr>
              <w:t>2.</w:t>
            </w:r>
            <w:r w:rsidRPr="00830236">
              <w:rPr>
                <w:lang w:val="en-CA"/>
              </w:rPr>
              <w:t> Every human being whose life is in peril has a right to assistance.</w:t>
            </w:r>
          </w:p>
          <w:p w14:paraId="74302AAE" w14:textId="77777777" w:rsidR="00830236" w:rsidRPr="00830236" w:rsidRDefault="00893AC8" w:rsidP="008A1100">
            <w:pPr>
              <w:pStyle w:val="Citationenretrait"/>
              <w:rPr>
                <w:lang w:val="en-CA"/>
              </w:rPr>
            </w:pPr>
            <w:r w:rsidRPr="00830236">
              <w:rPr>
                <w:lang w:val="en-CA"/>
              </w:rPr>
              <w:t>Every person must come to the aid of anyone whose life is in peril, either personally or calling for aid, by giving him the necessary and immediate physical assistance, unless it involves danger to himself or a third person, or he has another valid reason.</w:t>
            </w:r>
          </w:p>
          <w:p w14:paraId="76E25DF4" w14:textId="77777777" w:rsidR="00E0290F" w:rsidRDefault="00893AC8" w:rsidP="008A1100">
            <w:pPr>
              <w:pStyle w:val="Citationenretrait"/>
              <w:rPr>
                <w:lang w:val="en-CA"/>
              </w:rPr>
            </w:pPr>
            <w:r w:rsidRPr="00830236">
              <w:rPr>
                <w:b/>
                <w:bCs/>
                <w:lang w:val="en-CA"/>
              </w:rPr>
              <w:t>3.</w:t>
            </w:r>
            <w:r w:rsidRPr="00830236">
              <w:rPr>
                <w:lang w:val="en-CA"/>
              </w:rPr>
              <w:t xml:space="preserve"> Every person is the possessor of the fundamental freedoms, including freedom of conscience, freedom of religion, freedom of opinion, freedom of expression, freedom of peaceful assembly and freedom of association.</w:t>
            </w:r>
          </w:p>
          <w:p w14:paraId="653B5D70" w14:textId="77777777" w:rsidR="00830236" w:rsidRDefault="00893AC8" w:rsidP="008A1100">
            <w:pPr>
              <w:pStyle w:val="Citationenretrait"/>
              <w:rPr>
                <w:lang w:val="en-CA"/>
              </w:rPr>
            </w:pPr>
            <w:r>
              <w:rPr>
                <w:lang w:val="en-CA"/>
              </w:rPr>
              <w:t>…</w:t>
            </w:r>
          </w:p>
          <w:p w14:paraId="317C7F02" w14:textId="77777777" w:rsidR="00830236" w:rsidRPr="00830236" w:rsidRDefault="00893AC8" w:rsidP="008A1100">
            <w:pPr>
              <w:pStyle w:val="Citationenretrait"/>
              <w:rPr>
                <w:lang w:val="en-CA"/>
              </w:rPr>
            </w:pPr>
            <w:r w:rsidRPr="00830236">
              <w:rPr>
                <w:b/>
                <w:bCs/>
                <w:lang w:val="en-CA"/>
              </w:rPr>
              <w:t>37.1</w:t>
            </w:r>
            <w:r w:rsidRPr="00830236">
              <w:rPr>
                <w:lang w:val="en-CA"/>
              </w:rPr>
              <w:t xml:space="preserve"> No person may be tried again for an offence of which he has been acquitted or of which he has been found guilty by a judgment that has acquired status as </w:t>
            </w:r>
            <w:r w:rsidRPr="00830236">
              <w:rPr>
                <w:i/>
                <w:iCs/>
                <w:lang w:val="en-CA"/>
              </w:rPr>
              <w:t>res judicata.</w:t>
            </w:r>
          </w:p>
        </w:tc>
      </w:tr>
    </w:tbl>
    <w:p w14:paraId="68243071" w14:textId="77777777" w:rsidR="007764E9" w:rsidRPr="00DC0354" w:rsidRDefault="00893AC8" w:rsidP="008A1100">
      <w:pPr>
        <w:pStyle w:val="Titre3"/>
        <w:numPr>
          <w:ilvl w:val="1"/>
          <w:numId w:val="13"/>
        </w:numPr>
        <w:ind w:left="1701" w:hanging="567"/>
        <w:rPr>
          <w:b/>
        </w:rPr>
      </w:pPr>
      <w:r w:rsidRPr="00830236">
        <w:rPr>
          <w:b/>
          <w:lang w:val="en-CA"/>
        </w:rPr>
        <w:t xml:space="preserve"> </w:t>
      </w:r>
      <w:bookmarkStart w:id="76" w:name="_Toc256000020"/>
      <w:bookmarkStart w:id="77" w:name="_Toc224727339"/>
      <w:r w:rsidRPr="00DC0354">
        <w:rPr>
          <w:b/>
        </w:rPr>
        <w:t>Application aux faits</w:t>
      </w:r>
      <w:bookmarkEnd w:id="76"/>
      <w:bookmarkEnd w:id="77"/>
    </w:p>
    <w:p w14:paraId="4F6341F5" w14:textId="77777777" w:rsidR="00690AD2" w:rsidRDefault="00893AC8" w:rsidP="008A1100">
      <w:pPr>
        <w:pStyle w:val="Paragraphe"/>
        <w:spacing w:line="240" w:lineRule="auto"/>
      </w:pPr>
      <w:r>
        <w:t xml:space="preserve">La demande de M. Roy visant à faire déclarer l’article </w:t>
      </w:r>
      <w:r w:rsidRPr="002F60F4">
        <w:t xml:space="preserve">87 </w:t>
      </w:r>
      <w:r w:rsidR="00134938">
        <w:t xml:space="preserve">alinéa </w:t>
      </w:r>
      <w:r w:rsidRPr="002F60F4">
        <w:t xml:space="preserve">3 </w:t>
      </w:r>
      <w:r>
        <w:t xml:space="preserve">du </w:t>
      </w:r>
      <w:r w:rsidRPr="00C3666D">
        <w:rPr>
          <w:i/>
          <w:iCs/>
        </w:rPr>
        <w:t>Code de procédure civile</w:t>
      </w:r>
      <w:r>
        <w:t xml:space="preserve"> </w:t>
      </w:r>
      <w:r w:rsidR="00EE2906">
        <w:t>inconstitutionnel</w:t>
      </w:r>
      <w:r>
        <w:t xml:space="preserve"> est rejetée</w:t>
      </w:r>
      <w:r w:rsidR="00EE2906">
        <w:t xml:space="preserve"> parce </w:t>
      </w:r>
      <w:r w:rsidR="00365C9D">
        <w:t>que s</w:t>
      </w:r>
      <w:r w:rsidR="00991A39">
        <w:t xml:space="preserve">on </w:t>
      </w:r>
      <w:r w:rsidR="00AD436A">
        <w:t>Avis</w:t>
      </w:r>
      <w:r w:rsidR="00991A39">
        <w:t xml:space="preserve"> au PGQ est </w:t>
      </w:r>
      <w:r w:rsidR="00330E54">
        <w:t>in</w:t>
      </w:r>
      <w:r w:rsidR="00AD0299">
        <w:t>valide</w:t>
      </w:r>
      <w:r w:rsidR="00330E54">
        <w:t xml:space="preserve"> </w:t>
      </w:r>
      <w:r w:rsidR="00F97EB4">
        <w:t>vu qu’il n’est pas</w:t>
      </w:r>
      <w:r w:rsidR="00330E54">
        <w:t xml:space="preserve"> suffisamment </w:t>
      </w:r>
      <w:r w:rsidR="00B47EA8">
        <w:t>précis,</w:t>
      </w:r>
      <w:r w:rsidR="00EE2906">
        <w:t xml:space="preserve"> qu’il </w:t>
      </w:r>
      <w:r w:rsidR="00EE2906" w:rsidRPr="00EE2906">
        <w:t xml:space="preserve">n’a pas l’intérêt </w:t>
      </w:r>
      <w:r w:rsidR="00F97EB4">
        <w:t>juridique</w:t>
      </w:r>
      <w:r w:rsidR="00EE2906" w:rsidRPr="00EE2906">
        <w:t xml:space="preserve"> pour contester la constitutionalité de c</w:t>
      </w:r>
      <w:r w:rsidR="00EE2906">
        <w:t xml:space="preserve">et </w:t>
      </w:r>
      <w:r w:rsidR="00EE2906" w:rsidRPr="00EE2906">
        <w:t>article</w:t>
      </w:r>
      <w:r w:rsidR="00365C9D">
        <w:t xml:space="preserve"> </w:t>
      </w:r>
      <w:r w:rsidR="00C97FC0">
        <w:t>et vu qu’</w:t>
      </w:r>
      <w:r w:rsidR="00687080">
        <w:t>il y a absence de fondement factuel concret pour justifier</w:t>
      </w:r>
      <w:r w:rsidR="00365C9D">
        <w:t xml:space="preserve"> sa demande.</w:t>
      </w:r>
    </w:p>
    <w:p w14:paraId="2DE624DA" w14:textId="77777777" w:rsidR="007764E9" w:rsidRDefault="00893AC8" w:rsidP="008A1100">
      <w:pPr>
        <w:pStyle w:val="Paragraphe"/>
        <w:spacing w:line="240" w:lineRule="auto"/>
      </w:pPr>
      <w:r>
        <w:t>L</w:t>
      </w:r>
      <w:r w:rsidR="00D2014C" w:rsidRPr="00D2014C">
        <w:t xml:space="preserve">’article 87 </w:t>
      </w:r>
      <w:r w:rsidR="00134938">
        <w:t xml:space="preserve">alinéa </w:t>
      </w:r>
      <w:r w:rsidR="00D2014C" w:rsidRPr="00D2014C">
        <w:t xml:space="preserve">3 du </w:t>
      </w:r>
      <w:r w:rsidR="00D2014C" w:rsidRPr="00D554AC">
        <w:rPr>
          <w:i/>
          <w:iCs/>
        </w:rPr>
        <w:t>Code de procédure civile</w:t>
      </w:r>
      <w:r w:rsidR="00D2014C" w:rsidRPr="00D2014C">
        <w:t xml:space="preserve"> établit le principe selon lequel le droit d’agir devant les tribunaux pour représenter une personne morale constitue une prérogative exclusive de la profession d’avocat.</w:t>
      </w:r>
    </w:p>
    <w:p w14:paraId="712098A8" w14:textId="77777777" w:rsidR="00381396" w:rsidRDefault="00893AC8" w:rsidP="008A1100">
      <w:pPr>
        <w:pStyle w:val="Paragraphe"/>
        <w:spacing w:line="240" w:lineRule="auto"/>
      </w:pPr>
      <w:r>
        <w:t xml:space="preserve">Selon l’article 76 </w:t>
      </w:r>
      <w:r w:rsidRPr="006630F4">
        <w:rPr>
          <w:i/>
          <w:iCs/>
        </w:rPr>
        <w:t>C.p.c</w:t>
      </w:r>
      <w:r>
        <w:t>., q</w:t>
      </w:r>
      <w:r w:rsidR="00F73D5B">
        <w:t xml:space="preserve">uiconque </w:t>
      </w:r>
      <w:r w:rsidR="00F73D5B" w:rsidRPr="00F73D5B">
        <w:t>entend mettre en question le caractère opérant, l’applicabilité constitutionnelle ou la validité d’une disposition d’une loi du Québec</w:t>
      </w:r>
      <w:r w:rsidR="00F73D5B">
        <w:t xml:space="preserve"> doit </w:t>
      </w:r>
      <w:r w:rsidR="005E7A34">
        <w:t xml:space="preserve">aviser le </w:t>
      </w:r>
      <w:r w:rsidR="003D3189">
        <w:t>PGQ</w:t>
      </w:r>
      <w:r w:rsidR="005E7A34">
        <w:t xml:space="preserve"> au moyen d’un avis</w:t>
      </w:r>
      <w:r>
        <w:t>.</w:t>
      </w:r>
    </w:p>
    <w:p w14:paraId="0A8D6097" w14:textId="77777777" w:rsidR="00F97EB4" w:rsidRDefault="00893AC8" w:rsidP="008A1100">
      <w:pPr>
        <w:pStyle w:val="Paragraphe"/>
        <w:spacing w:line="240" w:lineRule="auto"/>
      </w:pPr>
      <w:r>
        <w:t xml:space="preserve">Un avis au </w:t>
      </w:r>
      <w:r w:rsidR="003D3189">
        <w:t>PGQ</w:t>
      </w:r>
      <w:r>
        <w:t xml:space="preserve"> en vertu de l’article 76 </w:t>
      </w:r>
      <w:r>
        <w:rPr>
          <w:i/>
          <w:iCs/>
        </w:rPr>
        <w:t>C.p.c.</w:t>
      </w:r>
      <w:r>
        <w:t xml:space="preserve"> doit, pour être valablement donné, exposer de manière précise les prétentions que la personne entend faire valoir et les moyens qui les justifient</w:t>
      </w:r>
      <w:r>
        <w:rPr>
          <w:rStyle w:val="Appelnotedebasdep"/>
        </w:rPr>
        <w:footnoteReference w:id="96"/>
      </w:r>
      <w:r>
        <w:t>.</w:t>
      </w:r>
    </w:p>
    <w:p w14:paraId="6CBF488F" w14:textId="77777777" w:rsidR="00DF73EF" w:rsidRDefault="00893AC8" w:rsidP="008A1100">
      <w:pPr>
        <w:pStyle w:val="Paragraphe"/>
        <w:spacing w:line="240" w:lineRule="auto"/>
      </w:pPr>
      <w:r>
        <w:t>Or, l’Avis dans le présent dossier ne satisfait pas ce critère</w:t>
      </w:r>
      <w:r w:rsidR="009358B0">
        <w:t xml:space="preserve"> en ce qui concerne</w:t>
      </w:r>
      <w:r w:rsidR="00C35A2B" w:rsidRPr="00C35A2B">
        <w:t xml:space="preserve"> la validité</w:t>
      </w:r>
      <w:r w:rsidR="00C35A2B">
        <w:t xml:space="preserve"> constitutionnelle de l’article 87</w:t>
      </w:r>
      <w:r w:rsidR="003D3189">
        <w:t xml:space="preserve"> alinéa </w:t>
      </w:r>
      <w:r w:rsidR="00C35A2B">
        <w:t xml:space="preserve">3 </w:t>
      </w:r>
      <w:r w:rsidR="00C35A2B" w:rsidRPr="00C35A2B">
        <w:rPr>
          <w:i/>
          <w:iCs/>
        </w:rPr>
        <w:t>C.p.c</w:t>
      </w:r>
      <w:r w:rsidRPr="00C35A2B">
        <w:rPr>
          <w:i/>
        </w:rPr>
        <w:t>.</w:t>
      </w:r>
    </w:p>
    <w:p w14:paraId="014F8FA3" w14:textId="77777777" w:rsidR="00DF73EF" w:rsidRDefault="00893AC8" w:rsidP="008A1100">
      <w:pPr>
        <w:pStyle w:val="Paragraphe"/>
        <w:spacing w:line="240" w:lineRule="auto"/>
      </w:pPr>
      <w:r>
        <w:t xml:space="preserve">Bien que l’Avis au PGQ de M. Roy expose, quoique de façon très générale, </w:t>
      </w:r>
      <w:r w:rsidR="00C35A2B">
        <w:t xml:space="preserve">en </w:t>
      </w:r>
      <w:r>
        <w:t xml:space="preserve">quoi l’article 128.1b) de la </w:t>
      </w:r>
      <w:r w:rsidRPr="00DF73EF">
        <w:rPr>
          <w:i/>
          <w:iCs/>
        </w:rPr>
        <w:t>Loi sur le Barreau</w:t>
      </w:r>
      <w:r>
        <w:t xml:space="preserve"> viole</w:t>
      </w:r>
      <w:r w:rsidR="00C35A2B">
        <w:t>rait</w:t>
      </w:r>
      <w:r>
        <w:t xml:space="preserve"> les articles 2, 3 et 37.1 de la </w:t>
      </w:r>
      <w:r>
        <w:rPr>
          <w:i/>
          <w:iCs/>
        </w:rPr>
        <w:t>Charte</w:t>
      </w:r>
      <w:r>
        <w:t xml:space="preserve">, il ne précise aucunement en quoi l’article 87 alinéa 3 </w:t>
      </w:r>
      <w:r>
        <w:rPr>
          <w:i/>
          <w:iCs/>
        </w:rPr>
        <w:t>C.p.c.</w:t>
      </w:r>
      <w:r>
        <w:t xml:space="preserve"> viole quelconque disposition de</w:t>
      </w:r>
      <w:r w:rsidR="004812E5">
        <w:t>s</w:t>
      </w:r>
      <w:r w:rsidR="00C35A2B">
        <w:t xml:space="preserve"> article</w:t>
      </w:r>
      <w:r w:rsidR="004812E5">
        <w:t>s</w:t>
      </w:r>
      <w:r w:rsidR="00C35A2B">
        <w:t xml:space="preserve"> 1 à 38 </w:t>
      </w:r>
      <w:r>
        <w:t xml:space="preserve">de la </w:t>
      </w:r>
      <w:r>
        <w:rPr>
          <w:i/>
          <w:iCs/>
        </w:rPr>
        <w:t>Charte québécoise.</w:t>
      </w:r>
    </w:p>
    <w:p w14:paraId="64461317" w14:textId="77777777" w:rsidR="00DF73EF" w:rsidRDefault="00893AC8" w:rsidP="008A1100">
      <w:pPr>
        <w:pStyle w:val="Paragraphe"/>
        <w:spacing w:line="240" w:lineRule="auto"/>
      </w:pPr>
      <w:r>
        <w:t xml:space="preserve">L’Avis se limite à exposer que l’article 87 alinéa 3 </w:t>
      </w:r>
      <w:r>
        <w:rPr>
          <w:i/>
          <w:iCs/>
        </w:rPr>
        <w:t>C.p.c.</w:t>
      </w:r>
      <w:r>
        <w:t xml:space="preserve"> est inconstitutionnel parce qu’il édicte une règle qui est contraire à celle </w:t>
      </w:r>
      <w:r w:rsidR="00DF6BD8">
        <w:t xml:space="preserve">énoncée à l’article 192 du </w:t>
      </w:r>
      <w:r w:rsidR="00DF6BD8">
        <w:rPr>
          <w:i/>
          <w:iCs/>
        </w:rPr>
        <w:t>Code de procédure pénale</w:t>
      </w:r>
      <w:r w:rsidR="00DF6BD8">
        <w:t>.</w:t>
      </w:r>
    </w:p>
    <w:p w14:paraId="6F574001" w14:textId="77777777" w:rsidR="00DF6BD8" w:rsidRDefault="00893AC8" w:rsidP="008A1100">
      <w:pPr>
        <w:pStyle w:val="Paragraphe"/>
        <w:spacing w:line="240" w:lineRule="auto"/>
      </w:pPr>
      <w:r>
        <w:t>Or, cet argument ne soulève aucunement un motif d’ordre constitutionnel.</w:t>
      </w:r>
    </w:p>
    <w:p w14:paraId="013F6C30" w14:textId="77777777" w:rsidR="00DF6BD8" w:rsidRDefault="00893AC8" w:rsidP="008A1100">
      <w:pPr>
        <w:pStyle w:val="Paragraphe"/>
        <w:spacing w:line="240" w:lineRule="auto"/>
      </w:pPr>
      <w:r>
        <w:t xml:space="preserve">En conclusion, l’Avis au PGQ de M. Roy ne satisfait pas au critère de l’article 77 </w:t>
      </w:r>
      <w:r>
        <w:rPr>
          <w:i/>
          <w:iCs/>
        </w:rPr>
        <w:t>C.p.c.</w:t>
      </w:r>
      <w:r>
        <w:t xml:space="preserve"> en ce qui concerne sa demande d’invalidité de l’article 87 alinéa 3 </w:t>
      </w:r>
      <w:r>
        <w:rPr>
          <w:i/>
          <w:iCs/>
        </w:rPr>
        <w:t>C.p.c.</w:t>
      </w:r>
    </w:p>
    <w:p w14:paraId="792630CB" w14:textId="77777777" w:rsidR="00026300" w:rsidRDefault="00893AC8" w:rsidP="008A1100">
      <w:pPr>
        <w:pStyle w:val="Paragraphe"/>
        <w:spacing w:line="240" w:lineRule="auto"/>
      </w:pPr>
      <w:r>
        <w:t>Deuxièmement, l</w:t>
      </w:r>
      <w:r w:rsidR="00647AD1">
        <w:t>’</w:t>
      </w:r>
      <w:r w:rsidR="003D3189">
        <w:t>A</w:t>
      </w:r>
      <w:r w:rsidR="00647AD1">
        <w:t>vis au PGQ est fait au nom de M. Roy seulement</w:t>
      </w:r>
      <w:r w:rsidR="001B6196">
        <w:t>.</w:t>
      </w:r>
    </w:p>
    <w:p w14:paraId="492AE743" w14:textId="77777777" w:rsidR="00647AD1" w:rsidRDefault="00893AC8" w:rsidP="008A1100">
      <w:pPr>
        <w:pStyle w:val="Paragraphe"/>
        <w:spacing w:line="240" w:lineRule="auto"/>
      </w:pPr>
      <w:r>
        <w:t>Or</w:t>
      </w:r>
      <w:r w:rsidR="00026300">
        <w:t>.</w:t>
      </w:r>
      <w:r w:rsidR="000002F4">
        <w:t xml:space="preserve"> </w:t>
      </w:r>
      <w:r>
        <w:t xml:space="preserve">M. </w:t>
      </w:r>
      <w:r w:rsidRPr="002F60F4">
        <w:t xml:space="preserve">Roy n’a pas l’intérêt </w:t>
      </w:r>
      <w:r>
        <w:t xml:space="preserve">juridique pour demande l’invalidité de l’article 87 alinéa 3 </w:t>
      </w:r>
      <w:r>
        <w:rPr>
          <w:i/>
          <w:iCs/>
        </w:rPr>
        <w:t>C.p.c.</w:t>
      </w:r>
      <w:r>
        <w:t xml:space="preserve"> pour son entreprise, la codéfenderesse l’Unité</w:t>
      </w:r>
      <w:r>
        <w:rPr>
          <w:rStyle w:val="Appelnotedebasdep"/>
        </w:rPr>
        <w:footnoteReference w:id="97"/>
      </w:r>
      <w:r>
        <w:t>.</w:t>
      </w:r>
    </w:p>
    <w:p w14:paraId="0DF6E2F7" w14:textId="77777777" w:rsidR="00647AD1" w:rsidRDefault="00893AC8" w:rsidP="008A1100">
      <w:pPr>
        <w:pStyle w:val="Paragraphe"/>
        <w:spacing w:line="240" w:lineRule="auto"/>
      </w:pPr>
      <w:r>
        <w:t xml:space="preserve">Étant donné que le M. Roy n’est pas membre du Barreau et que l’Unité n’est pas représentée par avocat, il ne peut valablement agir au nom de l’Unité et soulever l’inconstitutionnalité de l’article 87 alinéa 3 du </w:t>
      </w:r>
      <w:r w:rsidRPr="00386FE9">
        <w:rPr>
          <w:i/>
          <w:iCs/>
        </w:rPr>
        <w:t>Code de procédure civile</w:t>
      </w:r>
      <w:r>
        <w:t>.</w:t>
      </w:r>
    </w:p>
    <w:p w14:paraId="536DC73D" w14:textId="77777777" w:rsidR="00DF6BD8" w:rsidRDefault="00893AC8" w:rsidP="008A1100">
      <w:pPr>
        <w:pStyle w:val="Paragraphe"/>
        <w:spacing w:line="240" w:lineRule="auto"/>
      </w:pPr>
      <w:r>
        <w:t xml:space="preserve">Enfin, le fardeau de démontrer une atteinte à un droit protégé par la </w:t>
      </w:r>
      <w:r>
        <w:rPr>
          <w:i/>
          <w:iCs/>
        </w:rPr>
        <w:t>Charte</w:t>
      </w:r>
      <w:r>
        <w:t xml:space="preserve"> appartient à la personne qui allègue cette atteinte. Cette personne doit établir un fondement factuel permettant de trancher s’il y a ou non violation d’un droit garanti par la </w:t>
      </w:r>
      <w:r>
        <w:rPr>
          <w:i/>
          <w:iCs/>
        </w:rPr>
        <w:t>Charte</w:t>
      </w:r>
      <w:r>
        <w:rPr>
          <w:rStyle w:val="Appelnotedebasdep"/>
          <w:i/>
          <w:iCs/>
        </w:rPr>
        <w:footnoteReference w:id="98"/>
      </w:r>
      <w:r>
        <w:rPr>
          <w:i/>
          <w:iCs/>
        </w:rPr>
        <w:t>.</w:t>
      </w:r>
    </w:p>
    <w:p w14:paraId="35816121" w14:textId="77777777" w:rsidR="00DF6BD8" w:rsidRDefault="00893AC8" w:rsidP="008A1100">
      <w:pPr>
        <w:pStyle w:val="Paragraphe"/>
        <w:spacing w:line="240" w:lineRule="auto"/>
      </w:pPr>
      <w:r>
        <w:t xml:space="preserve">En l’espèce, M. Roy n’a administré aucune preuve de violation de quelconque droit garanti par la </w:t>
      </w:r>
      <w:r>
        <w:rPr>
          <w:i/>
          <w:iCs/>
        </w:rPr>
        <w:t>Charte québécoise</w:t>
      </w:r>
      <w:r>
        <w:t>.</w:t>
      </w:r>
    </w:p>
    <w:p w14:paraId="3F77ED07" w14:textId="77777777" w:rsidR="000E1145" w:rsidRDefault="00893AC8" w:rsidP="008A1100">
      <w:pPr>
        <w:pStyle w:val="Paragraphe"/>
        <w:spacing w:line="240" w:lineRule="auto"/>
      </w:pPr>
      <w:r w:rsidRPr="000E1145">
        <w:t xml:space="preserve">Pour l’ensemble de ces motifs, la demande de M. Roy visant à faire déclarer nul, pour inconstitutionnalité, l’article 87, alinéa 3, </w:t>
      </w:r>
      <w:r w:rsidRPr="003D3189">
        <w:rPr>
          <w:i/>
          <w:iCs/>
        </w:rPr>
        <w:t>C.p.c</w:t>
      </w:r>
      <w:r w:rsidRPr="000E1145">
        <w:t>., est mal fondée.</w:t>
      </w:r>
    </w:p>
    <w:p w14:paraId="76CD0EAA" w14:textId="77777777" w:rsidR="000B6CAD" w:rsidRDefault="00893AC8" w:rsidP="008A1100">
      <w:pPr>
        <w:pStyle w:val="Titre2"/>
        <w:numPr>
          <w:ilvl w:val="0"/>
          <w:numId w:val="5"/>
        </w:numPr>
      </w:pPr>
      <w:bookmarkStart w:id="78" w:name="_Toc256000021"/>
      <w:bookmarkStart w:id="79" w:name="_Toc224727340"/>
      <w:r w:rsidRPr="00C87F7A">
        <w:t>Quel sont les remèdes appropriés?</w:t>
      </w:r>
      <w:bookmarkEnd w:id="78"/>
      <w:bookmarkEnd w:id="79"/>
    </w:p>
    <w:p w14:paraId="33B889E4" w14:textId="77777777" w:rsidR="000B6CAD" w:rsidRPr="00982013" w:rsidRDefault="00893AC8" w:rsidP="008A1100">
      <w:pPr>
        <w:pStyle w:val="Titre3"/>
        <w:numPr>
          <w:ilvl w:val="1"/>
          <w:numId w:val="14"/>
        </w:numPr>
        <w:ind w:left="1701" w:hanging="567"/>
        <w:rPr>
          <w:b/>
          <w:bCs/>
        </w:rPr>
      </w:pPr>
      <w:bookmarkStart w:id="80" w:name="_Toc256000022"/>
      <w:bookmarkStart w:id="81" w:name="_Toc224727341"/>
      <w:r>
        <w:rPr>
          <w:b/>
          <w:bCs/>
        </w:rPr>
        <w:t>Position des parties</w:t>
      </w:r>
      <w:bookmarkEnd w:id="80"/>
      <w:bookmarkEnd w:id="81"/>
    </w:p>
    <w:p w14:paraId="498ECCAA" w14:textId="77777777" w:rsidR="000B6CAD" w:rsidRPr="00906786" w:rsidRDefault="00893AC8" w:rsidP="008A1100">
      <w:pPr>
        <w:pStyle w:val="Paragraphe"/>
        <w:spacing w:line="240" w:lineRule="auto"/>
        <w:rPr>
          <w:b/>
          <w:bCs/>
        </w:rPr>
      </w:pPr>
      <w:r w:rsidRPr="00C87F7A">
        <w:t>En premier lieu, pour ce qui est</w:t>
      </w:r>
      <w:r w:rsidRPr="00C87F7A">
        <w:rPr>
          <w:kern w:val="0"/>
        </w:rPr>
        <w:t xml:space="preserve"> de la contravention des</w:t>
      </w:r>
      <w:r w:rsidRPr="00C87F7A">
        <w:t xml:space="preserve"> dispositions d’ordre public de la </w:t>
      </w:r>
      <w:r w:rsidRPr="00C87F7A">
        <w:rPr>
          <w:i/>
          <w:iCs/>
        </w:rPr>
        <w:t xml:space="preserve">Loi sur le Barreau </w:t>
      </w:r>
      <w:r w:rsidRPr="00C87F7A">
        <w:t xml:space="preserve">et du </w:t>
      </w:r>
      <w:r w:rsidRPr="00C87F7A">
        <w:rPr>
          <w:i/>
          <w:iCs/>
        </w:rPr>
        <w:t>Code des professions</w:t>
      </w:r>
      <w:r w:rsidRPr="00C87F7A">
        <w:t xml:space="preserve"> en accomplissant des gestes qui sont du ressort exclusif de l’avocat en exercice, le Barreau demande au Tribunal une injonction permanente afin d’interdire aux défendeurs</w:t>
      </w:r>
      <w:r w:rsidRPr="00906786">
        <w:t xml:space="preserve"> de faire ou de prétendre faire des actes réservés aux membres du Barreau</w:t>
      </w:r>
      <w:r w:rsidRPr="00C87F7A">
        <w:t>.</w:t>
      </w:r>
    </w:p>
    <w:p w14:paraId="064E71A0" w14:textId="77777777" w:rsidR="000B6CAD" w:rsidRPr="00C87F7A" w:rsidRDefault="00893AC8" w:rsidP="008A1100">
      <w:pPr>
        <w:pStyle w:val="Paragraphe"/>
        <w:spacing w:line="240" w:lineRule="auto"/>
      </w:pPr>
      <w:r w:rsidRPr="00C87F7A">
        <w:t xml:space="preserve">Ensuite, quant aux propos diffamatoires, il demande au Tribunal d’émettre une injonction permanente pour interdire à M. Roy de publier des propos diffamatoires concernant les employés, représentants ou dirigeants du Barreau et </w:t>
      </w:r>
      <w:r w:rsidR="00E63861">
        <w:t xml:space="preserve">d’émettre </w:t>
      </w:r>
      <w:r w:rsidRPr="00C87F7A">
        <w:t>une injonction valide pour une durée de trois ans pour l’interdire d’utiliser les réseaux sociaux, tels que Facebook</w:t>
      </w:r>
      <w:r>
        <w:t xml:space="preserve"> </w:t>
      </w:r>
      <w:r w:rsidRPr="00C87F7A">
        <w:t>et Instagram</w:t>
      </w:r>
      <w:r>
        <w:t>.</w:t>
      </w:r>
    </w:p>
    <w:p w14:paraId="0A69AEC4" w14:textId="77777777" w:rsidR="000B6CAD" w:rsidRDefault="00893AC8" w:rsidP="008A1100">
      <w:pPr>
        <w:pStyle w:val="Paragraphe"/>
        <w:spacing w:line="240" w:lineRule="auto"/>
      </w:pPr>
      <w:r w:rsidRPr="00C87F7A">
        <w:t>M. Roy conteste ces demandes. Toutefois, il n’a présenté aucune observation au sujet du remède recherché par le Barreau.</w:t>
      </w:r>
    </w:p>
    <w:p w14:paraId="13624C0E" w14:textId="77777777" w:rsidR="000B6CAD" w:rsidRPr="00DC0354" w:rsidRDefault="00893AC8" w:rsidP="008A1100">
      <w:pPr>
        <w:pStyle w:val="Titre3"/>
        <w:numPr>
          <w:ilvl w:val="1"/>
          <w:numId w:val="14"/>
        </w:numPr>
        <w:ind w:left="1701" w:hanging="567"/>
        <w:rPr>
          <w:b/>
        </w:rPr>
      </w:pPr>
      <w:bookmarkStart w:id="82" w:name="_Toc256000023"/>
      <w:bookmarkStart w:id="83" w:name="_Toc224727342"/>
      <w:bookmarkStart w:id="84" w:name="_Hlk224479638"/>
      <w:r w:rsidRPr="00DC0354">
        <w:rPr>
          <w:b/>
        </w:rPr>
        <w:t>Application aux faits</w:t>
      </w:r>
      <w:bookmarkEnd w:id="82"/>
      <w:bookmarkEnd w:id="83"/>
    </w:p>
    <w:bookmarkEnd w:id="84"/>
    <w:p w14:paraId="3D0C6710" w14:textId="77777777" w:rsidR="000B6CAD" w:rsidRDefault="00893AC8" w:rsidP="008A1100">
      <w:pPr>
        <w:pStyle w:val="Paragraphe"/>
        <w:spacing w:line="240" w:lineRule="auto"/>
      </w:pPr>
      <w:r>
        <w:t xml:space="preserve">Le Barreau demande </w:t>
      </w:r>
      <w:r w:rsidR="00F25A2E">
        <w:t xml:space="preserve">notamment </w:t>
      </w:r>
      <w:r>
        <w:t xml:space="preserve">au Tribunal d’émettre une injonction permanente suivant les </w:t>
      </w:r>
      <w:r w:rsidRPr="00C87F7A">
        <w:t>termes suivants</w:t>
      </w:r>
      <w:r>
        <w:t> :</w:t>
      </w:r>
    </w:p>
    <w:p w14:paraId="1FDAB093" w14:textId="77777777" w:rsidR="000B6CAD" w:rsidRPr="00C87F7A" w:rsidRDefault="00893AC8" w:rsidP="008A1100">
      <w:pPr>
        <w:pStyle w:val="Citationenretrait"/>
      </w:pPr>
      <w:r w:rsidRPr="00C87F7A">
        <w:rPr>
          <w:b/>
          <w:bCs/>
        </w:rPr>
        <w:t>INTERDIRE</w:t>
      </w:r>
      <w:r w:rsidRPr="00C87F7A">
        <w:t xml:space="preserve"> aux défendeurs et à leurs dirigeants, représentants ou employés, ainsi qu’à toute autre personne physique ou morale sous leur charge ou responsabilité : </w:t>
      </w:r>
    </w:p>
    <w:p w14:paraId="23B4B020" w14:textId="77777777" w:rsidR="000B6CAD" w:rsidRPr="00C87F7A" w:rsidRDefault="00893AC8" w:rsidP="008A1100">
      <w:pPr>
        <w:pStyle w:val="Citationenretrait"/>
        <w:numPr>
          <w:ilvl w:val="0"/>
          <w:numId w:val="15"/>
        </w:numPr>
      </w:pPr>
      <w:r w:rsidRPr="00493521">
        <w:rPr>
          <w:b/>
          <w:bCs/>
        </w:rPr>
        <w:t>DE FAIRE</w:t>
      </w:r>
      <w:r w:rsidRPr="00C87F7A">
        <w:t xml:space="preserve"> ou de prétendre faire des actes réservés aux membres du Barreau, à savoir notamment : </w:t>
      </w:r>
    </w:p>
    <w:p w14:paraId="65D5825B" w14:textId="77777777" w:rsidR="000B6CAD" w:rsidRPr="00C87F7A" w:rsidRDefault="00893AC8" w:rsidP="008A1100">
      <w:pPr>
        <w:pStyle w:val="Citationenretrait"/>
        <w:ind w:left="1418"/>
      </w:pPr>
      <w:r w:rsidRPr="00C87F7A">
        <w:t>▪</w:t>
      </w:r>
      <w:r>
        <w:t xml:space="preserve"> </w:t>
      </w:r>
      <w:r w:rsidRPr="00C87F7A">
        <w:t xml:space="preserve">donner des consultations et avis d’ordre juridique; </w:t>
      </w:r>
    </w:p>
    <w:p w14:paraId="4AF6C8E1" w14:textId="77777777" w:rsidR="000B6CAD" w:rsidRPr="00C87F7A" w:rsidRDefault="00893AC8" w:rsidP="008A1100">
      <w:pPr>
        <w:pStyle w:val="Citationenretrait"/>
        <w:ind w:left="1418"/>
      </w:pPr>
      <w:r w:rsidRPr="00C87F7A">
        <w:t>▪</w:t>
      </w:r>
      <w:r>
        <w:t xml:space="preserve"> </w:t>
      </w:r>
      <w:r w:rsidRPr="00C87F7A">
        <w:t xml:space="preserve">préparer et rédiger un avis, une requête, une procédure et tout autre document de même nature destiné à servir dans une affaire devant les tribunaux; </w:t>
      </w:r>
    </w:p>
    <w:p w14:paraId="7885482F" w14:textId="77777777" w:rsidR="000B6CAD" w:rsidRPr="00C87F7A" w:rsidRDefault="00893AC8" w:rsidP="008A1100">
      <w:pPr>
        <w:pStyle w:val="Citationenretrait"/>
        <w:ind w:left="1418"/>
      </w:pPr>
      <w:r w:rsidRPr="00C87F7A">
        <w:t>▪</w:t>
      </w:r>
      <w:r>
        <w:t xml:space="preserve"> </w:t>
      </w:r>
      <w:r w:rsidRPr="00C87F7A">
        <w:t xml:space="preserve">plaider ou agir devant tout tribunal; </w:t>
      </w:r>
    </w:p>
    <w:p w14:paraId="2C2F3B38" w14:textId="77777777" w:rsidR="000B6CAD" w:rsidRPr="00C87F7A" w:rsidRDefault="00893AC8" w:rsidP="008A1100">
      <w:pPr>
        <w:pStyle w:val="Citationenretrait"/>
        <w:ind w:left="1418"/>
      </w:pPr>
      <w:r w:rsidRPr="00C87F7A">
        <w:t>▪</w:t>
      </w:r>
      <w:r>
        <w:t xml:space="preserve"> </w:t>
      </w:r>
      <w:r w:rsidRPr="00C87F7A">
        <w:t xml:space="preserve">faire de la perception ou réclamer avec frais ou suggérer que des procédures judiciaires seront intentées; </w:t>
      </w:r>
    </w:p>
    <w:p w14:paraId="2AFFAED5" w14:textId="77777777" w:rsidR="000B6CAD" w:rsidRPr="00C87F7A" w:rsidRDefault="00893AC8" w:rsidP="008A1100">
      <w:pPr>
        <w:pStyle w:val="Citationenretrait"/>
        <w:numPr>
          <w:ilvl w:val="0"/>
          <w:numId w:val="15"/>
        </w:numPr>
      </w:pPr>
      <w:r w:rsidRPr="00493521">
        <w:rPr>
          <w:b/>
          <w:bCs/>
        </w:rPr>
        <w:t>D’AGIR</w:t>
      </w:r>
      <w:r w:rsidRPr="00C87F7A">
        <w:t xml:space="preserve"> de manière à donner lieu de croire qu’ils sont autorisés à remplir les fonctions d’avocat ou à en faire les actes (l’« </w:t>
      </w:r>
      <w:bookmarkStart w:id="85" w:name="_Hlk224479672"/>
      <w:r w:rsidRPr="00C87F7A">
        <w:t>Interdiction de faire des actes réservés aux membres du Barreau ou de laisser croire qu’ils peuvent le faire</w:t>
      </w:r>
      <w:bookmarkEnd w:id="85"/>
      <w:r w:rsidRPr="00C87F7A">
        <w:t>»);</w:t>
      </w:r>
    </w:p>
    <w:p w14:paraId="2DE2F2E7" w14:textId="77777777" w:rsidR="000B6CAD" w:rsidRDefault="00893AC8" w:rsidP="008A1100">
      <w:pPr>
        <w:pStyle w:val="Citationenretrait"/>
      </w:pPr>
      <w:r w:rsidRPr="00C87F7A">
        <w:rPr>
          <w:b/>
        </w:rPr>
        <w:t>INTERDIRE</w:t>
      </w:r>
      <w:r w:rsidRPr="00A04140">
        <w:t xml:space="preserve"> de façon permanente aux défendeurs</w:t>
      </w:r>
      <w:r>
        <w:t xml:space="preserve"> </w:t>
      </w:r>
      <w:r w:rsidRPr="00797419">
        <w:t>et à leurs dirigeants, représentants ou employés, ainsi qu’à toute autre personne physique ou morale sous leur charge ou responsabilité</w:t>
      </w:r>
      <w:r w:rsidRPr="00A04140">
        <w:t xml:space="preserve"> de tenir </w:t>
      </w:r>
      <w:r>
        <w:t xml:space="preserve">ou publier dans les médias ou sur les réseaux sociaux </w:t>
      </w:r>
      <w:r w:rsidRPr="00C87F7A">
        <w:t>des propos menaçants, diffamatoires ou abusifs</w:t>
      </w:r>
      <w:r>
        <w:t xml:space="preserve"> concernant les </w:t>
      </w:r>
      <w:r w:rsidR="002C2599">
        <w:t xml:space="preserve">actuels </w:t>
      </w:r>
      <w:r>
        <w:t xml:space="preserve">employés, représentants ou dirigeants </w:t>
      </w:r>
      <w:r w:rsidR="002C2599">
        <w:t>ainsi que les anciens employés, représentants</w:t>
      </w:r>
      <w:r w:rsidR="003F2E84">
        <w:t xml:space="preserve"> ou dirigeants </w:t>
      </w:r>
      <w:r>
        <w:t xml:space="preserve">du Barreau du Québec (l’« </w:t>
      </w:r>
      <w:bookmarkStart w:id="86" w:name="_Hlk224468324"/>
      <w:r>
        <w:t>Interdiction de publier des propos diffamatoires </w:t>
      </w:r>
      <w:bookmarkEnd w:id="86"/>
      <w:r>
        <w:t>») ;</w:t>
      </w:r>
    </w:p>
    <w:p w14:paraId="768D535E" w14:textId="77777777" w:rsidR="00720573" w:rsidRDefault="00893AC8">
      <w:pPr>
        <w:rPr>
          <w:b/>
          <w:bCs/>
          <w:kern w:val="24"/>
          <w:sz w:val="22"/>
        </w:rPr>
      </w:pPr>
      <w:r>
        <w:rPr>
          <w:b/>
          <w:bCs/>
        </w:rPr>
        <w:br w:type="page"/>
      </w:r>
    </w:p>
    <w:p w14:paraId="26C439FB" w14:textId="77777777" w:rsidR="00267953" w:rsidRDefault="00893AC8" w:rsidP="008A1100">
      <w:pPr>
        <w:pStyle w:val="Citationenretrait"/>
      </w:pPr>
      <w:r w:rsidRPr="00BE0197">
        <w:rPr>
          <w:b/>
          <w:bCs/>
        </w:rPr>
        <w:t>PERMETTRE</w:t>
      </w:r>
      <w:r w:rsidRPr="00BE0197">
        <w:t xml:space="preserve"> au Barreau du Québec de présenter à tout juge siégeant en chambre de pratique, notamment pour le district de Montréal, une preuve </w:t>
      </w:r>
      <w:r w:rsidRPr="00713D50">
        <w:rPr>
          <w:i/>
          <w:iCs/>
        </w:rPr>
        <w:t xml:space="preserve">prima facie ex parte </w:t>
      </w:r>
      <w:r w:rsidRPr="00BE0197">
        <w:t>de l’ouverture ou de l’utilisation d’un compte Facebook ou d’un compte de tout autre réseau social utilisé par Mario Roy et/ou L’Unité Citoyenne D’Enquête Anti-Corruption afin d’obtenir une ordonnance contenant l’URL spécifique du compte devant être fermé et/ou faire l’objet d’une ordonnance de la Cour supérieure</w:t>
      </w:r>
      <w:r w:rsidR="001F1A66">
        <w:t xml:space="preserve"> (</w:t>
      </w:r>
      <w:r w:rsidR="00E345A6">
        <w:t>l’</w:t>
      </w:r>
      <w:r w:rsidR="00713D50">
        <w:t>«</w:t>
      </w:r>
      <w:r w:rsidR="00E345A6">
        <w:t xml:space="preserve">Ordonnance </w:t>
      </w:r>
      <w:r w:rsidR="00344C71">
        <w:t>pour obtenir l’URL »)</w:t>
      </w:r>
      <w:r w:rsidR="00713D50">
        <w:t> </w:t>
      </w:r>
      <w:r w:rsidRPr="00BE0197">
        <w:t>;</w:t>
      </w:r>
    </w:p>
    <w:p w14:paraId="50F11D56" w14:textId="77777777" w:rsidR="000B6CAD" w:rsidRPr="00C87F7A" w:rsidRDefault="00893AC8" w:rsidP="008A1100">
      <w:pPr>
        <w:pStyle w:val="Citationenretrait"/>
      </w:pPr>
      <w:r w:rsidRPr="002D0CF0">
        <w:rPr>
          <w:b/>
          <w:bCs/>
        </w:rPr>
        <w:t>ORDONNER</w:t>
      </w:r>
      <w:r w:rsidRPr="002D0CF0">
        <w:t xml:space="preserve"> aux défendeurs de communiquer l’URL du compte Facebook qu’il utilise ou a utilisé pour diffuser sa vidéo P-</w:t>
      </w:r>
      <w:r w:rsidR="002D0CF0" w:rsidRPr="002D0CF0">
        <w:t>101</w:t>
      </w:r>
      <w:r w:rsidRPr="002D0CF0">
        <w:t xml:space="preserve"> afin de permettre au Demandeur de faire fermer ce compte Facebook </w:t>
      </w:r>
      <w:r w:rsidRPr="002D0CF0">
        <w:rPr>
          <w:i/>
          <w:iCs/>
        </w:rPr>
        <w:t>(sic)</w:t>
      </w:r>
      <w:r w:rsidR="00516AB0">
        <w:rPr>
          <w:i/>
          <w:iCs/>
        </w:rPr>
        <w:t xml:space="preserve"> </w:t>
      </w:r>
      <w:r w:rsidR="0022784D" w:rsidRPr="0022784D">
        <w:t>(l’«Ordonnance pour obtenir l’URL </w:t>
      </w:r>
      <w:r w:rsidR="00516AB0">
        <w:t>utilisé pour diffuser la vidéo P-101 »)</w:t>
      </w:r>
    </w:p>
    <w:p w14:paraId="4CFF4D33" w14:textId="77777777" w:rsidR="000B6CAD" w:rsidRPr="00493521" w:rsidRDefault="00893AC8" w:rsidP="008A1100">
      <w:pPr>
        <w:pStyle w:val="Citationenretrait"/>
        <w:rPr>
          <w:rFonts w:cs="Arial"/>
          <w:szCs w:val="24"/>
        </w:rPr>
      </w:pPr>
      <w:r w:rsidRPr="00493521">
        <w:rPr>
          <w:rFonts w:cs="Arial"/>
          <w:b/>
          <w:szCs w:val="24"/>
        </w:rPr>
        <w:t>INTERDIRE</w:t>
      </w:r>
      <w:r w:rsidRPr="00493521">
        <w:rPr>
          <w:rFonts w:cs="Arial"/>
          <w:szCs w:val="24"/>
        </w:rPr>
        <w:t xml:space="preserve"> à Mario Roy pour une période de trois (3) ans du prononcé de l’ordonnance d’injonction permanente d’utiliser directement ou indirectement les réseaux sociaux, tels que Facebook, Instagram ou tout autre (l’« Interdiction de faire usage des médias sociaux »). </w:t>
      </w:r>
    </w:p>
    <w:p w14:paraId="79417903" w14:textId="77777777" w:rsidR="000B6CAD" w:rsidRDefault="00893AC8" w:rsidP="008A1100">
      <w:pPr>
        <w:pStyle w:val="Paragraphe"/>
        <w:spacing w:line="240" w:lineRule="auto"/>
      </w:pPr>
      <w:r>
        <w:t xml:space="preserve">Le Tribunal analysera </w:t>
      </w:r>
      <w:r w:rsidR="00A77F6F">
        <w:t xml:space="preserve">chacune de </w:t>
      </w:r>
      <w:r>
        <w:t>ces demandes.</w:t>
      </w:r>
    </w:p>
    <w:p w14:paraId="5FCC5FF9" w14:textId="77777777" w:rsidR="000B6CAD" w:rsidRPr="00C87F7A" w:rsidRDefault="00893AC8" w:rsidP="008A1100">
      <w:pPr>
        <w:pStyle w:val="Titre3"/>
        <w:numPr>
          <w:ilvl w:val="2"/>
          <w:numId w:val="7"/>
        </w:numPr>
        <w:ind w:left="1701" w:hanging="283"/>
      </w:pPr>
      <w:bookmarkStart w:id="87" w:name="_Toc256000024"/>
      <w:bookmarkStart w:id="88" w:name="_Toc224727343"/>
      <w:r w:rsidRPr="00C87F7A">
        <w:rPr>
          <w:b/>
          <w:bCs/>
        </w:rPr>
        <w:t>Interdiction de faire des actes réservés aux membres du Barreau ou de laisser croire qu’ils peuvent le faire</w:t>
      </w:r>
      <w:bookmarkEnd w:id="87"/>
      <w:bookmarkEnd w:id="88"/>
    </w:p>
    <w:p w14:paraId="3E8AC546" w14:textId="77777777" w:rsidR="000B6CAD" w:rsidRPr="002C3302" w:rsidRDefault="00893AC8" w:rsidP="008A1100">
      <w:pPr>
        <w:pStyle w:val="Paragraphe"/>
        <w:spacing w:line="240" w:lineRule="auto"/>
      </w:pPr>
      <w:r w:rsidRPr="00C87F7A">
        <w:t xml:space="preserve">Afin de protéger les intérêts du public, le Barreau a le devoir de faire respecter les dispositions du </w:t>
      </w:r>
      <w:r w:rsidRPr="00C87F7A">
        <w:rPr>
          <w:i/>
        </w:rPr>
        <w:t xml:space="preserve">Code des professions </w:t>
      </w:r>
      <w:r w:rsidRPr="00C87F7A">
        <w:t xml:space="preserve">ainsi que de la </w:t>
      </w:r>
      <w:r w:rsidRPr="00C87F7A">
        <w:rPr>
          <w:i/>
        </w:rPr>
        <w:t>Loi sur le Barreau</w:t>
      </w:r>
      <w:r w:rsidRPr="00C87F7A">
        <w:t>, et ce, en regard de tous les aspects de l’exercice de la profession d’avocat.</w:t>
      </w:r>
    </w:p>
    <w:p w14:paraId="6CBEE4E5" w14:textId="77777777" w:rsidR="000B6CAD" w:rsidRPr="00C87F7A" w:rsidRDefault="00893AC8" w:rsidP="008A1100">
      <w:pPr>
        <w:pStyle w:val="Paragraphe"/>
        <w:spacing w:line="240" w:lineRule="auto"/>
      </w:pPr>
      <w:r>
        <w:t xml:space="preserve">Le Barreau a prouvé que M. Roy contrevient de manière répétée à l’article 128.1 b) de la </w:t>
      </w:r>
      <w:r w:rsidRPr="00183C90">
        <w:rPr>
          <w:i/>
          <w:iCs/>
        </w:rPr>
        <w:t>Loi sur le Barreau</w:t>
      </w:r>
      <w:r>
        <w:t xml:space="preserve">. De plus, M. Roy admet qu’il a rédigé des requêtes destinées à servir dans des affaires devant la Cour du Québec, Chambre de la jeunesse. </w:t>
      </w:r>
      <w:r w:rsidRPr="00C87F7A">
        <w:t>Compte tenu de</w:t>
      </w:r>
      <w:r>
        <w:t xml:space="preserve"> ce</w:t>
      </w:r>
      <w:r w:rsidRPr="00C87F7A">
        <w:t xml:space="preserve">s </w:t>
      </w:r>
      <w:r>
        <w:t xml:space="preserve">contraventions nombreuses </w:t>
      </w:r>
      <w:r w:rsidRPr="00C87F7A">
        <w:t xml:space="preserve">à une loi d’ordre public </w:t>
      </w:r>
      <w:r>
        <w:t xml:space="preserve">et vu que les moyens de défense que les défendeurs ont invoqués sont mal fondés, </w:t>
      </w:r>
      <w:r w:rsidRPr="00C87F7A">
        <w:t>le Tribunal fera droit à cette demande puisque la protection du public justifie l’émission de l’ordonnance recherchée.</w:t>
      </w:r>
    </w:p>
    <w:p w14:paraId="7260168E" w14:textId="77777777" w:rsidR="000B6CAD" w:rsidRDefault="00893AC8" w:rsidP="008A1100">
      <w:pPr>
        <w:pStyle w:val="Titre3"/>
        <w:numPr>
          <w:ilvl w:val="2"/>
          <w:numId w:val="7"/>
        </w:numPr>
        <w:ind w:left="1701" w:hanging="283"/>
      </w:pPr>
      <w:bookmarkStart w:id="89" w:name="_Toc256000025"/>
      <w:bookmarkStart w:id="90" w:name="_Toc224727344"/>
      <w:r w:rsidRPr="00C87F7A">
        <w:rPr>
          <w:b/>
        </w:rPr>
        <w:t>Interdiction de publier des propos diffamatoires</w:t>
      </w:r>
      <w:bookmarkEnd w:id="89"/>
      <w:bookmarkEnd w:id="90"/>
    </w:p>
    <w:p w14:paraId="6B4E3F0B" w14:textId="77777777" w:rsidR="000B6CAD" w:rsidRDefault="00893AC8" w:rsidP="008A1100">
      <w:pPr>
        <w:pStyle w:val="Paragraphe"/>
        <w:spacing w:line="240" w:lineRule="auto"/>
      </w:pPr>
      <w:r w:rsidRPr="00C87F7A">
        <w:t>La Cour supérieure a le pouvoir d’émettre des injonctions pour faire cesser ou pour interdire des propos diffamatoires pour l’avenir. Toutefois, ce pouvoir est circonscrit par certaines balises.</w:t>
      </w:r>
    </w:p>
    <w:p w14:paraId="33D573C5" w14:textId="77777777" w:rsidR="000B6CAD" w:rsidRPr="00C87F7A" w:rsidRDefault="00893AC8" w:rsidP="008A1100">
      <w:pPr>
        <w:pStyle w:val="Paragraphe"/>
        <w:spacing w:line="240" w:lineRule="auto"/>
      </w:pPr>
      <w:r w:rsidRPr="00C87F7A">
        <w:t>Cette compétence doit être exercée avec prudence</w:t>
      </w:r>
      <w:r>
        <w:rPr>
          <w:rStyle w:val="Appelnotedebasdep"/>
        </w:rPr>
        <w:footnoteReference w:id="99"/>
      </w:r>
      <w:r w:rsidRPr="00C87F7A">
        <w:t>.</w:t>
      </w:r>
    </w:p>
    <w:p w14:paraId="1EC72043" w14:textId="77777777" w:rsidR="000B6CAD" w:rsidRPr="00C87F7A" w:rsidRDefault="00893AC8" w:rsidP="008A1100">
      <w:pPr>
        <w:pStyle w:val="Paragraphe"/>
        <w:spacing w:line="240" w:lineRule="auto"/>
      </w:pPr>
      <w:r w:rsidRPr="00C87F7A">
        <w:t>Deuxièmement, une telle ordonnance doit viser des propos précis. Elle ne peut consister en une interdiction générale de diffamer afin de ne pas porter indûment atteinte à la liberté d’expression et ne pas avoir un effet de bâillon</w:t>
      </w:r>
      <w:r>
        <w:rPr>
          <w:rStyle w:val="Appelnotedebasdep"/>
        </w:rPr>
        <w:footnoteReference w:id="100"/>
      </w:r>
      <w:r w:rsidRPr="00C87F7A">
        <w:t>.</w:t>
      </w:r>
    </w:p>
    <w:p w14:paraId="582D800F" w14:textId="77777777" w:rsidR="000B6CAD" w:rsidRPr="00C87F7A" w:rsidRDefault="00893AC8" w:rsidP="008A1100">
      <w:pPr>
        <w:pStyle w:val="Paragraphe"/>
        <w:spacing w:line="240" w:lineRule="auto"/>
      </w:pPr>
      <w:r w:rsidRPr="00C87F7A">
        <w:t xml:space="preserve">Enfin, </w:t>
      </w:r>
      <w:r>
        <w:t>i</w:t>
      </w:r>
      <w:r w:rsidRPr="00C87F7A">
        <w:t>l faut établir, de façon prépondérante, un risque réel de récidive</w:t>
      </w:r>
      <w:r>
        <w:rPr>
          <w:vertAlign w:val="superscript"/>
        </w:rPr>
        <w:footnoteReference w:id="101"/>
      </w:r>
      <w:r w:rsidRPr="00C87F7A">
        <w:t>.</w:t>
      </w:r>
    </w:p>
    <w:p w14:paraId="6496917E" w14:textId="77777777" w:rsidR="000B6CAD" w:rsidRPr="00C87F7A" w:rsidRDefault="00893AC8" w:rsidP="008A1100">
      <w:pPr>
        <w:pStyle w:val="Paragraphe"/>
        <w:spacing w:line="240" w:lineRule="auto"/>
      </w:pPr>
      <w:r w:rsidRPr="00C87F7A">
        <w:t xml:space="preserve">Les première et </w:t>
      </w:r>
      <w:r w:rsidR="004B3A13" w:rsidRPr="00C87F7A">
        <w:t>troisième conditions</w:t>
      </w:r>
      <w:r w:rsidRPr="00C87F7A">
        <w:t xml:space="preserve"> sont rencontrées en l’espèce.</w:t>
      </w:r>
    </w:p>
    <w:p w14:paraId="7F588B00" w14:textId="77777777" w:rsidR="000B6CAD" w:rsidRPr="00C87F7A" w:rsidRDefault="00893AC8" w:rsidP="008A1100">
      <w:pPr>
        <w:pStyle w:val="Paragraphe"/>
        <w:spacing w:line="240" w:lineRule="auto"/>
      </w:pPr>
      <w:r w:rsidRPr="00C87F7A">
        <w:t>Il s’agit d’un cas clair de propos diffamatoire</w:t>
      </w:r>
      <w:r>
        <w:t>s</w:t>
      </w:r>
      <w:r w:rsidRPr="00C87F7A">
        <w:t>. La virulence des propos et des attaques contre le Barreau et ses représentants, propos qui ont été réitérés à plus d’une reprise lors de l’instruction, est manifeste, répétitive et ne peut être justifié</w:t>
      </w:r>
      <w:r>
        <w:t>e</w:t>
      </w:r>
      <w:r w:rsidRPr="00C87F7A">
        <w:t xml:space="preserve"> d'aucune façon</w:t>
      </w:r>
    </w:p>
    <w:p w14:paraId="02D9855A" w14:textId="77777777" w:rsidR="000B6CAD" w:rsidRDefault="00893AC8" w:rsidP="008A1100">
      <w:pPr>
        <w:pStyle w:val="Paragraphe"/>
        <w:spacing w:line="240" w:lineRule="auto"/>
      </w:pPr>
      <w:r w:rsidRPr="00C87F7A">
        <w:t>Il y a preuve d’un risque réel de récidive. Malgré des condamnations pour outrage au tribunal</w:t>
      </w:r>
      <w:r>
        <w:t xml:space="preserve"> et</w:t>
      </w:r>
      <w:r w:rsidRPr="00C87F7A">
        <w:t xml:space="preserve"> malgré les termes du jugement du juge Castonguay, les défendeurs persistent dans l’émission de propos diffamatoires contre le Barreau.</w:t>
      </w:r>
    </w:p>
    <w:p w14:paraId="6DDD7508" w14:textId="77777777" w:rsidR="000B6CAD" w:rsidRPr="00C87F7A" w:rsidRDefault="00893AC8" w:rsidP="008A1100">
      <w:pPr>
        <w:pStyle w:val="Paragraphe"/>
        <w:spacing w:line="240" w:lineRule="auto"/>
      </w:pPr>
      <w:r>
        <w:t>En outre, l</w:t>
      </w:r>
      <w:r w:rsidRPr="00503C44">
        <w:t xml:space="preserve">orsque </w:t>
      </w:r>
      <w:r>
        <w:t>M.</w:t>
      </w:r>
      <w:r w:rsidRPr="00503C44">
        <w:t xml:space="preserve"> Roy est averti de la demande du Barreau pour procéder à la fermeture de son compte Facebook, ce dernier rétorque que d’autres comptes seront ouverts, laissant ainsi clairement entendre qu’il fera fi des ordonnances</w:t>
      </w:r>
      <w:r>
        <w:t xml:space="preserve"> de la Cour</w:t>
      </w:r>
      <w:r>
        <w:rPr>
          <w:rStyle w:val="Appelnotedebasdep"/>
        </w:rPr>
        <w:footnoteReference w:id="102"/>
      </w:r>
      <w:r>
        <w:t>.</w:t>
      </w:r>
    </w:p>
    <w:p w14:paraId="63DF9B9C" w14:textId="77777777" w:rsidR="000B6CAD" w:rsidRPr="00C87F7A" w:rsidRDefault="00893AC8" w:rsidP="008A1100">
      <w:pPr>
        <w:pStyle w:val="Paragraphe"/>
        <w:spacing w:line="240" w:lineRule="auto"/>
      </w:pPr>
      <w:r w:rsidRPr="00C87F7A">
        <w:t xml:space="preserve">Toutefois, telle que rédigée, l’ordonnance recherchée est trop large et imprécise. Une ordonnance similaire a été refusée par la Cour d’appel dans </w:t>
      </w:r>
      <w:r w:rsidRPr="00C87F7A">
        <w:rPr>
          <w:i/>
          <w:iCs/>
        </w:rPr>
        <w:t>Prud’homme</w:t>
      </w:r>
      <w:r>
        <w:rPr>
          <w:rStyle w:val="Appelnotedebasdep"/>
        </w:rPr>
        <w:footnoteReference w:id="103"/>
      </w:r>
      <w:r w:rsidRPr="00C87F7A">
        <w:t>.</w:t>
      </w:r>
    </w:p>
    <w:p w14:paraId="14618937" w14:textId="77777777" w:rsidR="00E63861" w:rsidRPr="00C87F7A" w:rsidRDefault="00893AC8" w:rsidP="008A1100">
      <w:pPr>
        <w:pStyle w:val="Paragraphe"/>
        <w:spacing w:line="240" w:lineRule="auto"/>
      </w:pPr>
      <w:r w:rsidRPr="00C87F7A">
        <w:t xml:space="preserve">Le Tribunal émettra une injonction permanente, mais uniquement pour interdire aux défendeurs de tenir ou publier des propos diffamatoires soulignés dans les pièces </w:t>
      </w:r>
      <w:r w:rsidRPr="00357799">
        <w:t>P</w:t>
      </w:r>
      <w:r w:rsidR="008A1100">
        <w:noBreakHyphen/>
      </w:r>
      <w:r w:rsidR="00357799">
        <w:t>64, P-64A, P-71</w:t>
      </w:r>
      <w:r w:rsidR="002D2C6A">
        <w:t>, P-71</w:t>
      </w:r>
      <w:r w:rsidR="00357799">
        <w:t xml:space="preserve">A, </w:t>
      </w:r>
      <w:r w:rsidR="003E7C8B">
        <w:t xml:space="preserve">P-78, P-78A, P-83, P-83A, </w:t>
      </w:r>
      <w:r w:rsidR="00AE7578">
        <w:t xml:space="preserve">P-101, et P-101A </w:t>
      </w:r>
      <w:r w:rsidRPr="00C87F7A">
        <w:t>de même que toute affirmation au même effet</w:t>
      </w:r>
      <w:r>
        <w:rPr>
          <w:rStyle w:val="Appelnotedebasdep"/>
        </w:rPr>
        <w:footnoteReference w:id="104"/>
      </w:r>
      <w:r w:rsidRPr="00C87F7A">
        <w:t>.</w:t>
      </w:r>
    </w:p>
    <w:p w14:paraId="7CD9B8C7" w14:textId="77777777" w:rsidR="00A77F6F" w:rsidRDefault="00893AC8" w:rsidP="008A1100">
      <w:pPr>
        <w:pStyle w:val="Paragraphe"/>
        <w:spacing w:line="240" w:lineRule="auto"/>
      </w:pPr>
      <w:r>
        <w:t xml:space="preserve">Pour ce qui est de </w:t>
      </w:r>
      <w:r w:rsidRPr="00A77F6F">
        <w:t>l’</w:t>
      </w:r>
      <w:r w:rsidR="008A1100">
        <w:t>o</w:t>
      </w:r>
      <w:r w:rsidRPr="00A77F6F">
        <w:t>rdonnance pour obtenir l’URL</w:t>
      </w:r>
      <w:r>
        <w:t>, le Tribunal n’y fera pas droit.</w:t>
      </w:r>
    </w:p>
    <w:p w14:paraId="4792942B" w14:textId="77777777" w:rsidR="008A67D9" w:rsidRDefault="00893AC8" w:rsidP="008A1100">
      <w:pPr>
        <w:pStyle w:val="Paragraphe"/>
        <w:spacing w:line="240" w:lineRule="auto"/>
      </w:pPr>
      <w:r>
        <w:t xml:space="preserve">Règle générale, les tribunaux n’ont pas à rendre des ordonnances </w:t>
      </w:r>
      <w:r w:rsidR="00A0124A">
        <w:t xml:space="preserve">préventives au cas </w:t>
      </w:r>
      <w:r w:rsidR="00F0317B">
        <w:t>où il y a</w:t>
      </w:r>
      <w:r w:rsidR="00AB5468">
        <w:t>urait</w:t>
      </w:r>
      <w:r w:rsidR="00F0317B">
        <w:t xml:space="preserve"> violation d’une de leurs </w:t>
      </w:r>
      <w:r w:rsidR="00AB5468">
        <w:t>ordonnances</w:t>
      </w:r>
      <w:r w:rsidR="00F0317B">
        <w:t xml:space="preserve">. </w:t>
      </w:r>
    </w:p>
    <w:p w14:paraId="5D4B026C" w14:textId="77777777" w:rsidR="002E3C52" w:rsidRDefault="00893AC8">
      <w:pPr>
        <w:rPr>
          <w:kern w:val="28"/>
        </w:rPr>
      </w:pPr>
      <w:r>
        <w:br w:type="page"/>
      </w:r>
    </w:p>
    <w:p w14:paraId="21A8CA0B" w14:textId="77777777" w:rsidR="00AB5468" w:rsidRDefault="00893AC8" w:rsidP="008A1100">
      <w:pPr>
        <w:pStyle w:val="Paragraphe"/>
        <w:spacing w:line="240" w:lineRule="auto"/>
      </w:pPr>
      <w:r>
        <w:t>L’injonction</w:t>
      </w:r>
      <w:r w:rsidRPr="004071DF">
        <w:t xml:space="preserve"> permanente</w:t>
      </w:r>
      <w:r w:rsidR="006D1AFD">
        <w:t xml:space="preserve"> que le Tribunal émettra </w:t>
      </w:r>
      <w:r w:rsidRPr="004071DF">
        <w:t>pour interdire aux défendeurs de tenir ou publier des propos diffamatoires</w:t>
      </w:r>
      <w:r w:rsidR="006D1AFD">
        <w:t xml:space="preserve"> est suffisante. </w:t>
      </w:r>
      <w:r w:rsidR="007D36ED">
        <w:t xml:space="preserve">Si les </w:t>
      </w:r>
      <w:r w:rsidR="00167EA6">
        <w:t>défendeurs</w:t>
      </w:r>
      <w:r w:rsidR="007D36ED">
        <w:t xml:space="preserve"> ne respectent pas cette ordonnance</w:t>
      </w:r>
      <w:r w:rsidR="00167EA6">
        <w:t xml:space="preserve"> et que le </w:t>
      </w:r>
      <w:r w:rsidR="006E202D">
        <w:t>B</w:t>
      </w:r>
      <w:r w:rsidR="00167EA6">
        <w:t xml:space="preserve">arreau souhaite faire fermer un compte Facebook </w:t>
      </w:r>
      <w:r w:rsidR="0099297C">
        <w:t xml:space="preserve">utilisé par </w:t>
      </w:r>
      <w:r w:rsidR="008A1100">
        <w:t>eux</w:t>
      </w:r>
      <w:r w:rsidR="0099297C">
        <w:t xml:space="preserve"> pour cette raison</w:t>
      </w:r>
      <w:r w:rsidR="007D36ED">
        <w:t xml:space="preserve">, </w:t>
      </w:r>
      <w:r w:rsidR="0099297C">
        <w:t>il</w:t>
      </w:r>
      <w:r w:rsidR="007D36ED">
        <w:t xml:space="preserve"> </w:t>
      </w:r>
      <w:r w:rsidR="00167EA6">
        <w:t>n’</w:t>
      </w:r>
      <w:r w:rsidR="007D36ED">
        <w:t>aura qu’à saisir l</w:t>
      </w:r>
      <w:r w:rsidR="00167EA6">
        <w:t>a Cour supérieure</w:t>
      </w:r>
      <w:r w:rsidR="0099297C">
        <w:t>.</w:t>
      </w:r>
    </w:p>
    <w:p w14:paraId="635BD58C" w14:textId="77777777" w:rsidR="00516AB0" w:rsidRPr="00C87F7A" w:rsidRDefault="00893AC8" w:rsidP="008A1100">
      <w:pPr>
        <w:pStyle w:val="Paragraphe"/>
        <w:spacing w:line="240" w:lineRule="auto"/>
      </w:pPr>
      <w:r>
        <w:t>Cela dit</w:t>
      </w:r>
      <w:r w:rsidR="008A1100">
        <w:t>,</w:t>
      </w:r>
      <w:r>
        <w:t xml:space="preserve"> </w:t>
      </w:r>
      <w:r w:rsidRPr="00516AB0">
        <w:t>l</w:t>
      </w:r>
      <w:r>
        <w:t>e Tribunal émettra l</w:t>
      </w:r>
      <w:r w:rsidRPr="00516AB0">
        <w:t>’</w:t>
      </w:r>
      <w:r w:rsidR="008A1100">
        <w:t>o</w:t>
      </w:r>
      <w:r w:rsidRPr="00516AB0">
        <w:t>rdonnance pour obtenir l’URL utilisé pour diffuser la vidéo P-101</w:t>
      </w:r>
      <w:r>
        <w:t xml:space="preserve"> puisqu</w:t>
      </w:r>
      <w:r w:rsidR="005E0D67">
        <w:t>’il est démontré qu</w:t>
      </w:r>
      <w:r>
        <w:t xml:space="preserve">e </w:t>
      </w:r>
      <w:r w:rsidR="005E0D67">
        <w:t>cette vidéo est diffamatoire et le Barreau a le droit d’obtenir son retrait</w:t>
      </w:r>
      <w:r w:rsidR="00025ACE">
        <w:t xml:space="preserve"> ou de présenter une demande pour fermer le compte Facebook à partir duquel cette vidéo est diffusée.</w:t>
      </w:r>
    </w:p>
    <w:p w14:paraId="551C359F" w14:textId="77777777" w:rsidR="000B6CAD" w:rsidRDefault="00893AC8" w:rsidP="008A1100">
      <w:pPr>
        <w:pStyle w:val="Titre3"/>
        <w:numPr>
          <w:ilvl w:val="2"/>
          <w:numId w:val="7"/>
        </w:numPr>
        <w:ind w:left="1701" w:hanging="283"/>
      </w:pPr>
      <w:bookmarkStart w:id="91" w:name="_Toc256000026"/>
      <w:bookmarkStart w:id="92" w:name="_Toc224727345"/>
      <w:r w:rsidRPr="00C87F7A">
        <w:rPr>
          <w:rFonts w:cs="Arial"/>
          <w:b/>
          <w:szCs w:val="24"/>
        </w:rPr>
        <w:t>Interdiction de faire usage des médias sociaux</w:t>
      </w:r>
      <w:bookmarkEnd w:id="91"/>
      <w:bookmarkEnd w:id="92"/>
    </w:p>
    <w:p w14:paraId="364205D4" w14:textId="77777777" w:rsidR="000B6CAD" w:rsidRPr="00980371" w:rsidRDefault="00893AC8" w:rsidP="008A1100">
      <w:pPr>
        <w:pStyle w:val="Paragraphe"/>
        <w:spacing w:line="240" w:lineRule="auto"/>
      </w:pPr>
      <w:r w:rsidRPr="00C87F7A">
        <w:t>Le Barreau demande au Tribunal d’interdire à M. Roy de faire usage des médias sociaux</w:t>
      </w:r>
      <w:r w:rsidRPr="00C87F7A">
        <w:rPr>
          <w:kern w:val="0"/>
        </w:rPr>
        <w:t xml:space="preserve"> </w:t>
      </w:r>
      <w:r w:rsidRPr="00C87F7A">
        <w:t>pour une durée de trois ans. Les termes de l’ordonnance recherchée est rédigée en termes absolus.</w:t>
      </w:r>
    </w:p>
    <w:p w14:paraId="1DE67387" w14:textId="77777777" w:rsidR="000B6CAD" w:rsidRPr="00C87F7A" w:rsidRDefault="00893AC8" w:rsidP="008A1100">
      <w:pPr>
        <w:pStyle w:val="Paragraphe"/>
        <w:spacing w:line="240" w:lineRule="auto"/>
      </w:pPr>
      <w:r w:rsidRPr="00C87F7A">
        <w:t xml:space="preserve">Pour les motifs qui suivent, le Tribunal ne peut faire droit à cette conclusion. </w:t>
      </w:r>
    </w:p>
    <w:p w14:paraId="2CEACFE5" w14:textId="77777777" w:rsidR="000B6CAD" w:rsidRPr="00C87F7A" w:rsidRDefault="00893AC8" w:rsidP="008A1100">
      <w:pPr>
        <w:pStyle w:val="Paragraphe"/>
        <w:spacing w:line="240" w:lineRule="auto"/>
      </w:pPr>
      <w:r w:rsidRPr="00C87F7A">
        <w:t>Les médias sociaux jouent un rôle important et omniprésent dans la société d’aujourd’hui.</w:t>
      </w:r>
    </w:p>
    <w:p w14:paraId="47365377" w14:textId="77777777" w:rsidR="000B6CAD" w:rsidRPr="00C87F7A" w:rsidRDefault="00893AC8" w:rsidP="008A1100">
      <w:pPr>
        <w:pStyle w:val="Paragraphe"/>
        <w:spacing w:line="240" w:lineRule="auto"/>
      </w:pPr>
      <w:r w:rsidRPr="00C87F7A">
        <w:t xml:space="preserve">Comme l’a souligné la Cour suprême du Canada, « [l]’accès à Facebook et aux plateformes de média social, y compris les communautés en ligne qu’ils rendent possibles, </w:t>
      </w:r>
      <w:r w:rsidRPr="00C87F7A">
        <w:rPr>
          <w:u w:val="single"/>
        </w:rPr>
        <w:t>a vu son importance s’accroître dans l’exercice de la liberté d’expression</w:t>
      </w:r>
      <w:r w:rsidRPr="00C87F7A">
        <w:t xml:space="preserve"> et de la liberté d’association </w:t>
      </w:r>
      <w:r w:rsidRPr="00C87F7A">
        <w:rPr>
          <w:u w:val="single"/>
        </w:rPr>
        <w:t>ainsi que dans la pleine participation à la démocratie</w:t>
      </w:r>
      <w:r w:rsidRPr="00C87F7A">
        <w:t>. (…) Le choix de "ne pas être en ligne" ne saurait constituer un choix véritable à l’ère d’Internet.</w:t>
      </w:r>
      <w:r>
        <w:t> »</w:t>
      </w:r>
      <w:r>
        <w:rPr>
          <w:rStyle w:val="Appelnotedebasdep"/>
        </w:rPr>
        <w:footnoteReference w:id="105"/>
      </w:r>
      <w:r>
        <w:t xml:space="preserve"> </w:t>
      </w:r>
      <w:r w:rsidRPr="00C87F7A">
        <w:t xml:space="preserve">[soulignements </w:t>
      </w:r>
      <w:r>
        <w:t>du Tribunal</w:t>
      </w:r>
      <w:r w:rsidRPr="00C87F7A">
        <w:t>]</w:t>
      </w:r>
      <w:r>
        <w:t>.</w:t>
      </w:r>
    </w:p>
    <w:p w14:paraId="0A2CDCD1" w14:textId="77777777" w:rsidR="000B6CAD" w:rsidRPr="00C87F7A" w:rsidRDefault="00893AC8" w:rsidP="008A1100">
      <w:pPr>
        <w:pStyle w:val="Paragraphe"/>
        <w:spacing w:line="240" w:lineRule="auto"/>
      </w:pPr>
      <w:r w:rsidRPr="00C87F7A">
        <w:t xml:space="preserve">Il n’existe pas un droit fondamental « d’être en ligne », de disposer d’un compte et d’avoir accès aux plateformes de réseautage numériques. En revanche, interdire à une personne d’avoir accès à Facebook ou toute autre plateforme similaire peut néanmoins se traduire par une atteinte à sa liberté d’expression garantie </w:t>
      </w:r>
      <w:r>
        <w:t xml:space="preserve">à </w:t>
      </w:r>
      <w:r w:rsidRPr="00C87F7A">
        <w:t xml:space="preserve">la </w:t>
      </w:r>
      <w:r w:rsidRPr="00C87F7A">
        <w:rPr>
          <w:i/>
          <w:iCs/>
        </w:rPr>
        <w:t>Charte québécoise</w:t>
      </w:r>
      <w:r w:rsidRPr="00C87F7A">
        <w:t>.</w:t>
      </w:r>
    </w:p>
    <w:p w14:paraId="761FF692" w14:textId="77777777" w:rsidR="000B6CAD" w:rsidRPr="00C87F7A" w:rsidRDefault="00893AC8" w:rsidP="008A1100">
      <w:pPr>
        <w:pStyle w:val="Paragraphe"/>
        <w:spacing w:line="240" w:lineRule="auto"/>
      </w:pPr>
      <w:r w:rsidRPr="00C87F7A">
        <w:t>En l’espèce,</w:t>
      </w:r>
      <w:r w:rsidRPr="00C87F7A">
        <w:rPr>
          <w:kern w:val="0"/>
        </w:rPr>
        <w:t xml:space="preserve"> </w:t>
      </w:r>
      <w:r w:rsidRPr="00C87F7A">
        <w:t>la conclusion est rédigée en termes absolus et sans nuance puisqu’elle interdit l’utilisation directe et indirecte de toutes les plateformes de réseaux sociaux.</w:t>
      </w:r>
    </w:p>
    <w:p w14:paraId="4343252B" w14:textId="77777777" w:rsidR="000B6CAD" w:rsidRPr="00C87F7A" w:rsidRDefault="00893AC8" w:rsidP="008A1100">
      <w:pPr>
        <w:pStyle w:val="Paragraphe"/>
        <w:spacing w:line="240" w:lineRule="auto"/>
      </w:pPr>
      <w:r w:rsidRPr="00C87F7A">
        <w:t>L’interdiction absolue d’utiliser les réseaux sociaux recherchée par Le Barreau porte atteinte à la liberté d’expression de M. Roy, puisqu’elle le prive tant de la possibilité de s’y exprimer que de s’y informer.</w:t>
      </w:r>
    </w:p>
    <w:p w14:paraId="01F5AC48" w14:textId="77777777" w:rsidR="000B6CAD" w:rsidRPr="00C87F7A" w:rsidRDefault="00893AC8" w:rsidP="008A1100">
      <w:pPr>
        <w:pStyle w:val="Paragraphe"/>
        <w:spacing w:line="240" w:lineRule="auto"/>
      </w:pPr>
      <w:r w:rsidRPr="00C87F7A">
        <w:t xml:space="preserve">De plus, la mention « les réseaux sociaux, tels que Facebook, Instagram ou tout autre » est à sa face même imprécise. En effet, qu’est-ce qui distingue un réseau social d’un site Internet? Le site YouTube est-il un réseau social ou une application qui échappe à cette définition? </w:t>
      </w:r>
    </w:p>
    <w:p w14:paraId="48DEE879" w14:textId="77777777" w:rsidR="000B6CAD" w:rsidRPr="00C87F7A" w:rsidRDefault="00893AC8" w:rsidP="008A1100">
      <w:pPr>
        <w:pStyle w:val="Paragraphe"/>
        <w:spacing w:line="240" w:lineRule="auto"/>
      </w:pPr>
      <w:r w:rsidRPr="00C87F7A">
        <w:t xml:space="preserve">Cela dit, la liberté d’expression, à l’instar des autres droits et libertés garantis par la </w:t>
      </w:r>
      <w:r w:rsidRPr="00C87F7A">
        <w:rPr>
          <w:i/>
          <w:iCs/>
        </w:rPr>
        <w:t>Charte québécoise</w:t>
      </w:r>
      <w:r w:rsidRPr="00C87F7A">
        <w:t>, n’est pas absolue. Il est possible de la restreindre dans certaines circonstances. Le législateur a prévu une clause limitative à l’art</w:t>
      </w:r>
      <w:r>
        <w:t>icle</w:t>
      </w:r>
      <w:r w:rsidRPr="00C87F7A">
        <w:t xml:space="preserve"> 9.1 de la </w:t>
      </w:r>
      <w:r w:rsidRPr="008A1100">
        <w:rPr>
          <w:i/>
          <w:iCs/>
        </w:rPr>
        <w:t>Charte québécoise</w:t>
      </w:r>
      <w:r w:rsidRPr="00C87F7A">
        <w:t>, laquelle prévoit que :</w:t>
      </w:r>
    </w:p>
    <w:p w14:paraId="2A894B25" w14:textId="77777777" w:rsidR="000B6CAD" w:rsidRPr="00C87F7A" w:rsidRDefault="00893AC8" w:rsidP="008A1100">
      <w:pPr>
        <w:pStyle w:val="Citationenretrait"/>
      </w:pPr>
      <w:r w:rsidRPr="00493521">
        <w:rPr>
          <w:b/>
          <w:bCs/>
        </w:rPr>
        <w:t>9.1.</w:t>
      </w:r>
      <w:r w:rsidRPr="00C87F7A">
        <w:t xml:space="preserve"> Les droits et libertés de la personne s’exercent dans le respect des valeurs démocratiques, de la laïcité de l’État, de l’importance accordée à la protection du français, du modèle d’intégration à la nation québécoise, de l’ordre public et du bien-être général des citoyens du Québec.</w:t>
      </w:r>
    </w:p>
    <w:p w14:paraId="7014851C" w14:textId="77777777" w:rsidR="000B6CAD" w:rsidRPr="00C87F7A" w:rsidRDefault="00893AC8" w:rsidP="008A1100">
      <w:pPr>
        <w:pStyle w:val="Paragraphe"/>
        <w:spacing w:line="240" w:lineRule="auto"/>
      </w:pPr>
      <w:r w:rsidRPr="00C87F7A">
        <w:t>Au paragraphe 100 de son plan d’argumentation, le Barreau reconnaît que la fermeture des comptes Facebook du défendeur restreint l’exercice de son droit à la liberté d’expression, mais allègue néanmoins que cette restriction est justifiée par la protection du public.</w:t>
      </w:r>
    </w:p>
    <w:p w14:paraId="5E4365A0" w14:textId="77777777" w:rsidR="000B6CAD" w:rsidRPr="00C87F7A" w:rsidRDefault="00893AC8" w:rsidP="008A1100">
      <w:pPr>
        <w:pStyle w:val="Paragraphe"/>
        <w:spacing w:line="240" w:lineRule="auto"/>
      </w:pPr>
      <w:r w:rsidRPr="00C87F7A">
        <w:t>Selon le Barreau, cette violation serait aussi justifiée en raison du comportement de M. Roy qui contrevient de manière répétée aux ordonnances de la Cour.</w:t>
      </w:r>
    </w:p>
    <w:p w14:paraId="5A9E9F0A" w14:textId="77777777" w:rsidR="000B6CAD" w:rsidRPr="00C87F7A" w:rsidRDefault="00893AC8" w:rsidP="008A1100">
      <w:pPr>
        <w:pStyle w:val="Paragraphe"/>
        <w:spacing w:line="240" w:lineRule="auto"/>
      </w:pPr>
      <w:r w:rsidRPr="00C87F7A">
        <w:t>L’art</w:t>
      </w:r>
      <w:r>
        <w:t>icle</w:t>
      </w:r>
      <w:r w:rsidRPr="00C87F7A">
        <w:t xml:space="preserve"> 9.1 de la </w:t>
      </w:r>
      <w:r w:rsidRPr="00C87F7A">
        <w:rPr>
          <w:i/>
          <w:iCs/>
        </w:rPr>
        <w:t>Charte</w:t>
      </w:r>
      <w:r w:rsidRPr="00C87F7A">
        <w:t xml:space="preserve"> nous convie à un exercice de mise en balance d’intérêts opposés</w:t>
      </w:r>
      <w:r>
        <w:rPr>
          <w:rStyle w:val="Appelnotedebasdep"/>
        </w:rPr>
        <w:footnoteReference w:id="106"/>
      </w:r>
      <w:r w:rsidRPr="00C87F7A">
        <w:t>.</w:t>
      </w:r>
    </w:p>
    <w:p w14:paraId="12481C66" w14:textId="77777777" w:rsidR="000B6CAD" w:rsidRPr="00C87F7A" w:rsidRDefault="00893AC8" w:rsidP="008A1100">
      <w:pPr>
        <w:pStyle w:val="Paragraphe"/>
        <w:spacing w:line="240" w:lineRule="auto"/>
      </w:pPr>
      <w:r w:rsidRPr="00C87F7A">
        <w:t>Ayant conclu que l’ordonnance recherchée, soit une interdiction absolue de faire usage des médias sociaux, porte atteinte à la liberté d’expression de M. Roy, le Tribunal doit maintenant apprécier la demande du Barreau de protéger le public en regard « des valeurs démocratiques, de l’ordre public et du bien-être général des citoyens du Québec »</w:t>
      </w:r>
      <w:r>
        <w:rPr>
          <w:rStyle w:val="Appelnotedebasdep"/>
        </w:rPr>
        <w:footnoteReference w:id="107"/>
      </w:r>
      <w:r w:rsidRPr="00C87F7A">
        <w:t xml:space="preserve">. </w:t>
      </w:r>
    </w:p>
    <w:p w14:paraId="73763FC1" w14:textId="77777777" w:rsidR="000B6CAD" w:rsidRPr="00C87F7A" w:rsidRDefault="00893AC8" w:rsidP="008A1100">
      <w:pPr>
        <w:pStyle w:val="Paragraphe"/>
        <w:spacing w:line="240" w:lineRule="auto"/>
      </w:pPr>
      <w:r w:rsidRPr="00C87F7A">
        <w:t>Empêcher une personne d’utiliser directement ou indirectement les réseaux sociaux, sans aucune limite ou balise, est une mesure dont l’effet sur les droits de M. Roy est disproportionné par rapport au bénéfice qu’en retire le public.</w:t>
      </w:r>
    </w:p>
    <w:p w14:paraId="1A78D2FD" w14:textId="77777777" w:rsidR="000B6CAD" w:rsidRPr="00C87F7A" w:rsidRDefault="00893AC8" w:rsidP="008A1100">
      <w:pPr>
        <w:pStyle w:val="Paragraphe"/>
        <w:spacing w:line="240" w:lineRule="auto"/>
      </w:pPr>
      <w:r w:rsidRPr="00C87F7A">
        <w:t>En effet, la protection du public, dont le Barreau se porte garant, est déjà assurée par l’ordonnance qu’émettra le Tribunal enjoignant aux défendeurs de ne pas faire, ni prétendre faire des actes réservés aux avocats. En revanche, le désavantage subi par M. Roy est démesuré puisqu’il ne peut ni s’exprimer, ni s’informer via les réseaux sociaux</w:t>
      </w:r>
      <w:r>
        <w:t>,</w:t>
      </w:r>
      <w:r w:rsidRPr="00C87F7A">
        <w:t xml:space="preserve"> et ce, afin d’assurer la réalisation d’un objectif de protection déjà desservi par une autre ordonnance. </w:t>
      </w:r>
    </w:p>
    <w:p w14:paraId="284301C3" w14:textId="77777777" w:rsidR="000B6CAD" w:rsidRDefault="00893AC8" w:rsidP="008A1100">
      <w:pPr>
        <w:pStyle w:val="Paragraphe"/>
        <w:spacing w:line="240" w:lineRule="auto"/>
      </w:pPr>
      <w:r w:rsidRPr="00C87F7A">
        <w:t>L’atteinte ne peut donc se justifier et l’ordonnance ne doit pas être accordée.</w:t>
      </w:r>
    </w:p>
    <w:p w14:paraId="2DA7651E" w14:textId="77777777" w:rsidR="00E854A2" w:rsidRDefault="00893AC8" w:rsidP="008A1100">
      <w:pPr>
        <w:pStyle w:val="Titre1"/>
      </w:pPr>
      <w:bookmarkStart w:id="93" w:name="_Toc256000027"/>
      <w:bookmarkStart w:id="94" w:name="_Toc224727346"/>
      <w:r>
        <w:t>CONCLUSION</w:t>
      </w:r>
      <w:r w:rsidR="00681FAD">
        <w:t>S</w:t>
      </w:r>
      <w:bookmarkEnd w:id="93"/>
      <w:bookmarkEnd w:id="94"/>
    </w:p>
    <w:p w14:paraId="09DEEA1F" w14:textId="77777777" w:rsidR="00925660" w:rsidRDefault="00893AC8" w:rsidP="008A1100">
      <w:pPr>
        <w:pStyle w:val="Paragraphe"/>
        <w:spacing w:line="240" w:lineRule="auto"/>
      </w:pPr>
      <w:r>
        <w:t>Le Barreau a é</w:t>
      </w:r>
      <w:r w:rsidR="00A52335">
        <w:t>tabli</w:t>
      </w:r>
      <w:r>
        <w:t xml:space="preserve"> que </w:t>
      </w:r>
      <w:r w:rsidR="00946DEE">
        <w:t>les défendeurs</w:t>
      </w:r>
      <w:r w:rsidRPr="00313FED">
        <w:t xml:space="preserve"> </w:t>
      </w:r>
      <w:r w:rsidR="00E24C51">
        <w:t>ont posé</w:t>
      </w:r>
      <w:r w:rsidR="00D729C2">
        <w:t xml:space="preserve"> </w:t>
      </w:r>
      <w:r w:rsidRPr="00313FED">
        <w:t xml:space="preserve">des actes qui sont du ressort exclusif de l’avocat au sens de l’article 128 de la </w:t>
      </w:r>
      <w:r w:rsidRPr="00D05D93">
        <w:rPr>
          <w:i/>
        </w:rPr>
        <w:t>Loi sur le Barreau</w:t>
      </w:r>
      <w:r w:rsidR="00D05D93">
        <w:rPr>
          <w:iCs/>
        </w:rPr>
        <w:t>.</w:t>
      </w:r>
    </w:p>
    <w:p w14:paraId="47C85FE8" w14:textId="77777777" w:rsidR="00D05D93" w:rsidRDefault="00893AC8" w:rsidP="008A1100">
      <w:pPr>
        <w:pStyle w:val="Paragraphe"/>
        <w:spacing w:line="240" w:lineRule="auto"/>
      </w:pPr>
      <w:r>
        <w:t xml:space="preserve">Les </w:t>
      </w:r>
      <w:r w:rsidR="00181B3D">
        <w:t>m</w:t>
      </w:r>
      <w:r>
        <w:t xml:space="preserve">oyens de défense des défendeurs sont mal fondés. </w:t>
      </w:r>
      <w:r w:rsidR="00D729C2">
        <w:t>D’une part</w:t>
      </w:r>
      <w:r>
        <w:t xml:space="preserve">, </w:t>
      </w:r>
      <w:r w:rsidRPr="00D05D93">
        <w:t xml:space="preserve">l’article 42 de la </w:t>
      </w:r>
      <w:r w:rsidRPr="00443125">
        <w:rPr>
          <w:i/>
          <w:iCs/>
        </w:rPr>
        <w:t>Loi sur la protection de la jeunesse</w:t>
      </w:r>
      <w:r w:rsidRPr="00D05D93">
        <w:t xml:space="preserve"> </w:t>
      </w:r>
      <w:r>
        <w:t>n</w:t>
      </w:r>
      <w:r w:rsidR="00D729C2">
        <w:t>’</w:t>
      </w:r>
      <w:r w:rsidRPr="00D05D93">
        <w:t>autorise</w:t>
      </w:r>
      <w:r>
        <w:t xml:space="preserve"> pas </w:t>
      </w:r>
      <w:r w:rsidR="001637D6">
        <w:t xml:space="preserve">les défendeurs </w:t>
      </w:r>
      <w:r w:rsidRPr="00D05D93">
        <w:t xml:space="preserve">à </w:t>
      </w:r>
      <w:r w:rsidR="001C0A95">
        <w:t>poser</w:t>
      </w:r>
      <w:r w:rsidR="0019050E">
        <w:t xml:space="preserve"> des actes</w:t>
      </w:r>
      <w:r w:rsidR="00C0463D">
        <w:t xml:space="preserve"> </w:t>
      </w:r>
      <w:r w:rsidR="0019050E" w:rsidRPr="0019050E">
        <w:t>du ressort exclusif de l’avocat en exercice ou du conseiller en loi</w:t>
      </w:r>
      <w:r w:rsidR="00C0463D">
        <w:t>.</w:t>
      </w:r>
      <w:r w:rsidRPr="00D05D93">
        <w:t xml:space="preserve"> </w:t>
      </w:r>
      <w:r w:rsidR="00136D61">
        <w:t>D</w:t>
      </w:r>
      <w:r w:rsidR="001637D6">
        <w:t>’autre part</w:t>
      </w:r>
      <w:r w:rsidRPr="00D05D93">
        <w:t xml:space="preserve">, l’article 43 de cette </w:t>
      </w:r>
      <w:r w:rsidR="001637D6">
        <w:t>l</w:t>
      </w:r>
      <w:r w:rsidRPr="00D05D93">
        <w:t xml:space="preserve">oi </w:t>
      </w:r>
      <w:r>
        <w:t xml:space="preserve">ne </w:t>
      </w:r>
      <w:r w:rsidR="001C0A95">
        <w:t xml:space="preserve">leur </w:t>
      </w:r>
      <w:r w:rsidRPr="00D05D93">
        <w:t>confère</w:t>
      </w:r>
      <w:r>
        <w:t xml:space="preserve"> </w:t>
      </w:r>
      <w:r w:rsidR="001C0A95">
        <w:t xml:space="preserve">aucune </w:t>
      </w:r>
      <w:r w:rsidRPr="00D05D93">
        <w:t xml:space="preserve">immunité contre </w:t>
      </w:r>
      <w:r w:rsidR="00A072AC">
        <w:t xml:space="preserve">une </w:t>
      </w:r>
      <w:r w:rsidRPr="00D05D93">
        <w:t>poursuite</w:t>
      </w:r>
      <w:r w:rsidR="00A072AC">
        <w:t xml:space="preserve"> </w:t>
      </w:r>
      <w:r w:rsidR="001C0A95">
        <w:t>judiciaire</w:t>
      </w:r>
      <w:r w:rsidR="00181B3D">
        <w:t>.</w:t>
      </w:r>
    </w:p>
    <w:p w14:paraId="6D142D68" w14:textId="77777777" w:rsidR="00136D61" w:rsidRDefault="00893AC8" w:rsidP="008A1100">
      <w:pPr>
        <w:pStyle w:val="Paragraphe"/>
        <w:spacing w:line="240" w:lineRule="auto"/>
      </w:pPr>
      <w:r>
        <w:t>L</w:t>
      </w:r>
      <w:r w:rsidRPr="00136D61">
        <w:t xml:space="preserve">e </w:t>
      </w:r>
      <w:r w:rsidR="002B79E1">
        <w:t>M</w:t>
      </w:r>
      <w:r w:rsidRPr="00136D61">
        <w:t>oyen de défense fondé sur l’autorisation préalable est</w:t>
      </w:r>
      <w:r>
        <w:t xml:space="preserve"> également </w:t>
      </w:r>
      <w:r w:rsidR="004E0983">
        <w:t>in</w:t>
      </w:r>
      <w:r w:rsidRPr="00136D61">
        <w:t>fondé et</w:t>
      </w:r>
      <w:r w:rsidR="009A63C9">
        <w:t>,</w:t>
      </w:r>
      <w:r w:rsidRPr="00136D61">
        <w:t xml:space="preserve"> d</w:t>
      </w:r>
      <w:r w:rsidR="002B79E1">
        <w:t xml:space="preserve">e surcroît, </w:t>
      </w:r>
      <w:r w:rsidRPr="00136D61">
        <w:t>abusif</w:t>
      </w:r>
      <w:r w:rsidR="002B79E1">
        <w:t xml:space="preserve"> au sens de l’article 51 </w:t>
      </w:r>
      <w:r w:rsidR="002B79E1" w:rsidRPr="002B79E1">
        <w:rPr>
          <w:i/>
          <w:iCs/>
        </w:rPr>
        <w:t>C.p.c.</w:t>
      </w:r>
    </w:p>
    <w:p w14:paraId="3A1EDEBA" w14:textId="77777777" w:rsidR="00BC4EC1" w:rsidRDefault="00893AC8" w:rsidP="008A1100">
      <w:pPr>
        <w:pStyle w:val="Paragraphe"/>
        <w:spacing w:line="240" w:lineRule="auto"/>
      </w:pPr>
      <w:r w:rsidRPr="00BC4EC1">
        <w:t xml:space="preserve">Les défendeurs ont commis une faute civile </w:t>
      </w:r>
      <w:r w:rsidR="009A63C9">
        <w:t xml:space="preserve">en </w:t>
      </w:r>
      <w:r w:rsidR="00172BF1">
        <w:t xml:space="preserve">diffusant </w:t>
      </w:r>
      <w:r w:rsidRPr="00BC4EC1">
        <w:t xml:space="preserve">sur les réseaux sociaux des écrits ou </w:t>
      </w:r>
      <w:r w:rsidR="00881904">
        <w:t xml:space="preserve">des </w:t>
      </w:r>
      <w:r w:rsidRPr="00BC4EC1">
        <w:t xml:space="preserve">vidéos diffamatoires </w:t>
      </w:r>
      <w:r w:rsidR="00A45466">
        <w:t>visant le</w:t>
      </w:r>
      <w:r w:rsidRPr="00BC4EC1">
        <w:t xml:space="preserve"> Barreau </w:t>
      </w:r>
      <w:r w:rsidR="00881904">
        <w:t>ainsi que</w:t>
      </w:r>
      <w:r w:rsidRPr="00BC4EC1">
        <w:t xml:space="preserve"> ses employés, représentants et dirigeants</w:t>
      </w:r>
      <w:r w:rsidR="00D53E07">
        <w:t>.</w:t>
      </w:r>
    </w:p>
    <w:p w14:paraId="4D53476F" w14:textId="77777777" w:rsidR="00D53E07" w:rsidRDefault="00893AC8" w:rsidP="008A1100">
      <w:pPr>
        <w:pStyle w:val="Paragraphe"/>
        <w:spacing w:line="240" w:lineRule="auto"/>
      </w:pPr>
      <w:r w:rsidRPr="00D53E07">
        <w:t xml:space="preserve">L’article 128.1b) de la </w:t>
      </w:r>
      <w:r w:rsidRPr="00A0766F">
        <w:rPr>
          <w:i/>
          <w:iCs/>
        </w:rPr>
        <w:t>Loi sur le Barreau</w:t>
      </w:r>
      <w:r w:rsidRPr="00D53E07">
        <w:t xml:space="preserve"> et l’article 87 alinéa 3 du </w:t>
      </w:r>
      <w:r w:rsidRPr="00A0766F">
        <w:rPr>
          <w:i/>
          <w:iCs/>
        </w:rPr>
        <w:t>Code de procédure civile</w:t>
      </w:r>
      <w:r w:rsidRPr="00D53E07">
        <w:t xml:space="preserve"> </w:t>
      </w:r>
      <w:r w:rsidR="00A0766F">
        <w:t xml:space="preserve">ne </w:t>
      </w:r>
      <w:r w:rsidRPr="00D53E07">
        <w:t>sont</w:t>
      </w:r>
      <w:r w:rsidR="00A0766F">
        <w:t xml:space="preserve"> pas </w:t>
      </w:r>
      <w:r w:rsidR="00881904">
        <w:t>in</w:t>
      </w:r>
      <w:r w:rsidR="00A0766F">
        <w:t>constitutionnel</w:t>
      </w:r>
      <w:r w:rsidR="00881904">
        <w:t>s</w:t>
      </w:r>
      <w:r w:rsidR="00A0766F">
        <w:t>.</w:t>
      </w:r>
    </w:p>
    <w:p w14:paraId="0EE83A34" w14:textId="77777777" w:rsidR="00A0766F" w:rsidRDefault="00893AC8" w:rsidP="008A1100">
      <w:pPr>
        <w:pStyle w:val="Paragraphe"/>
        <w:spacing w:line="240" w:lineRule="auto"/>
      </w:pPr>
      <w:r>
        <w:t>En conséquence</w:t>
      </w:r>
      <w:r w:rsidR="00695820">
        <w:t xml:space="preserve">, le Tribunal </w:t>
      </w:r>
      <w:r>
        <w:t>prononcera</w:t>
      </w:r>
      <w:r w:rsidR="00695820">
        <w:t xml:space="preserve"> des injonctions perma</w:t>
      </w:r>
      <w:r w:rsidR="0069299D">
        <w:t>nente</w:t>
      </w:r>
      <w:r>
        <w:t>s</w:t>
      </w:r>
      <w:r w:rsidR="0069299D">
        <w:t xml:space="preserve"> </w:t>
      </w:r>
      <w:r w:rsidR="00D91634">
        <w:t>à l</w:t>
      </w:r>
      <w:r>
        <w:t>’encontre des défendeurs</w:t>
      </w:r>
      <w:r w:rsidR="00EC28DC">
        <w:t xml:space="preserve"> afin</w:t>
      </w:r>
      <w:r w:rsidR="00E22F00">
        <w:t xml:space="preserve"> </w:t>
      </w:r>
      <w:r w:rsidR="004C1AEB">
        <w:t xml:space="preserve">notamment </w:t>
      </w:r>
      <w:r w:rsidR="00701385">
        <w:t>de leur interdire :</w:t>
      </w:r>
      <w:r w:rsidR="0069299D" w:rsidRPr="0069299D">
        <w:t xml:space="preserve"> </w:t>
      </w:r>
      <w:r w:rsidR="00B36EA8">
        <w:t xml:space="preserve">(i) </w:t>
      </w:r>
      <w:r w:rsidR="00701385">
        <w:t>de poser</w:t>
      </w:r>
      <w:r w:rsidR="00B91A15">
        <w:t xml:space="preserve"> </w:t>
      </w:r>
      <w:r w:rsidR="0069299D" w:rsidRPr="0069299D">
        <w:t xml:space="preserve">ou de prétendre </w:t>
      </w:r>
      <w:r w:rsidR="00B91A15">
        <w:t>poser</w:t>
      </w:r>
      <w:r w:rsidR="0069299D" w:rsidRPr="0069299D">
        <w:t xml:space="preserve"> des actes réservés aux membres du Barreau</w:t>
      </w:r>
      <w:r w:rsidR="00494A29">
        <w:rPr>
          <w:kern w:val="0"/>
        </w:rPr>
        <w:t>;</w:t>
      </w:r>
      <w:r w:rsidR="00B36EA8">
        <w:rPr>
          <w:kern w:val="0"/>
        </w:rPr>
        <w:t xml:space="preserve"> (ii)</w:t>
      </w:r>
      <w:r w:rsidR="0069299D">
        <w:rPr>
          <w:kern w:val="0"/>
        </w:rPr>
        <w:t xml:space="preserve"> </w:t>
      </w:r>
      <w:r w:rsidR="0069299D">
        <w:t>d</w:t>
      </w:r>
      <w:r w:rsidR="0069299D" w:rsidRPr="0069299D">
        <w:t xml:space="preserve">’agir de manière à </w:t>
      </w:r>
      <w:r w:rsidR="00B91A15">
        <w:t>laisser</w:t>
      </w:r>
      <w:r w:rsidR="0069299D" w:rsidRPr="0069299D">
        <w:t xml:space="preserve"> croire qu’ils sont autorisés à </w:t>
      </w:r>
      <w:r w:rsidR="00494A29">
        <w:t>exercer</w:t>
      </w:r>
      <w:r w:rsidR="0069299D" w:rsidRPr="0069299D">
        <w:t xml:space="preserve"> les fonctions d’avocat ou à en faire les actes</w:t>
      </w:r>
      <w:r w:rsidR="00494A29">
        <w:t>;</w:t>
      </w:r>
      <w:r w:rsidR="0069299D">
        <w:t xml:space="preserve"> </w:t>
      </w:r>
      <w:r w:rsidR="00B3586E">
        <w:t xml:space="preserve">et </w:t>
      </w:r>
      <w:r w:rsidR="00B36EA8">
        <w:t xml:space="preserve">(iii) </w:t>
      </w:r>
      <w:r w:rsidR="00B36EA8" w:rsidRPr="00B36EA8">
        <w:t xml:space="preserve">de tenir ou </w:t>
      </w:r>
      <w:r w:rsidR="006F7CB6">
        <w:t xml:space="preserve">de </w:t>
      </w:r>
      <w:r w:rsidR="00B36EA8" w:rsidRPr="00B36EA8">
        <w:t>publier</w:t>
      </w:r>
      <w:r w:rsidR="006F7CB6">
        <w:t>,</w:t>
      </w:r>
      <w:r w:rsidR="00B36EA8" w:rsidRPr="00B36EA8">
        <w:t xml:space="preserve"> dans les médias ou sur les réseaux sociaux</w:t>
      </w:r>
      <w:r w:rsidR="006F7CB6">
        <w:t>,</w:t>
      </w:r>
      <w:r w:rsidR="00B36EA8" w:rsidRPr="00B36EA8">
        <w:t xml:space="preserve"> des propos tels que ceux décrits </w:t>
      </w:r>
      <w:r w:rsidR="006F7CB6">
        <w:t>aux</w:t>
      </w:r>
      <w:r w:rsidR="00B36EA8" w:rsidRPr="00B36EA8">
        <w:t xml:space="preserve"> pièces P-64, P-64A, P-71, P-71A, P-78, P-78A, P-83, P-83A, P-101 et P-101A</w:t>
      </w:r>
      <w:r w:rsidR="006F7CB6">
        <w:t>, ainsi</w:t>
      </w:r>
      <w:r w:rsidR="00B36EA8" w:rsidRPr="00B36EA8">
        <w:t xml:space="preserve"> que toute affirmation </w:t>
      </w:r>
      <w:r w:rsidR="006F7CB6">
        <w:t>de même nature</w:t>
      </w:r>
      <w:r w:rsidR="00B3586E">
        <w:t>.</w:t>
      </w:r>
    </w:p>
    <w:p w14:paraId="7E0D9E4D" w14:textId="77777777" w:rsidR="00074502" w:rsidRDefault="00893AC8" w:rsidP="008A1100">
      <w:pPr>
        <w:pStyle w:val="Paragraphe"/>
        <w:spacing w:line="240" w:lineRule="auto"/>
      </w:pPr>
      <w:r w:rsidRPr="00074502">
        <w:t xml:space="preserve">La demande du Barreau visant </w:t>
      </w:r>
      <w:r>
        <w:t xml:space="preserve">à </w:t>
      </w:r>
      <w:r w:rsidRPr="00074502">
        <w:t xml:space="preserve">interdire à M. Roy </w:t>
      </w:r>
      <w:r w:rsidR="007E0B01">
        <w:t>l’u</w:t>
      </w:r>
      <w:r w:rsidRPr="00074502">
        <w:t>sage des médias sociaux pour une durée de trois ans</w:t>
      </w:r>
      <w:r>
        <w:t xml:space="preserve"> est re</w:t>
      </w:r>
      <w:r w:rsidR="000E16B4">
        <w:t>jeté</w:t>
      </w:r>
      <w:r w:rsidR="00681FAD">
        <w:t>e.</w:t>
      </w:r>
    </w:p>
    <w:p w14:paraId="6B7EDFC3" w14:textId="77777777" w:rsidR="00A175FB" w:rsidRDefault="00893AC8" w:rsidP="008A1100">
      <w:pPr>
        <w:pStyle w:val="Paragraphe"/>
        <w:numPr>
          <w:ilvl w:val="0"/>
          <w:numId w:val="0"/>
        </w:numPr>
        <w:spacing w:line="240" w:lineRule="auto"/>
      </w:pPr>
      <w:r w:rsidRPr="003345BF">
        <w:rPr>
          <w:b/>
          <w:bCs/>
        </w:rPr>
        <w:t>POUR CES MOTIFS, LE TRIBUNAL :</w:t>
      </w:r>
    </w:p>
    <w:p w14:paraId="7D5B3C57" w14:textId="77777777" w:rsidR="003345BF" w:rsidRPr="003345BF" w:rsidRDefault="00893AC8" w:rsidP="008A1100">
      <w:pPr>
        <w:pStyle w:val="Paragraphe"/>
        <w:spacing w:line="240" w:lineRule="auto"/>
      </w:pPr>
      <w:r w:rsidRPr="00CA0DB2">
        <w:rPr>
          <w:b/>
          <w:bCs/>
        </w:rPr>
        <w:t>ACCUEILLE</w:t>
      </w:r>
      <w:r>
        <w:t xml:space="preserve"> </w:t>
      </w:r>
      <w:r w:rsidR="00CA0DB2">
        <w:t>en</w:t>
      </w:r>
      <w:r>
        <w:t xml:space="preserve"> partie la </w:t>
      </w:r>
      <w:r w:rsidR="00A66C99">
        <w:t>demande</w:t>
      </w:r>
      <w:r w:rsidR="00CA0DB2">
        <w:t xml:space="preserve"> introductive d’instance </w:t>
      </w:r>
      <w:r w:rsidR="00850A67" w:rsidRPr="00850A67">
        <w:t xml:space="preserve">du Barreau du </w:t>
      </w:r>
      <w:r w:rsidR="00380A72" w:rsidRPr="00850A67">
        <w:t>Québec pour</w:t>
      </w:r>
      <w:r w:rsidR="00CA0DB2">
        <w:t xml:space="preserve"> l’octroi d’une injonction permanente modifiée le 12</w:t>
      </w:r>
      <w:r w:rsidR="009D643E">
        <w:t xml:space="preserve"> septembre</w:t>
      </w:r>
      <w:r w:rsidR="00CA0DB2">
        <w:t xml:space="preserve"> 2025</w:t>
      </w:r>
      <w:r w:rsidR="00850A67">
        <w:t>;</w:t>
      </w:r>
    </w:p>
    <w:p w14:paraId="3026C33A" w14:textId="77777777" w:rsidR="001D4A41" w:rsidRDefault="00893AC8" w:rsidP="008A1100">
      <w:pPr>
        <w:pStyle w:val="Paragraphe"/>
        <w:spacing w:line="240" w:lineRule="auto"/>
      </w:pPr>
      <w:r w:rsidRPr="00344313">
        <w:rPr>
          <w:b/>
          <w:bCs/>
        </w:rPr>
        <w:t>ÉMET UNE INJONCTION PERMANENTE</w:t>
      </w:r>
      <w:r w:rsidR="00556711">
        <w:t xml:space="preserve"> et </w:t>
      </w:r>
      <w:r w:rsidR="00556711" w:rsidRPr="00344313">
        <w:rPr>
          <w:b/>
          <w:bCs/>
        </w:rPr>
        <w:t>INTERDIT</w:t>
      </w:r>
      <w:r w:rsidR="00344313">
        <w:t xml:space="preserve"> </w:t>
      </w:r>
      <w:r w:rsidR="00344313" w:rsidRPr="00344313">
        <w:t xml:space="preserve">aux défendeurs et à leurs dirigeants, représentants ou employés, ainsi qu’à toute autre personne physique ou morale sous leur charge ou responsabilité : </w:t>
      </w:r>
    </w:p>
    <w:p w14:paraId="5A1C5804" w14:textId="77777777" w:rsidR="001D4A41" w:rsidRDefault="00893AC8" w:rsidP="002E3C52">
      <w:pPr>
        <w:pStyle w:val="Sous-paragraphe"/>
        <w:tabs>
          <w:tab w:val="clear" w:pos="792"/>
          <w:tab w:val="num" w:pos="1134"/>
        </w:tabs>
        <w:ind w:left="1134" w:hanging="567"/>
      </w:pPr>
      <w:r w:rsidRPr="00344313">
        <w:t>De faire ou de prétendre faire des actes réservés aux membres du Barreau, à savoir notamment :</w:t>
      </w:r>
    </w:p>
    <w:p w14:paraId="0C698A64" w14:textId="77777777" w:rsidR="00344313" w:rsidRPr="00344313" w:rsidRDefault="00893AC8" w:rsidP="002E3C52">
      <w:pPr>
        <w:pStyle w:val="Paragraphe"/>
        <w:numPr>
          <w:ilvl w:val="0"/>
          <w:numId w:val="0"/>
        </w:numPr>
        <w:spacing w:line="240" w:lineRule="auto"/>
        <w:ind w:left="1134"/>
      </w:pPr>
      <w:r w:rsidRPr="00344313">
        <w:t xml:space="preserve">▪ donner des consultations et avis d’ordre juridique; </w:t>
      </w:r>
    </w:p>
    <w:p w14:paraId="47EED83F" w14:textId="77777777" w:rsidR="00344313" w:rsidRPr="00344313" w:rsidRDefault="00893AC8" w:rsidP="002E3C52">
      <w:pPr>
        <w:pStyle w:val="Paragraphe"/>
        <w:numPr>
          <w:ilvl w:val="0"/>
          <w:numId w:val="0"/>
        </w:numPr>
        <w:spacing w:line="240" w:lineRule="auto"/>
        <w:ind w:left="1134"/>
      </w:pPr>
      <w:r w:rsidRPr="00344313">
        <w:t xml:space="preserve">▪ préparer et rédiger un avis, une requête, une procédure et tout autre document de même nature destiné à servir dans une affaire devant les tribunaux; </w:t>
      </w:r>
    </w:p>
    <w:p w14:paraId="30EAD263" w14:textId="77777777" w:rsidR="00344313" w:rsidRPr="00344313" w:rsidRDefault="00893AC8" w:rsidP="002E3C52">
      <w:pPr>
        <w:pStyle w:val="Paragraphe"/>
        <w:numPr>
          <w:ilvl w:val="0"/>
          <w:numId w:val="0"/>
        </w:numPr>
        <w:spacing w:line="240" w:lineRule="auto"/>
        <w:ind w:left="1134"/>
      </w:pPr>
      <w:r w:rsidRPr="00344313">
        <w:t xml:space="preserve">▪ plaider ou agir devant tout tribunal; </w:t>
      </w:r>
    </w:p>
    <w:p w14:paraId="3B95F037" w14:textId="77777777" w:rsidR="00344313" w:rsidRPr="00344313" w:rsidRDefault="00893AC8" w:rsidP="002E3C52">
      <w:pPr>
        <w:pStyle w:val="Paragraphe"/>
        <w:numPr>
          <w:ilvl w:val="0"/>
          <w:numId w:val="0"/>
        </w:numPr>
        <w:spacing w:line="240" w:lineRule="auto"/>
        <w:ind w:left="1134"/>
      </w:pPr>
      <w:r w:rsidRPr="00344313">
        <w:t xml:space="preserve">▪ faire de la perception ou réclamer avec frais ou suggérer que des procédures judiciaires seront intentées; </w:t>
      </w:r>
    </w:p>
    <w:p w14:paraId="022D3611" w14:textId="77777777" w:rsidR="00344313" w:rsidRPr="00344313" w:rsidRDefault="00893AC8" w:rsidP="002E3C52">
      <w:pPr>
        <w:pStyle w:val="Sous-paragraphe"/>
        <w:tabs>
          <w:tab w:val="clear" w:pos="792"/>
          <w:tab w:val="num" w:pos="1134"/>
        </w:tabs>
        <w:ind w:left="1134" w:hanging="567"/>
      </w:pPr>
      <w:r w:rsidRPr="00344313">
        <w:t xml:space="preserve">D’agir de manière à donner lieu de croire qu’ils sont autorisés à remplir les fonctions d’avocat ou à en faire les actes; </w:t>
      </w:r>
    </w:p>
    <w:p w14:paraId="1B7FD39D" w14:textId="77777777" w:rsidR="00BA5BF6" w:rsidRPr="00BA5BF6" w:rsidRDefault="00893AC8" w:rsidP="008A1100">
      <w:pPr>
        <w:pStyle w:val="Paragraphe"/>
        <w:spacing w:line="240" w:lineRule="auto"/>
      </w:pPr>
      <w:r w:rsidRPr="00BA5BF6">
        <w:rPr>
          <w:b/>
          <w:bCs/>
        </w:rPr>
        <w:t>ÉMET UNE INJONCTION PERMANENTE</w:t>
      </w:r>
      <w:r w:rsidRPr="00BA5BF6">
        <w:t xml:space="preserve"> et </w:t>
      </w:r>
      <w:r w:rsidRPr="00BA5BF6">
        <w:rPr>
          <w:b/>
          <w:bCs/>
        </w:rPr>
        <w:t>INTERDIT</w:t>
      </w:r>
      <w:r>
        <w:t xml:space="preserve"> </w:t>
      </w:r>
      <w:r w:rsidRPr="00BA5BF6">
        <w:t xml:space="preserve">aux défendeurs et à leurs dirigeants, </w:t>
      </w:r>
      <w:r w:rsidR="008A1100">
        <w:t xml:space="preserve">représentants ou employés </w:t>
      </w:r>
      <w:r w:rsidRPr="00BA5BF6">
        <w:t xml:space="preserve">de tenir ou publier dans les médias ou sur les réseaux sociaux des propos </w:t>
      </w:r>
      <w:r w:rsidR="00F86D59">
        <w:t>tels que ceux décrits dans les pièces</w:t>
      </w:r>
      <w:r w:rsidR="00F86D59" w:rsidRPr="00F86D59">
        <w:t xml:space="preserve"> P-64, P-64A, P-71, P-71A, P-78, P-78A, P-83, P-83A, P-101 et P-101A </w:t>
      </w:r>
      <w:r w:rsidR="001830EB">
        <w:t>ainsi</w:t>
      </w:r>
      <w:r w:rsidR="00F86D59" w:rsidRPr="00F86D59">
        <w:t xml:space="preserve"> que toute affirmation </w:t>
      </w:r>
      <w:r w:rsidR="001830EB">
        <w:t>de</w:t>
      </w:r>
      <w:r w:rsidR="00F86D59" w:rsidRPr="00F86D59">
        <w:t xml:space="preserve"> même </w:t>
      </w:r>
      <w:r w:rsidR="001830EB">
        <w:t>nature</w:t>
      </w:r>
      <w:r w:rsidR="00F86D59" w:rsidRPr="00F86D59">
        <w:t xml:space="preserve"> </w:t>
      </w:r>
      <w:r w:rsidRPr="00BA5BF6">
        <w:t xml:space="preserve">concernant les employés, représentants ou dirigeants </w:t>
      </w:r>
      <w:r w:rsidR="00DF5D98">
        <w:t xml:space="preserve">actuels </w:t>
      </w:r>
      <w:r w:rsidRPr="00BA5BF6">
        <w:t>du Barreau du Québec</w:t>
      </w:r>
      <w:r w:rsidR="002802D9">
        <w:t xml:space="preserve"> ainsi que les anciens représentants ou dirigeants du Barreau du Québec</w:t>
      </w:r>
      <w:r w:rsidRPr="00BA5BF6">
        <w:t xml:space="preserve">; </w:t>
      </w:r>
    </w:p>
    <w:p w14:paraId="11E5F2AD" w14:textId="77777777" w:rsidR="000E0B4D" w:rsidRPr="003211F9" w:rsidRDefault="00893AC8" w:rsidP="008A1100">
      <w:pPr>
        <w:pStyle w:val="Paragraphe"/>
        <w:spacing w:line="240" w:lineRule="auto"/>
      </w:pPr>
      <w:r w:rsidRPr="003211F9">
        <w:rPr>
          <w:b/>
          <w:bCs/>
        </w:rPr>
        <w:t xml:space="preserve">ORDONNE </w:t>
      </w:r>
      <w:r w:rsidRPr="003211F9">
        <w:t>aux défendeurs</w:t>
      </w:r>
      <w:r w:rsidR="008A1100">
        <w:t>,</w:t>
      </w:r>
      <w:r w:rsidRPr="003211F9">
        <w:t xml:space="preserve"> d</w:t>
      </w:r>
      <w:r w:rsidR="004162F7" w:rsidRPr="003211F9">
        <w:t>ans un délai de trente jours du présent jugement</w:t>
      </w:r>
      <w:r w:rsidR="009304E8">
        <w:t>,</w:t>
      </w:r>
      <w:r w:rsidR="004162F7" w:rsidRPr="003211F9">
        <w:t xml:space="preserve"> d</w:t>
      </w:r>
      <w:r w:rsidRPr="003211F9">
        <w:t xml:space="preserve">e communiquer </w:t>
      </w:r>
      <w:r w:rsidR="00625274" w:rsidRPr="003211F9">
        <w:t>au</w:t>
      </w:r>
      <w:r w:rsidR="00294163" w:rsidRPr="003211F9">
        <w:t xml:space="preserve"> Barreau du Québec, </w:t>
      </w:r>
      <w:r w:rsidR="00625274" w:rsidRPr="003211F9">
        <w:t>aux soins</w:t>
      </w:r>
      <w:r w:rsidR="00294163" w:rsidRPr="003211F9">
        <w:t xml:space="preserve"> de ses </w:t>
      </w:r>
      <w:r w:rsidR="00625274" w:rsidRPr="003211F9">
        <w:t>procureurs</w:t>
      </w:r>
      <w:r w:rsidR="00294163" w:rsidRPr="003211F9">
        <w:t xml:space="preserve"> </w:t>
      </w:r>
      <w:r w:rsidR="00294163" w:rsidRPr="003211F9">
        <w:rPr>
          <w:i/>
          <w:iCs/>
        </w:rPr>
        <w:t>ad litem</w:t>
      </w:r>
      <w:r w:rsidR="00294163" w:rsidRPr="003211F9">
        <w:t xml:space="preserve">, </w:t>
      </w:r>
      <w:r w:rsidRPr="003211F9">
        <w:t>l’URL du compte Facebook qu’il</w:t>
      </w:r>
      <w:r w:rsidR="00625274" w:rsidRPr="003211F9">
        <w:t>s</w:t>
      </w:r>
      <w:r w:rsidRPr="003211F9">
        <w:t xml:space="preserve"> utilise</w:t>
      </w:r>
      <w:r w:rsidR="00625274" w:rsidRPr="003211F9">
        <w:t>nt</w:t>
      </w:r>
      <w:r w:rsidRPr="003211F9">
        <w:t xml:space="preserve"> ou </w:t>
      </w:r>
      <w:r w:rsidR="00596B46" w:rsidRPr="003211F9">
        <w:t>ont</w:t>
      </w:r>
      <w:r w:rsidRPr="003211F9">
        <w:t xml:space="preserve"> utilisé</w:t>
      </w:r>
      <w:r w:rsidR="00596B46" w:rsidRPr="003211F9">
        <w:t>s</w:t>
      </w:r>
      <w:r w:rsidRPr="003211F9">
        <w:t xml:space="preserve"> pour diffuser </w:t>
      </w:r>
      <w:r w:rsidR="002F2A35">
        <w:t>l</w:t>
      </w:r>
      <w:r w:rsidRPr="003211F9">
        <w:t>a vidéo P-</w:t>
      </w:r>
      <w:r w:rsidR="0093623E" w:rsidRPr="003211F9">
        <w:t>101</w:t>
      </w:r>
      <w:r w:rsidRPr="003211F9">
        <w:t xml:space="preserve"> afin de permettre au </w:t>
      </w:r>
      <w:r w:rsidR="00596B46" w:rsidRPr="003211F9">
        <w:t>Barreau du Québec</w:t>
      </w:r>
      <w:r w:rsidRPr="003211F9">
        <w:t xml:space="preserve"> de </w:t>
      </w:r>
      <w:r w:rsidR="00D8687E">
        <w:t xml:space="preserve">présenter une demande pour </w:t>
      </w:r>
      <w:r w:rsidRPr="003211F9">
        <w:t>faire fermer ce compte Facebook</w:t>
      </w:r>
      <w:r w:rsidR="00D8687E">
        <w:t xml:space="preserve"> ou pour retirer la vi</w:t>
      </w:r>
      <w:r w:rsidR="009A257C">
        <w:t>déo</w:t>
      </w:r>
      <w:r w:rsidRPr="003211F9">
        <w:t xml:space="preserve">; </w:t>
      </w:r>
    </w:p>
    <w:p w14:paraId="3D9B89A6" w14:textId="77777777" w:rsidR="007627DC" w:rsidRDefault="00893AC8" w:rsidP="008A1100">
      <w:pPr>
        <w:pStyle w:val="Paragraphe"/>
        <w:spacing w:line="240" w:lineRule="auto"/>
      </w:pPr>
      <w:r>
        <w:rPr>
          <w:b/>
          <w:bCs/>
        </w:rPr>
        <w:t>DÉCLARE</w:t>
      </w:r>
      <w:r w:rsidR="00EE64A8">
        <w:t xml:space="preserve"> que</w:t>
      </w:r>
      <w:r w:rsidR="00EE64A8" w:rsidRPr="00EE64A8">
        <w:t xml:space="preserve"> le </w:t>
      </w:r>
      <w:r w:rsidR="009A257C">
        <w:t>M</w:t>
      </w:r>
      <w:r w:rsidR="00EE64A8" w:rsidRPr="00EE64A8">
        <w:t xml:space="preserve">oyen de défense fondé sur l’autorisation préalable est abusif au sens de l’article 51 </w:t>
      </w:r>
      <w:r w:rsidR="00EE64A8" w:rsidRPr="00EE64A8">
        <w:rPr>
          <w:i/>
          <w:iCs/>
        </w:rPr>
        <w:t>C.p.c</w:t>
      </w:r>
      <w:r w:rsidR="00EE64A8" w:rsidRPr="00EE64A8">
        <w:t>.</w:t>
      </w:r>
      <w:r w:rsidR="00EE64A8">
        <w:t>;</w:t>
      </w:r>
    </w:p>
    <w:p w14:paraId="12FC84FE" w14:textId="77777777" w:rsidR="009F3215" w:rsidRDefault="00893AC8" w:rsidP="008A1100">
      <w:pPr>
        <w:pStyle w:val="Paragraphe"/>
        <w:spacing w:line="240" w:lineRule="auto"/>
      </w:pPr>
      <w:r>
        <w:rPr>
          <w:b/>
          <w:bCs/>
        </w:rPr>
        <w:t xml:space="preserve">REJETTE </w:t>
      </w:r>
      <w:r>
        <w:t>l</w:t>
      </w:r>
      <w:r w:rsidR="00102C4E">
        <w:t>es arguments d’inconstitutionnalité contenus à l</w:t>
      </w:r>
      <w:r>
        <w:t xml:space="preserve">’Avis au Procureur général du Québec en vertu de l’article 76 </w:t>
      </w:r>
      <w:r w:rsidRPr="009F3215">
        <w:rPr>
          <w:i/>
          <w:iCs/>
        </w:rPr>
        <w:t>C.p.c.</w:t>
      </w:r>
      <w:r>
        <w:t xml:space="preserve"> de Mario Roy;</w:t>
      </w:r>
    </w:p>
    <w:p w14:paraId="7C86B606" w14:textId="77777777" w:rsidR="0037114D" w:rsidRPr="003345BF" w:rsidRDefault="00893AC8" w:rsidP="008A1100">
      <w:pPr>
        <w:pStyle w:val="Paragraphe"/>
        <w:spacing w:line="240" w:lineRule="auto"/>
      </w:pPr>
      <w:r w:rsidRPr="003D239B">
        <w:rPr>
          <w:b/>
          <w:bCs/>
        </w:rPr>
        <w:t>AVEC FRAIS DE JUSTICE</w:t>
      </w:r>
      <w:r>
        <w:t>.</w:t>
      </w:r>
    </w:p>
    <w:tbl>
      <w:tblPr>
        <w:tblW w:w="9505" w:type="dxa"/>
        <w:tblLayout w:type="fixed"/>
        <w:tblCellMar>
          <w:left w:w="70" w:type="dxa"/>
          <w:right w:w="70" w:type="dxa"/>
        </w:tblCellMar>
        <w:tblLook w:val="0000" w:firstRow="0" w:lastRow="0" w:firstColumn="0" w:lastColumn="0" w:noHBand="0" w:noVBand="0"/>
      </w:tblPr>
      <w:tblGrid>
        <w:gridCol w:w="4867"/>
        <w:gridCol w:w="4638"/>
      </w:tblGrid>
      <w:tr w:rsidR="00A34AC5" w14:paraId="01300F38" w14:textId="77777777" w:rsidTr="00B022B8">
        <w:trPr>
          <w:trHeight w:val="576"/>
        </w:trPr>
        <w:tc>
          <w:tcPr>
            <w:tcW w:w="9505" w:type="dxa"/>
            <w:gridSpan w:val="2"/>
          </w:tcPr>
          <w:p w14:paraId="5701F565" w14:textId="77777777" w:rsidR="00EF7578" w:rsidRDefault="00EF7578" w:rsidP="008A1100">
            <w:pPr>
              <w:keepNext/>
              <w:keepLines/>
            </w:pPr>
          </w:p>
        </w:tc>
      </w:tr>
      <w:tr w:rsidR="00A34AC5" w14:paraId="3A83C9F6" w14:textId="77777777" w:rsidTr="00B022B8">
        <w:tblPrEx>
          <w:tblCellMar>
            <w:left w:w="0" w:type="dxa"/>
            <w:right w:w="0" w:type="dxa"/>
          </w:tblCellMar>
        </w:tblPrEx>
        <w:trPr>
          <w:cantSplit/>
        </w:trPr>
        <w:tc>
          <w:tcPr>
            <w:tcW w:w="4867" w:type="dxa"/>
          </w:tcPr>
          <w:p w14:paraId="2BC47D8F" w14:textId="77777777" w:rsidR="00EF7578" w:rsidRDefault="00EF7578" w:rsidP="008A1100"/>
        </w:tc>
        <w:tc>
          <w:tcPr>
            <w:tcW w:w="4638" w:type="dxa"/>
          </w:tcPr>
          <w:p w14:paraId="2C11A2DB" w14:textId="77777777" w:rsidR="00EF7578" w:rsidRDefault="00893AC8" w:rsidP="008A1100">
            <w:pPr>
              <w:pStyle w:val="zSoquijdatSignature3Juge"/>
            </w:pPr>
            <w:r>
              <w:t>__________________________________</w:t>
            </w:r>
          </w:p>
          <w:p w14:paraId="3BA16A9D" w14:textId="77777777" w:rsidR="00EF7578" w:rsidRPr="00554D2D" w:rsidRDefault="00893AC8" w:rsidP="008A1100">
            <w:pPr>
              <w:pStyle w:val="zSoquijdatSignature3Juge"/>
              <w:rPr>
                <w:b/>
              </w:rPr>
            </w:pPr>
            <w:r w:rsidRPr="00554D2D">
              <w:rPr>
                <w:b/>
              </w:rPr>
              <w:t>ENRICO FORLINI</w:t>
            </w:r>
            <w:r w:rsidR="00554D2D" w:rsidRPr="00554D2D">
              <w:rPr>
                <w:b/>
              </w:rPr>
              <w:t>,</w:t>
            </w:r>
            <w:r w:rsidRPr="00554D2D">
              <w:rPr>
                <w:b/>
              </w:rPr>
              <w:t xml:space="preserve"> J.C.</w:t>
            </w:r>
            <w:r w:rsidR="0005657C">
              <w:rPr>
                <w:b/>
              </w:rPr>
              <w:t>S</w:t>
            </w:r>
            <w:r w:rsidRPr="00554D2D">
              <w:rPr>
                <w:b/>
              </w:rPr>
              <w:t>.</w:t>
            </w:r>
          </w:p>
        </w:tc>
      </w:tr>
      <w:tr w:rsidR="00A34AC5" w14:paraId="108DF60B" w14:textId="77777777" w:rsidTr="00B022B8">
        <w:tc>
          <w:tcPr>
            <w:tcW w:w="9505" w:type="dxa"/>
            <w:gridSpan w:val="2"/>
          </w:tcPr>
          <w:p w14:paraId="6CE7B815" w14:textId="77777777" w:rsidR="00EF7578" w:rsidRDefault="00EF7578" w:rsidP="008A1100"/>
        </w:tc>
      </w:tr>
    </w:tbl>
    <w:p w14:paraId="3124B394" w14:textId="77777777" w:rsidR="009F3215" w:rsidRDefault="00893AC8">
      <w:r>
        <w:br w:type="page"/>
      </w:r>
    </w:p>
    <w:tbl>
      <w:tblPr>
        <w:tblW w:w="9505" w:type="dxa"/>
        <w:tblLayout w:type="fixed"/>
        <w:tblCellMar>
          <w:left w:w="70" w:type="dxa"/>
          <w:right w:w="70" w:type="dxa"/>
        </w:tblCellMar>
        <w:tblLook w:val="0000" w:firstRow="0" w:lastRow="0" w:firstColumn="0" w:lastColumn="0" w:noHBand="0" w:noVBand="0"/>
      </w:tblPr>
      <w:tblGrid>
        <w:gridCol w:w="2268"/>
        <w:gridCol w:w="7237"/>
      </w:tblGrid>
      <w:tr w:rsidR="00A34AC5" w14:paraId="61166D90" w14:textId="77777777" w:rsidTr="00B022B8">
        <w:trPr>
          <w:cantSplit/>
        </w:trPr>
        <w:tc>
          <w:tcPr>
            <w:tcW w:w="9505" w:type="dxa"/>
            <w:gridSpan w:val="2"/>
          </w:tcPr>
          <w:p w14:paraId="6809F55A" w14:textId="77777777" w:rsidR="00EF7578" w:rsidRDefault="00893AC8" w:rsidP="008A1100">
            <w:pPr>
              <w:pStyle w:val="zSoquijdatNomProcureurDem"/>
            </w:pPr>
            <w:r>
              <w:t>Me Claude G. Leduc</w:t>
            </w:r>
          </w:p>
        </w:tc>
      </w:tr>
      <w:tr w:rsidR="00A34AC5" w14:paraId="3014084C" w14:textId="77777777" w:rsidTr="00B022B8">
        <w:trPr>
          <w:cantSplit/>
        </w:trPr>
        <w:tc>
          <w:tcPr>
            <w:tcW w:w="9505" w:type="dxa"/>
            <w:gridSpan w:val="2"/>
          </w:tcPr>
          <w:p w14:paraId="34760E6C" w14:textId="77777777" w:rsidR="008A1100" w:rsidRDefault="00893AC8" w:rsidP="008A1100">
            <w:pPr>
              <w:pStyle w:val="zSoquijdatNomProcureurDem"/>
            </w:pPr>
            <w:r>
              <w:t>Me Bernardo Sunyé</w:t>
            </w:r>
          </w:p>
        </w:tc>
      </w:tr>
      <w:tr w:rsidR="00A34AC5" w14:paraId="0B213B09" w14:textId="77777777" w:rsidTr="00B022B8">
        <w:trPr>
          <w:cantSplit/>
        </w:trPr>
        <w:tc>
          <w:tcPr>
            <w:tcW w:w="9505" w:type="dxa"/>
            <w:gridSpan w:val="2"/>
          </w:tcPr>
          <w:p w14:paraId="0B8F14E5" w14:textId="77777777" w:rsidR="00EF7578" w:rsidRPr="008A1100" w:rsidRDefault="00893AC8" w:rsidP="008A1100">
            <w:pPr>
              <w:pStyle w:val="zSoquijdatCabinetProcureurDem"/>
              <w:rPr>
                <w:i/>
                <w:iCs/>
              </w:rPr>
            </w:pPr>
            <w:r w:rsidRPr="008A1100">
              <w:rPr>
                <w:i/>
                <w:iCs/>
              </w:rPr>
              <w:t>ML Kaufman</w:t>
            </w:r>
          </w:p>
        </w:tc>
      </w:tr>
      <w:tr w:rsidR="00A34AC5" w14:paraId="4E229209" w14:textId="77777777" w:rsidTr="00B022B8">
        <w:trPr>
          <w:cantSplit/>
        </w:trPr>
        <w:tc>
          <w:tcPr>
            <w:tcW w:w="9505" w:type="dxa"/>
            <w:gridSpan w:val="2"/>
          </w:tcPr>
          <w:p w14:paraId="14E27155" w14:textId="77777777" w:rsidR="00EF7578" w:rsidRDefault="00893AC8" w:rsidP="008A1100">
            <w:pPr>
              <w:pStyle w:val="zSoquijlblProcureurDem"/>
            </w:pPr>
            <w:r>
              <w:t>Avocats du demandeur</w:t>
            </w:r>
          </w:p>
        </w:tc>
      </w:tr>
      <w:tr w:rsidR="00A34AC5" w14:paraId="57445225" w14:textId="77777777" w:rsidTr="00B022B8">
        <w:trPr>
          <w:cantSplit/>
        </w:trPr>
        <w:tc>
          <w:tcPr>
            <w:tcW w:w="9505" w:type="dxa"/>
            <w:gridSpan w:val="2"/>
          </w:tcPr>
          <w:p w14:paraId="1F493A0A" w14:textId="77777777" w:rsidR="00EF7578" w:rsidRDefault="00EF7578" w:rsidP="008A1100"/>
        </w:tc>
      </w:tr>
      <w:tr w:rsidR="00A34AC5" w14:paraId="513474D5" w14:textId="77777777" w:rsidTr="00B022B8">
        <w:trPr>
          <w:cantSplit/>
        </w:trPr>
        <w:tc>
          <w:tcPr>
            <w:tcW w:w="9505" w:type="dxa"/>
            <w:gridSpan w:val="2"/>
          </w:tcPr>
          <w:p w14:paraId="73103E57" w14:textId="77777777" w:rsidR="00EF7578" w:rsidRDefault="00893AC8" w:rsidP="008A1100">
            <w:pPr>
              <w:pStyle w:val="zSoquijdatNomProcureurDef"/>
            </w:pPr>
            <w:r>
              <w:t>M. Mario Roy</w:t>
            </w:r>
          </w:p>
        </w:tc>
      </w:tr>
      <w:tr w:rsidR="00A34AC5" w14:paraId="29B440A3" w14:textId="77777777" w:rsidTr="00B022B8">
        <w:trPr>
          <w:cantSplit/>
        </w:trPr>
        <w:tc>
          <w:tcPr>
            <w:tcW w:w="9505" w:type="dxa"/>
            <w:gridSpan w:val="2"/>
          </w:tcPr>
          <w:p w14:paraId="6472F880" w14:textId="77777777" w:rsidR="00EF7578" w:rsidRDefault="00893AC8" w:rsidP="008A1100">
            <w:pPr>
              <w:pStyle w:val="zSoquijdatCabinetProcureurDef"/>
            </w:pPr>
            <w:r>
              <w:t>Non représenté</w:t>
            </w:r>
          </w:p>
        </w:tc>
      </w:tr>
      <w:tr w:rsidR="00A34AC5" w14:paraId="0C977310" w14:textId="77777777" w:rsidTr="00B022B8">
        <w:trPr>
          <w:cantSplit/>
        </w:trPr>
        <w:tc>
          <w:tcPr>
            <w:tcW w:w="9505" w:type="dxa"/>
            <w:gridSpan w:val="2"/>
          </w:tcPr>
          <w:p w14:paraId="0320638B" w14:textId="77777777" w:rsidR="008A1100" w:rsidRDefault="008A1100" w:rsidP="008A1100">
            <w:pPr>
              <w:pStyle w:val="zSoquijdatCabinetProcureurDef"/>
            </w:pPr>
          </w:p>
        </w:tc>
      </w:tr>
      <w:tr w:rsidR="00A34AC5" w14:paraId="2C9065C2" w14:textId="77777777" w:rsidTr="00D312C0">
        <w:trPr>
          <w:cantSplit/>
        </w:trPr>
        <w:tc>
          <w:tcPr>
            <w:tcW w:w="9505" w:type="dxa"/>
            <w:gridSpan w:val="2"/>
          </w:tcPr>
          <w:p w14:paraId="2925DCB2" w14:textId="77777777" w:rsidR="005E1D1D" w:rsidRDefault="00893AC8" w:rsidP="00D312C0">
            <w:pPr>
              <w:pStyle w:val="zSoquijdatNomProcureurDef"/>
            </w:pPr>
            <w:r>
              <w:t>L’Unité citoyenne d’enquête anti-corruption</w:t>
            </w:r>
          </w:p>
        </w:tc>
      </w:tr>
      <w:tr w:rsidR="00A34AC5" w14:paraId="227BEE7F" w14:textId="77777777" w:rsidTr="00D312C0">
        <w:trPr>
          <w:cantSplit/>
        </w:trPr>
        <w:tc>
          <w:tcPr>
            <w:tcW w:w="9505" w:type="dxa"/>
            <w:gridSpan w:val="2"/>
          </w:tcPr>
          <w:p w14:paraId="3A9C8A8C" w14:textId="77777777" w:rsidR="005E1D1D" w:rsidRDefault="00893AC8" w:rsidP="00D312C0">
            <w:pPr>
              <w:pStyle w:val="zSoquijdatCabinetProcureurDef"/>
            </w:pPr>
            <w:r>
              <w:t>N’a pas répondu à l’assignation et n’est pas représentée</w:t>
            </w:r>
          </w:p>
        </w:tc>
      </w:tr>
      <w:tr w:rsidR="00A34AC5" w14:paraId="51B8AB74" w14:textId="77777777" w:rsidTr="00B022B8">
        <w:trPr>
          <w:cantSplit/>
        </w:trPr>
        <w:tc>
          <w:tcPr>
            <w:tcW w:w="9505" w:type="dxa"/>
            <w:gridSpan w:val="2"/>
          </w:tcPr>
          <w:p w14:paraId="077940D4" w14:textId="77777777" w:rsidR="005E1D1D" w:rsidRDefault="005E1D1D" w:rsidP="008A1100">
            <w:pPr>
              <w:pStyle w:val="zSoquijdatCabinetProcureurDef"/>
            </w:pPr>
          </w:p>
        </w:tc>
      </w:tr>
      <w:tr w:rsidR="00A34AC5" w14:paraId="083874D5" w14:textId="77777777" w:rsidTr="009E7256">
        <w:trPr>
          <w:cantSplit/>
        </w:trPr>
        <w:tc>
          <w:tcPr>
            <w:tcW w:w="9505" w:type="dxa"/>
            <w:gridSpan w:val="2"/>
          </w:tcPr>
          <w:p w14:paraId="349661F3" w14:textId="77777777" w:rsidR="008A1100" w:rsidRDefault="00893AC8" w:rsidP="008A1100">
            <w:pPr>
              <w:pStyle w:val="zSoquijdatNomProcureurDem"/>
            </w:pPr>
            <w:r>
              <w:t>Me Marc</w:t>
            </w:r>
            <w:r w:rsidR="001F47B1">
              <w:t>i</w:t>
            </w:r>
            <w:r>
              <w:t>o Gutierrez</w:t>
            </w:r>
          </w:p>
        </w:tc>
      </w:tr>
      <w:tr w:rsidR="00A34AC5" w14:paraId="47CB3D5C" w14:textId="77777777" w:rsidTr="009E7256">
        <w:trPr>
          <w:cantSplit/>
        </w:trPr>
        <w:tc>
          <w:tcPr>
            <w:tcW w:w="9505" w:type="dxa"/>
            <w:gridSpan w:val="2"/>
          </w:tcPr>
          <w:p w14:paraId="78E6C2C7" w14:textId="77777777" w:rsidR="008A1100" w:rsidRPr="008A1100" w:rsidRDefault="00893AC8" w:rsidP="008A1100">
            <w:pPr>
              <w:pStyle w:val="zSoquijdatCabinetProcureurDem"/>
              <w:rPr>
                <w:i/>
                <w:iCs/>
              </w:rPr>
            </w:pPr>
            <w:r w:rsidRPr="008A1100">
              <w:rPr>
                <w:i/>
                <w:iCs/>
              </w:rPr>
              <w:t>Bernard, Roy</w:t>
            </w:r>
          </w:p>
        </w:tc>
      </w:tr>
      <w:tr w:rsidR="00A34AC5" w14:paraId="5621B18B" w14:textId="77777777" w:rsidTr="009E7256">
        <w:trPr>
          <w:cantSplit/>
        </w:trPr>
        <w:tc>
          <w:tcPr>
            <w:tcW w:w="9505" w:type="dxa"/>
            <w:gridSpan w:val="2"/>
          </w:tcPr>
          <w:p w14:paraId="5AFDD002" w14:textId="77777777" w:rsidR="008A1100" w:rsidRDefault="00893AC8" w:rsidP="008A1100">
            <w:pPr>
              <w:pStyle w:val="zSoquijlblProcureurDem"/>
            </w:pPr>
            <w:r>
              <w:t xml:space="preserve">Avocat du </w:t>
            </w:r>
            <w:r w:rsidR="005E1D1D">
              <w:t>Procureur général du Québec</w:t>
            </w:r>
          </w:p>
        </w:tc>
      </w:tr>
      <w:tr w:rsidR="00A34AC5" w14:paraId="08D73B0D" w14:textId="77777777" w:rsidTr="00B022B8">
        <w:tc>
          <w:tcPr>
            <w:tcW w:w="9505" w:type="dxa"/>
            <w:gridSpan w:val="2"/>
          </w:tcPr>
          <w:p w14:paraId="65A51303" w14:textId="77777777" w:rsidR="00EF7578" w:rsidRDefault="00EF7578" w:rsidP="008A1100"/>
        </w:tc>
      </w:tr>
      <w:tr w:rsidR="00A34AC5" w14:paraId="516EF283" w14:textId="77777777" w:rsidTr="007764E9">
        <w:tc>
          <w:tcPr>
            <w:tcW w:w="2268" w:type="dxa"/>
          </w:tcPr>
          <w:p w14:paraId="440116D9" w14:textId="77777777" w:rsidR="00EF7578" w:rsidRDefault="00893AC8" w:rsidP="008A1100">
            <w:pPr>
              <w:pStyle w:val="zSoquijlblDateAudience"/>
            </w:pPr>
            <w:r>
              <w:t>Date</w:t>
            </w:r>
            <w:r w:rsidR="007764E9">
              <w:t>s</w:t>
            </w:r>
            <w:r>
              <w:t xml:space="preserve"> d’audience :</w:t>
            </w:r>
          </w:p>
        </w:tc>
        <w:tc>
          <w:tcPr>
            <w:tcW w:w="7237" w:type="dxa"/>
          </w:tcPr>
          <w:p w14:paraId="78D6545A" w14:textId="77777777" w:rsidR="00EF7578" w:rsidRDefault="00893AC8" w:rsidP="008A1100">
            <w:pPr>
              <w:pStyle w:val="zSoquijdatDateAudience"/>
            </w:pPr>
            <w:r>
              <w:t>8 au 11 septembre et 15 et 16 septembre 2025</w:t>
            </w:r>
          </w:p>
        </w:tc>
      </w:tr>
    </w:tbl>
    <w:p w14:paraId="285A6222" w14:textId="77777777" w:rsidR="00FA2D09" w:rsidRDefault="00FA2D09" w:rsidP="008A1100"/>
    <w:sectPr w:rsidR="00FA2D09">
      <w:headerReference w:type="default" r:id="rId8"/>
      <w:footerReference w:type="even" r:id="rId9"/>
      <w:footnotePr>
        <w:numRestart w:val="eachSect"/>
      </w:footnotePr>
      <w:pgSz w:w="12242" w:h="15842" w:code="1"/>
      <w:pgMar w:top="1440" w:right="1008" w:bottom="1440" w:left="1872" w:header="1440" w:footer="7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E4BFE" w14:textId="77777777" w:rsidR="00893AC8" w:rsidRDefault="00893AC8">
      <w:r>
        <w:separator/>
      </w:r>
    </w:p>
  </w:endnote>
  <w:endnote w:type="continuationSeparator" w:id="0">
    <w:p w14:paraId="19A461FB" w14:textId="77777777" w:rsidR="00893AC8" w:rsidRDefault="0089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2709" w14:textId="77777777" w:rsidR="00EF7578" w:rsidRDefault="00893AC8">
    <w:pPr>
      <w:framePr w:wrap="around" w:vAnchor="text" w:hAnchor="margin" w:xAlign="right" w:y="1"/>
    </w:pPr>
    <w:r>
      <w:fldChar w:fldCharType="begin"/>
    </w:r>
    <w:r>
      <w:instrText xml:space="preserve">PAGE  </w:instrText>
    </w:r>
    <w:r>
      <w:fldChar w:fldCharType="separate"/>
    </w:r>
    <w:r>
      <w:fldChar w:fldCharType="end"/>
    </w:r>
  </w:p>
  <w:p w14:paraId="7A426513" w14:textId="77777777" w:rsidR="00EF7578" w:rsidRDefault="00EF7578">
    <w:pPr>
      <w:ind w:right="360"/>
    </w:pPr>
  </w:p>
  <w:p w14:paraId="602C895B" w14:textId="77777777" w:rsidR="00950D26" w:rsidRDefault="00950D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5B45" w14:textId="77777777" w:rsidR="00803067" w:rsidRDefault="00893AC8">
      <w:r>
        <w:separator/>
      </w:r>
    </w:p>
  </w:footnote>
  <w:footnote w:type="continuationSeparator" w:id="0">
    <w:p w14:paraId="41A82911" w14:textId="77777777" w:rsidR="00803067" w:rsidRDefault="00893AC8">
      <w:r>
        <w:continuationSeparator/>
      </w:r>
    </w:p>
  </w:footnote>
  <w:footnote w:id="1">
    <w:p w14:paraId="687D4DFD" w14:textId="77777777" w:rsidR="007904FE" w:rsidRDefault="00893AC8">
      <w:pPr>
        <w:pStyle w:val="Notedebasdepage"/>
      </w:pPr>
      <w:r>
        <w:rPr>
          <w:rStyle w:val="Appelnotedebasdep"/>
        </w:rPr>
        <w:footnoteRef/>
      </w:r>
      <w:r>
        <w:t xml:space="preserve"> </w:t>
      </w:r>
      <w:r>
        <w:tab/>
        <w:t>Art. 87</w:t>
      </w:r>
      <w:r w:rsidR="006312E5">
        <w:t xml:space="preserve"> alinéa </w:t>
      </w:r>
      <w:r>
        <w:t xml:space="preserve">3 </w:t>
      </w:r>
      <w:r w:rsidRPr="006312E5">
        <w:rPr>
          <w:i/>
        </w:rPr>
        <w:t>C.p.c.</w:t>
      </w:r>
      <w:r>
        <w:t xml:space="preserve"> - voir </w:t>
      </w:r>
      <w:r w:rsidRPr="00C00767">
        <w:rPr>
          <w:i/>
          <w:iCs/>
        </w:rPr>
        <w:t xml:space="preserve">Lapierre </w:t>
      </w:r>
      <w:r w:rsidRPr="007904FE">
        <w:t>c</w:t>
      </w:r>
      <w:r w:rsidRPr="00C00767">
        <w:rPr>
          <w:i/>
          <w:iCs/>
        </w:rPr>
        <w:t>. Pépin</w:t>
      </w:r>
      <w:r>
        <w:t>, 2024 QCCA 126, par. 4.</w:t>
      </w:r>
    </w:p>
  </w:footnote>
  <w:footnote w:id="2">
    <w:p w14:paraId="2A25D255" w14:textId="77777777" w:rsidR="004B61A0" w:rsidRDefault="00893AC8">
      <w:pPr>
        <w:pStyle w:val="Notedebasdepage"/>
      </w:pPr>
      <w:r>
        <w:rPr>
          <w:rStyle w:val="Appelnotedebasdep"/>
        </w:rPr>
        <w:footnoteRef/>
      </w:r>
      <w:r>
        <w:t xml:space="preserve"> </w:t>
      </w:r>
      <w:r>
        <w:tab/>
      </w:r>
      <w:r w:rsidR="007C5016">
        <w:t>Av</w:t>
      </w:r>
      <w:r w:rsidR="00BB3A5C">
        <w:t>i</w:t>
      </w:r>
      <w:r w:rsidR="007C5016">
        <w:t xml:space="preserve">s </w:t>
      </w:r>
      <w:r w:rsidR="00BB3A5C">
        <w:t xml:space="preserve">de Mario Roy </w:t>
      </w:r>
      <w:r w:rsidR="007C5016">
        <w:t xml:space="preserve">au </w:t>
      </w:r>
      <w:r w:rsidR="005E1D1D">
        <w:t>p</w:t>
      </w:r>
      <w:r w:rsidR="007C5016">
        <w:t>rocureur général</w:t>
      </w:r>
      <w:r w:rsidR="0049167E">
        <w:t xml:space="preserve"> en vertu des articles </w:t>
      </w:r>
      <w:r w:rsidR="00A2326C">
        <w:t xml:space="preserve">76 </w:t>
      </w:r>
      <w:r w:rsidR="006312E5">
        <w:t>et</w:t>
      </w:r>
      <w:r w:rsidR="00260A1F">
        <w:t xml:space="preserve"> </w:t>
      </w:r>
      <w:r w:rsidR="0049167E">
        <w:t>7</w:t>
      </w:r>
      <w:r w:rsidR="00901507">
        <w:t>7</w:t>
      </w:r>
      <w:r w:rsidR="0049167E">
        <w:t xml:space="preserve"> </w:t>
      </w:r>
      <w:r w:rsidR="006312E5" w:rsidRPr="006312E5">
        <w:rPr>
          <w:i/>
          <w:iCs/>
        </w:rPr>
        <w:t>C.p.c.</w:t>
      </w:r>
      <w:r w:rsidR="0049167E" w:rsidRPr="00A2326C">
        <w:rPr>
          <w:i/>
          <w:iCs/>
        </w:rPr>
        <w:t xml:space="preserve"> </w:t>
      </w:r>
      <w:r w:rsidR="0049167E">
        <w:t xml:space="preserve">daté du </w:t>
      </w:r>
      <w:r w:rsidR="00A2326C">
        <w:t>17 août 2022 (</w:t>
      </w:r>
      <w:r w:rsidR="006312E5">
        <w:t>« </w:t>
      </w:r>
      <w:r w:rsidR="00A2326C">
        <w:t>Avis au PGQ</w:t>
      </w:r>
      <w:r w:rsidR="006312E5">
        <w:t xml:space="preserve"> »</w:t>
      </w:r>
      <w:r w:rsidR="00287595">
        <w:t>)</w:t>
      </w:r>
      <w:r w:rsidR="00260A1F">
        <w:t>.</w:t>
      </w:r>
    </w:p>
  </w:footnote>
  <w:footnote w:id="3">
    <w:p w14:paraId="0802BE2E" w14:textId="77777777" w:rsidR="00272200" w:rsidRDefault="00893AC8">
      <w:pPr>
        <w:pStyle w:val="Notedebasdepage"/>
      </w:pPr>
      <w:r>
        <w:rPr>
          <w:rStyle w:val="Appelnotedebasdep"/>
        </w:rPr>
        <w:footnoteRef/>
      </w:r>
      <w:r>
        <w:t xml:space="preserve"> </w:t>
      </w:r>
      <w:r>
        <w:tab/>
      </w:r>
      <w:r w:rsidR="005161F4" w:rsidRPr="00126C31">
        <w:rPr>
          <w:i/>
          <w:iCs/>
        </w:rPr>
        <w:t>Loi sur le Barreau</w:t>
      </w:r>
      <w:r w:rsidR="005161F4">
        <w:t xml:space="preserve">, art. </w:t>
      </w:r>
      <w:r w:rsidR="00126C31">
        <w:t xml:space="preserve">1, 3; </w:t>
      </w:r>
      <w:r w:rsidR="00E443F6" w:rsidRPr="005161F4">
        <w:rPr>
          <w:i/>
          <w:iCs/>
        </w:rPr>
        <w:t>Code des professions</w:t>
      </w:r>
      <w:r w:rsidR="00E443F6">
        <w:t xml:space="preserve">, art. </w:t>
      </w:r>
      <w:r w:rsidR="005161F4">
        <w:t>23.</w:t>
      </w:r>
    </w:p>
  </w:footnote>
  <w:footnote w:id="4">
    <w:p w14:paraId="6C46A022" w14:textId="77777777" w:rsidR="00695D5C" w:rsidRDefault="00893AC8">
      <w:pPr>
        <w:pStyle w:val="Notedebasdepage"/>
      </w:pPr>
      <w:r>
        <w:rPr>
          <w:rStyle w:val="Appelnotedebasdep"/>
        </w:rPr>
        <w:footnoteRef/>
      </w:r>
      <w:r>
        <w:t xml:space="preserve"> </w:t>
      </w:r>
      <w:r>
        <w:tab/>
        <w:t>Voir notamment P-35 : Vidéo</w:t>
      </w:r>
      <w:r w:rsidR="000350FB">
        <w:t xml:space="preserve"> </w:t>
      </w:r>
      <w:r w:rsidR="005E1D1D">
        <w:t>publiée</w:t>
      </w:r>
      <w:r w:rsidR="000350FB">
        <w:t xml:space="preserve"> sur </w:t>
      </w:r>
      <w:r w:rsidR="008262B5">
        <w:t>YouTube</w:t>
      </w:r>
      <w:r w:rsidR="000350FB">
        <w:t>, 22 novembre 20</w:t>
      </w:r>
      <w:r w:rsidR="009D6BE7">
        <w:t>17.</w:t>
      </w:r>
    </w:p>
  </w:footnote>
  <w:footnote w:id="5">
    <w:p w14:paraId="6C7A25BF" w14:textId="77777777" w:rsidR="00684E0D" w:rsidRDefault="00893AC8">
      <w:pPr>
        <w:pStyle w:val="Notedebasdepage"/>
      </w:pPr>
      <w:r>
        <w:rPr>
          <w:rStyle w:val="Appelnotedebasdep"/>
        </w:rPr>
        <w:footnoteRef/>
      </w:r>
      <w:r>
        <w:t xml:space="preserve"> </w:t>
      </w:r>
      <w:r>
        <w:tab/>
      </w:r>
      <w:r w:rsidR="00A4684D">
        <w:t>Déclaration</w:t>
      </w:r>
      <w:r>
        <w:t xml:space="preserve"> s</w:t>
      </w:r>
      <w:r w:rsidR="005E1D1D">
        <w:t>o</w:t>
      </w:r>
      <w:r>
        <w:t xml:space="preserve">us serment du </w:t>
      </w:r>
      <w:r w:rsidR="00A4684D">
        <w:t xml:space="preserve">20 novembre 2017 </w:t>
      </w:r>
      <w:r>
        <w:t>de Mario Roy.</w:t>
      </w:r>
    </w:p>
  </w:footnote>
  <w:footnote w:id="6">
    <w:p w14:paraId="2506F1B8" w14:textId="77777777" w:rsidR="00FD3CE3" w:rsidRDefault="00893AC8">
      <w:pPr>
        <w:pStyle w:val="Notedebasdepage"/>
      </w:pPr>
      <w:r>
        <w:rPr>
          <w:rStyle w:val="Appelnotedebasdep"/>
        </w:rPr>
        <w:footnoteRef/>
      </w:r>
      <w:r>
        <w:t xml:space="preserve"> </w:t>
      </w:r>
      <w:r>
        <w:tab/>
      </w:r>
      <w:r w:rsidRPr="00FD3CE3">
        <w:rPr>
          <w:i/>
          <w:iCs/>
        </w:rPr>
        <w:t>Roy</w:t>
      </w:r>
      <w:r>
        <w:t xml:space="preserve"> c. </w:t>
      </w:r>
      <w:r w:rsidRPr="00FD3CE3">
        <w:rPr>
          <w:i/>
          <w:iCs/>
        </w:rPr>
        <w:t>Lamontagne</w:t>
      </w:r>
      <w:r>
        <w:t>, 2020 QCCQ 1042.</w:t>
      </w:r>
    </w:p>
  </w:footnote>
  <w:footnote w:id="7">
    <w:p w14:paraId="1673F7E3" w14:textId="77777777" w:rsidR="009D741C" w:rsidRDefault="00893AC8" w:rsidP="001D3ADE">
      <w:pPr>
        <w:pStyle w:val="Notedebasdepage"/>
      </w:pPr>
      <w:r>
        <w:rPr>
          <w:rStyle w:val="Appelnotedebasdep"/>
        </w:rPr>
        <w:footnoteRef/>
      </w:r>
      <w:r>
        <w:t xml:space="preserve"> </w:t>
      </w:r>
      <w:r>
        <w:tab/>
      </w:r>
      <w:r w:rsidR="001D3ADE" w:rsidRPr="001D3ADE">
        <w:rPr>
          <w:i/>
          <w:iCs/>
        </w:rPr>
        <w:t>Roy c. Péloquin</w:t>
      </w:r>
      <w:r w:rsidR="001D3ADE">
        <w:t>, 2023 QCCS 4182</w:t>
      </w:r>
      <w:r w:rsidR="00F83CC2">
        <w:t>.</w:t>
      </w:r>
    </w:p>
  </w:footnote>
  <w:footnote w:id="8">
    <w:p w14:paraId="79F98359" w14:textId="77777777" w:rsidR="004A5115" w:rsidRDefault="00893AC8" w:rsidP="004A5115">
      <w:pPr>
        <w:pStyle w:val="Notedebasdepage"/>
      </w:pPr>
      <w:r>
        <w:rPr>
          <w:rStyle w:val="Appelnotedebasdep"/>
        </w:rPr>
        <w:footnoteRef/>
      </w:r>
      <w:r>
        <w:t xml:space="preserve"> </w:t>
      </w:r>
      <w:r>
        <w:tab/>
        <w:t>P-2</w:t>
      </w:r>
      <w:r w:rsidR="00260A1F">
        <w:t xml:space="preserve"> : </w:t>
      </w:r>
      <w:r w:rsidR="00260A1F" w:rsidRPr="00260A1F">
        <w:t>État des renseignements au registre des entreprises pour le Centre d’entraide familial l’Unité</w:t>
      </w:r>
      <w:r w:rsidR="00260A1F">
        <w:t xml:space="preserve">; </w:t>
      </w:r>
      <w:r>
        <w:t>P</w:t>
      </w:r>
      <w:r w:rsidR="00260A1F">
        <w:noBreakHyphen/>
      </w:r>
      <w:r>
        <w:t>2A</w:t>
      </w:r>
      <w:r w:rsidR="00260A1F">
        <w:t xml:space="preserve"> : </w:t>
      </w:r>
      <w:r w:rsidR="00260A1F" w:rsidRPr="00260A1F">
        <w:t>État des renseignements au registre des entreprises pour l’Unité d’enquête anti-corruption en date du 11 avril 2022</w:t>
      </w:r>
      <w:r w:rsidR="00260A1F">
        <w:t xml:space="preserve"> </w:t>
      </w:r>
      <w:r w:rsidR="007904FE">
        <w:t>et</w:t>
      </w:r>
      <w:r>
        <w:t xml:space="preserve"> P-2B</w:t>
      </w:r>
      <w:r w:rsidR="00260A1F">
        <w:t xml:space="preserve"> : </w:t>
      </w:r>
      <w:r w:rsidR="00260A1F" w:rsidRPr="00260A1F">
        <w:t>État des renseignements au registre des entreprises pour l’Unité</w:t>
      </w:r>
      <w:r w:rsidR="00260A1F">
        <w:t xml:space="preserve"> </w:t>
      </w:r>
      <w:r w:rsidR="00260A1F" w:rsidRPr="00260A1F">
        <w:t>d’enquête anti-corruption en date du 28 juillet 2025</w:t>
      </w:r>
      <w:r w:rsidR="00260A1F">
        <w:t>.</w:t>
      </w:r>
    </w:p>
  </w:footnote>
  <w:footnote w:id="9">
    <w:p w14:paraId="7430DCE6" w14:textId="77777777" w:rsidR="004A5115" w:rsidRDefault="00893AC8" w:rsidP="004A5115">
      <w:pPr>
        <w:pStyle w:val="Notedebasdepage"/>
      </w:pPr>
      <w:r>
        <w:rPr>
          <w:rStyle w:val="Appelnotedebasdep"/>
        </w:rPr>
        <w:footnoteRef/>
      </w:r>
      <w:r>
        <w:t xml:space="preserve"> </w:t>
      </w:r>
      <w:r>
        <w:tab/>
        <w:t>P-36</w:t>
      </w:r>
      <w:r w:rsidR="00260A1F">
        <w:t xml:space="preserve"> : </w:t>
      </w:r>
      <w:r w:rsidR="00260A1F" w:rsidRPr="00260A1F">
        <w:t>État des renseignements au registre des entreprises pour L’Unité Citoyenne D’Enquête Anti</w:t>
      </w:r>
      <w:r w:rsidR="00260A1F">
        <w:noBreakHyphen/>
      </w:r>
      <w:r w:rsidR="00260A1F" w:rsidRPr="00260A1F">
        <w:t>Corruption</w:t>
      </w:r>
      <w:r w:rsidR="00260A1F">
        <w:t>.</w:t>
      </w:r>
    </w:p>
  </w:footnote>
  <w:footnote w:id="10">
    <w:p w14:paraId="11974F3B" w14:textId="77777777" w:rsidR="00F34825" w:rsidRDefault="00893AC8">
      <w:pPr>
        <w:pStyle w:val="Notedebasdepage"/>
      </w:pPr>
      <w:r>
        <w:rPr>
          <w:rStyle w:val="Appelnotedebasdep"/>
        </w:rPr>
        <w:footnoteRef/>
      </w:r>
      <w:r>
        <w:t xml:space="preserve"> </w:t>
      </w:r>
      <w:r>
        <w:tab/>
        <w:t>P-5 :</w:t>
      </w:r>
      <w:r w:rsidR="009737E1">
        <w:t xml:space="preserve"> </w:t>
      </w:r>
      <w:r w:rsidR="00DF3CA8" w:rsidRPr="00DF3CA8">
        <w:t>Extrait des notes sténographiques du 16 novembre 2016 dans le dossier 405-41-002401-136 concernant les témoignages de Marc</w:t>
      </w:r>
      <w:r w:rsidR="00DF3CA8">
        <w:t xml:space="preserve"> </w:t>
      </w:r>
      <w:r w:rsidR="00DF3CA8" w:rsidRPr="00DF3CA8">
        <w:t>Leroux-Lefèvre et de Mario Roy</w:t>
      </w:r>
      <w:r w:rsidR="00DF3CA8">
        <w:t xml:space="preserve">, </w:t>
      </w:r>
      <w:r>
        <w:t>pp. 2</w:t>
      </w:r>
      <w:r w:rsidR="009737E1">
        <w:t xml:space="preserve"> à </w:t>
      </w:r>
      <w:r>
        <w:t>5.</w:t>
      </w:r>
    </w:p>
  </w:footnote>
  <w:footnote w:id="11">
    <w:p w14:paraId="74C73EA8" w14:textId="77777777" w:rsidR="002377A5" w:rsidRDefault="00893AC8">
      <w:pPr>
        <w:pStyle w:val="Notedebasdepage"/>
      </w:pPr>
      <w:r>
        <w:rPr>
          <w:rStyle w:val="Appelnotedebasdep"/>
        </w:rPr>
        <w:footnoteRef/>
      </w:r>
      <w:r>
        <w:t xml:space="preserve"> </w:t>
      </w:r>
      <w:r>
        <w:tab/>
      </w:r>
      <w:r w:rsidRPr="002377A5">
        <w:t xml:space="preserve">P-5 : </w:t>
      </w:r>
      <w:r w:rsidR="00DF3CA8" w:rsidRPr="00DF3CA8">
        <w:t>Extrait des notes sténographiques du 16 novembre 2016 dans le dossier 405-41-002401-136 concernant les témoignages de Marc</w:t>
      </w:r>
      <w:r w:rsidR="00DF3CA8">
        <w:t xml:space="preserve"> </w:t>
      </w:r>
      <w:r w:rsidR="00DF3CA8" w:rsidRPr="00DF3CA8">
        <w:t>Leroux-Lefèvre et de Mario Roy</w:t>
      </w:r>
      <w:r w:rsidR="00DF3CA8">
        <w:t xml:space="preserve">, </w:t>
      </w:r>
      <w:r w:rsidRPr="002377A5">
        <w:t>p</w:t>
      </w:r>
      <w:r>
        <w:t>. 21</w:t>
      </w:r>
      <w:r w:rsidRPr="002377A5">
        <w:t>.</w:t>
      </w:r>
    </w:p>
  </w:footnote>
  <w:footnote w:id="12">
    <w:p w14:paraId="1ABBA407" w14:textId="77777777" w:rsidR="007E318C" w:rsidRDefault="00893AC8">
      <w:pPr>
        <w:pStyle w:val="Notedebasdepage"/>
      </w:pPr>
      <w:r>
        <w:rPr>
          <w:rStyle w:val="Appelnotedebasdep"/>
        </w:rPr>
        <w:footnoteRef/>
      </w:r>
      <w:r>
        <w:t xml:space="preserve"> </w:t>
      </w:r>
      <w:r>
        <w:tab/>
        <w:t xml:space="preserve">P-5 : </w:t>
      </w:r>
      <w:r w:rsidR="00DF3CA8" w:rsidRPr="00DF3CA8">
        <w:t>Extrait des notes sténographiques du 16 novembre 2016 dans le dossier 405-41-002401-136 concernant les témoignages de Marc</w:t>
      </w:r>
      <w:r w:rsidR="00DF3CA8">
        <w:t xml:space="preserve"> </w:t>
      </w:r>
      <w:r w:rsidR="00DF3CA8" w:rsidRPr="00DF3CA8">
        <w:t>Leroux-Lefèvre et de Mario Roy</w:t>
      </w:r>
      <w:r w:rsidR="00DF3CA8">
        <w:t xml:space="preserve">, </w:t>
      </w:r>
      <w:r>
        <w:t>p. 27.</w:t>
      </w:r>
      <w:r w:rsidR="00A90F63">
        <w:t xml:space="preserve"> Comme nous le verrons ci-dessous, ce geste mènera au dépôt d’accusation pénale contre M. Roy</w:t>
      </w:r>
      <w:r w:rsidR="001043C5">
        <w:t>, accusation pour l</w:t>
      </w:r>
      <w:r w:rsidR="0065377A">
        <w:t>a</w:t>
      </w:r>
      <w:r w:rsidR="001043C5">
        <w:t>quel</w:t>
      </w:r>
      <w:r w:rsidR="0065377A">
        <w:t>le</w:t>
      </w:r>
      <w:r w:rsidR="001043C5">
        <w:t xml:space="preserve"> il ser</w:t>
      </w:r>
      <w:r w:rsidR="00201E98">
        <w:t>a</w:t>
      </w:r>
      <w:r w:rsidR="001043C5">
        <w:t xml:space="preserve"> déclaré </w:t>
      </w:r>
      <w:r w:rsidR="0019055F">
        <w:t>coupable</w:t>
      </w:r>
      <w:r w:rsidR="001043C5">
        <w:t xml:space="preserve"> </w:t>
      </w:r>
      <w:r w:rsidR="0019055F">
        <w:t>d’exercice illégal de la profession d’avocat</w:t>
      </w:r>
      <w:r w:rsidR="00CD649A" w:rsidRPr="00CD649A">
        <w:t xml:space="preserve"> sans être inscrit au Tableau de l’Ordre des avocats,</w:t>
      </w:r>
      <w:r w:rsidR="007C4D6C">
        <w:t xml:space="preserve"> (voir </w:t>
      </w:r>
      <w:r w:rsidR="003E0342">
        <w:t xml:space="preserve">P-84 : Jugement </w:t>
      </w:r>
      <w:r w:rsidR="00A62EA6">
        <w:t>prononcé le 20 juillet 2018 d</w:t>
      </w:r>
      <w:r w:rsidR="003E0342">
        <w:t xml:space="preserve">e la Cour du Québec, Chambre criminelle et pénale, dans le dossier </w:t>
      </w:r>
      <w:r w:rsidR="00A62EA6">
        <w:t>4</w:t>
      </w:r>
      <w:r w:rsidR="00A62EA6" w:rsidRPr="00A62EA6">
        <w:t>05-61-034340-177</w:t>
      </w:r>
      <w:r w:rsidR="00CC56F8">
        <w:t>, voir</w:t>
      </w:r>
      <w:r w:rsidR="00A62EA6" w:rsidRPr="00A62EA6">
        <w:t xml:space="preserve"> </w:t>
      </w:r>
      <w:r w:rsidR="007C4D6C">
        <w:t>chef 3)</w:t>
      </w:r>
      <w:r w:rsidR="00CC56F8">
        <w:t>.</w:t>
      </w:r>
    </w:p>
  </w:footnote>
  <w:footnote w:id="13">
    <w:p w14:paraId="2B9050B9" w14:textId="77777777" w:rsidR="00877CAF" w:rsidRDefault="00893AC8">
      <w:pPr>
        <w:pStyle w:val="Notedebasdepage"/>
      </w:pPr>
      <w:r>
        <w:rPr>
          <w:rStyle w:val="Appelnotedebasdep"/>
        </w:rPr>
        <w:footnoteRef/>
      </w:r>
      <w:r>
        <w:t xml:space="preserve"> </w:t>
      </w:r>
      <w:r>
        <w:tab/>
        <w:t>Dossier 500-01-215535-219.</w:t>
      </w:r>
    </w:p>
  </w:footnote>
  <w:footnote w:id="14">
    <w:p w14:paraId="5A759B2D" w14:textId="77777777" w:rsidR="002A0053" w:rsidRDefault="00893AC8">
      <w:pPr>
        <w:pStyle w:val="Notedebasdepage"/>
      </w:pPr>
      <w:r>
        <w:rPr>
          <w:rStyle w:val="Appelnotedebasdep"/>
        </w:rPr>
        <w:footnoteRef/>
      </w:r>
      <w:r>
        <w:t xml:space="preserve"> </w:t>
      </w:r>
      <w:r>
        <w:tab/>
        <w:t xml:space="preserve">P-98 : Demande </w:t>
      </w:r>
      <w:r w:rsidR="008F4B08">
        <w:t>introductive</w:t>
      </w:r>
      <w:r>
        <w:t xml:space="preserve"> d’instance contre Me Hogue, </w:t>
      </w:r>
      <w:r w:rsidR="008F4B08">
        <w:t xml:space="preserve">et al. </w:t>
      </w:r>
      <w:r w:rsidR="004E502C">
        <w:t>dans le dossier 405-17-003338-2</w:t>
      </w:r>
      <w:r w:rsidR="00FE0907">
        <w:t>5</w:t>
      </w:r>
      <w:r w:rsidR="004E502C">
        <w:t>3</w:t>
      </w:r>
      <w:r w:rsidR="008F4B08">
        <w:t>.</w:t>
      </w:r>
      <w:r w:rsidR="00DF3CA8">
        <w:t xml:space="preserve"> </w:t>
      </w:r>
      <w:r w:rsidR="009B3A4F">
        <w:t xml:space="preserve">Le 10 octobre 2025, la Cour rejette </w:t>
      </w:r>
      <w:r w:rsidR="00D10F44">
        <w:t>la demande de M</w:t>
      </w:r>
      <w:r w:rsidR="00E5477C">
        <w:t xml:space="preserve">. </w:t>
      </w:r>
      <w:r w:rsidR="00D10F44">
        <w:t xml:space="preserve">Roy </w:t>
      </w:r>
      <w:r w:rsidR="00E5477C">
        <w:t>contre M</w:t>
      </w:r>
      <w:r w:rsidR="009B57B4">
        <w:t xml:space="preserve">e Hogue </w:t>
      </w:r>
      <w:r w:rsidR="00D10F44">
        <w:t xml:space="preserve">et le Barreau </w:t>
      </w:r>
      <w:r w:rsidR="00F42967">
        <w:t xml:space="preserve">parce qu’elle est jugée abusive : </w:t>
      </w:r>
      <w:r w:rsidR="00D10F44" w:rsidRPr="0065377A">
        <w:rPr>
          <w:i/>
        </w:rPr>
        <w:t xml:space="preserve">Roy </w:t>
      </w:r>
      <w:r w:rsidR="00D10F44" w:rsidRPr="0065377A">
        <w:t xml:space="preserve">c. </w:t>
      </w:r>
      <w:r w:rsidR="00D10F44" w:rsidRPr="0065377A">
        <w:rPr>
          <w:i/>
        </w:rPr>
        <w:t>E.H</w:t>
      </w:r>
      <w:r w:rsidR="00D10F44" w:rsidRPr="0065377A">
        <w:t>., 2025 QCCS 4398</w:t>
      </w:r>
      <w:r w:rsidR="00DF3CA8" w:rsidRPr="0065377A">
        <w:t>.</w:t>
      </w:r>
    </w:p>
  </w:footnote>
  <w:footnote w:id="15">
    <w:p w14:paraId="6CCF029C" w14:textId="77777777" w:rsidR="002B26A6" w:rsidRDefault="00893AC8">
      <w:pPr>
        <w:pStyle w:val="Notedebasdepage"/>
      </w:pPr>
      <w:r>
        <w:rPr>
          <w:rStyle w:val="Appelnotedebasdep"/>
        </w:rPr>
        <w:footnoteRef/>
      </w:r>
      <w:r>
        <w:t xml:space="preserve"> </w:t>
      </w:r>
      <w:r>
        <w:tab/>
        <w:t>P-9</w:t>
      </w:r>
      <w:r w:rsidR="007E44BF">
        <w:t> : Constat</w:t>
      </w:r>
      <w:r w:rsidR="00562E08">
        <w:t>s</w:t>
      </w:r>
      <w:r w:rsidR="007E44BF">
        <w:t xml:space="preserve"> d’infraction contre Mario Roy </w:t>
      </w:r>
      <w:r w:rsidR="00DF3CA8">
        <w:t xml:space="preserve">et </w:t>
      </w:r>
      <w:r w:rsidR="00DF3CA8" w:rsidRPr="0065377A">
        <w:t>P</w:t>
      </w:r>
      <w:r w:rsidR="007E44BF" w:rsidRPr="0065377A">
        <w:t>-</w:t>
      </w:r>
      <w:r w:rsidR="007E44BF">
        <w:t>10</w:t>
      </w:r>
      <w:r w:rsidR="007E44BF" w:rsidRPr="007E44BF">
        <w:t xml:space="preserve"> : Constat d’infraction </w:t>
      </w:r>
      <w:r w:rsidR="007E44BF">
        <w:t>contre l’Unité.</w:t>
      </w:r>
    </w:p>
  </w:footnote>
  <w:footnote w:id="16">
    <w:p w14:paraId="5CA3FEC6" w14:textId="77777777" w:rsidR="00AA3519" w:rsidRDefault="00893AC8">
      <w:pPr>
        <w:pStyle w:val="Notedebasdepage"/>
      </w:pPr>
      <w:r>
        <w:rPr>
          <w:rStyle w:val="Appelnotedebasdep"/>
        </w:rPr>
        <w:footnoteRef/>
      </w:r>
      <w:r>
        <w:t xml:space="preserve"> </w:t>
      </w:r>
      <w:r>
        <w:tab/>
        <w:t>P-23</w:t>
      </w:r>
      <w:r w:rsidR="003E3E5B">
        <w:t xml:space="preserve"> : Courriel du 10 novembre </w:t>
      </w:r>
      <w:r w:rsidR="00523CB1">
        <w:t>2017</w:t>
      </w:r>
      <w:r w:rsidR="00DF3CA8">
        <w:t xml:space="preserve"> </w:t>
      </w:r>
      <w:r w:rsidR="003E3E5B">
        <w:t>de M. Roy à Me Hogue</w:t>
      </w:r>
      <w:r w:rsidR="00DF3CA8">
        <w:t>.</w:t>
      </w:r>
    </w:p>
  </w:footnote>
  <w:footnote w:id="17">
    <w:p w14:paraId="1A71E58C" w14:textId="77777777" w:rsidR="00021430" w:rsidRPr="00C87F7A" w:rsidRDefault="00893AC8">
      <w:pPr>
        <w:pStyle w:val="Notedebasdepage"/>
      </w:pPr>
      <w:r w:rsidRPr="00C87F7A">
        <w:rPr>
          <w:rStyle w:val="Appelnotedebasdep"/>
        </w:rPr>
        <w:footnoteRef/>
      </w:r>
      <w:r w:rsidRPr="00C87F7A">
        <w:t xml:space="preserve"> </w:t>
      </w:r>
      <w:r w:rsidRPr="00C87F7A">
        <w:tab/>
        <w:t xml:space="preserve">À l’origine, la demande est introduite </w:t>
      </w:r>
      <w:r w:rsidR="00717224" w:rsidRPr="00C87F7A">
        <w:t xml:space="preserve">dans le district de </w:t>
      </w:r>
      <w:r w:rsidR="0073485B" w:rsidRPr="00C87F7A">
        <w:t>Drummond dans le dossier 405-17-002</w:t>
      </w:r>
      <w:r w:rsidR="00A9428D" w:rsidRPr="00C87F7A">
        <w:t>435-175.</w:t>
      </w:r>
      <w:r w:rsidR="00653A42" w:rsidRPr="00C87F7A">
        <w:t xml:space="preserve"> Toutefois, le </w:t>
      </w:r>
      <w:r w:rsidR="00A3587F" w:rsidRPr="00C87F7A">
        <w:t xml:space="preserve">21 octobre 2019, le </w:t>
      </w:r>
      <w:r w:rsidR="00DF3CA8">
        <w:t>j</w:t>
      </w:r>
      <w:r w:rsidR="00A3587F" w:rsidRPr="00C87F7A">
        <w:t>uge en chef de la Cour supérieure ordonne le transfert du dossier dans le district de Montr</w:t>
      </w:r>
      <w:r w:rsidR="00EC4452" w:rsidRPr="00C87F7A">
        <w:t xml:space="preserve">éal et l’instance se poursuit dans le dossier </w:t>
      </w:r>
      <w:r w:rsidR="00E11765" w:rsidRPr="00C87F7A">
        <w:t>500-17-</w:t>
      </w:r>
      <w:r w:rsidR="00CF7ADB" w:rsidRPr="00C87F7A">
        <w:t>110</w:t>
      </w:r>
      <w:r w:rsidR="00102CE1" w:rsidRPr="00C87F7A">
        <w:t>174-193.</w:t>
      </w:r>
    </w:p>
  </w:footnote>
  <w:footnote w:id="18">
    <w:p w14:paraId="1E7FE9C1" w14:textId="77777777" w:rsidR="00D35595" w:rsidRDefault="00893AC8">
      <w:pPr>
        <w:pStyle w:val="Notedebasdepage"/>
      </w:pPr>
      <w:r>
        <w:rPr>
          <w:rStyle w:val="Appelnotedebasdep"/>
        </w:rPr>
        <w:footnoteRef/>
      </w:r>
      <w:r>
        <w:t xml:space="preserve"> </w:t>
      </w:r>
      <w:r>
        <w:tab/>
      </w:r>
      <w:r w:rsidR="00EE6659">
        <w:t xml:space="preserve">P-37 : Jugement du 30 mai 2018 du </w:t>
      </w:r>
      <w:r w:rsidR="00DF3CA8">
        <w:t>j</w:t>
      </w:r>
      <w:r w:rsidR="00EE6659">
        <w:t>uge Dubois</w:t>
      </w:r>
      <w:r w:rsidR="00813113">
        <w:t xml:space="preserve"> (jugement rapporté à </w:t>
      </w:r>
      <w:r w:rsidR="00813113" w:rsidRPr="00813113">
        <w:t>2018 QCCS 2521</w:t>
      </w:r>
      <w:r w:rsidR="00813113">
        <w:t>).</w:t>
      </w:r>
    </w:p>
  </w:footnote>
  <w:footnote w:id="19">
    <w:p w14:paraId="2C3745F0" w14:textId="77777777" w:rsidR="007904FE" w:rsidRDefault="00893AC8">
      <w:pPr>
        <w:pStyle w:val="Notedebasdepage"/>
      </w:pPr>
      <w:r>
        <w:rPr>
          <w:rStyle w:val="Appelnotedebasdep"/>
        </w:rPr>
        <w:footnoteRef/>
      </w:r>
      <w:r>
        <w:t xml:space="preserve"> </w:t>
      </w:r>
      <w:r>
        <w:tab/>
      </w:r>
      <w:r w:rsidR="00A87729" w:rsidRPr="00A87729">
        <w:t>P-84</w:t>
      </w:r>
      <w:r w:rsidR="00686A19">
        <w:t xml:space="preserve"> : </w:t>
      </w:r>
      <w:r w:rsidR="00686A19" w:rsidRPr="00686A19">
        <w:t xml:space="preserve">Jugement de la Cour du Québec, Chambre criminelle et pénale, prononcé le 20 juillet 2018 dans le dossier 405-61-034340-177 </w:t>
      </w:r>
      <w:r w:rsidR="00A87729">
        <w:t xml:space="preserve">(jugement rapporté à </w:t>
      </w:r>
      <w:r>
        <w:t>2018 QCCQ 5635</w:t>
      </w:r>
      <w:r w:rsidR="00A87729">
        <w:t>)</w:t>
      </w:r>
      <w:r>
        <w:t>.</w:t>
      </w:r>
    </w:p>
  </w:footnote>
  <w:footnote w:id="20">
    <w:p w14:paraId="5F82E433" w14:textId="77777777" w:rsidR="00837B8C" w:rsidRDefault="00893AC8" w:rsidP="00837B8C">
      <w:pPr>
        <w:pStyle w:val="Notedebasdepage"/>
      </w:pPr>
      <w:r>
        <w:rPr>
          <w:rStyle w:val="Appelnotedebasdep"/>
        </w:rPr>
        <w:footnoteRef/>
      </w:r>
      <w:r>
        <w:t xml:space="preserve"> </w:t>
      </w:r>
      <w:r>
        <w:tab/>
        <w:t xml:space="preserve">P-38 : </w:t>
      </w:r>
      <w:r w:rsidR="00DF3CA8" w:rsidRPr="00DF3CA8">
        <w:rPr>
          <w:i/>
          <w:iCs/>
        </w:rPr>
        <w:t xml:space="preserve">En liasse, </w:t>
      </w:r>
      <w:r w:rsidR="00DF3CA8" w:rsidRPr="00DF3CA8">
        <w:t>procédure, les procès-verbaux et l’ordonnance portant citation à comparaître en matière d’outrage au tribunal.</w:t>
      </w:r>
    </w:p>
  </w:footnote>
  <w:footnote w:id="21">
    <w:p w14:paraId="3B795477" w14:textId="77777777" w:rsidR="001E7A16" w:rsidRDefault="00893AC8" w:rsidP="001E7A16">
      <w:pPr>
        <w:pStyle w:val="Notedebasdepage"/>
      </w:pPr>
      <w:r>
        <w:rPr>
          <w:rStyle w:val="Appelnotedebasdep"/>
        </w:rPr>
        <w:footnoteRef/>
      </w:r>
      <w:r>
        <w:t xml:space="preserve"> </w:t>
      </w:r>
      <w:r>
        <w:tab/>
        <w:t>P-41</w:t>
      </w:r>
      <w:r w:rsidR="0029580F">
        <w:t xml:space="preserve"> : Jugement du </w:t>
      </w:r>
      <w:r w:rsidR="0084435A">
        <w:t>2 mai 2019 (« Jugement Outrage n</w:t>
      </w:r>
      <w:r w:rsidR="0084435A">
        <w:rPr>
          <w:vertAlign w:val="superscript"/>
        </w:rPr>
        <w:t>o</w:t>
      </w:r>
      <w:r w:rsidR="0084435A">
        <w:t xml:space="preserve"> 1 »)</w:t>
      </w:r>
      <w:r w:rsidR="00F46191">
        <w:t xml:space="preserve">, jugement rapporté à </w:t>
      </w:r>
      <w:r w:rsidR="003672F6" w:rsidRPr="003672F6">
        <w:rPr>
          <w:i/>
          <w:iCs/>
        </w:rPr>
        <w:t xml:space="preserve">Barreau du Québec </w:t>
      </w:r>
      <w:r w:rsidR="003672F6" w:rsidRPr="00DF3CA8">
        <w:t>c</w:t>
      </w:r>
      <w:r w:rsidR="003672F6" w:rsidRPr="003672F6">
        <w:rPr>
          <w:i/>
          <w:iCs/>
        </w:rPr>
        <w:t>. M.R</w:t>
      </w:r>
      <w:r w:rsidR="003672F6">
        <w:t xml:space="preserve">., </w:t>
      </w:r>
      <w:r w:rsidR="003672F6" w:rsidRPr="003672F6">
        <w:t>2019 QCCS 1828</w:t>
      </w:r>
      <w:r w:rsidR="00DF3CA8">
        <w:t>.</w:t>
      </w:r>
    </w:p>
  </w:footnote>
  <w:footnote w:id="22">
    <w:p w14:paraId="38AA2E33" w14:textId="77777777" w:rsidR="007904FE" w:rsidRDefault="00893AC8">
      <w:pPr>
        <w:pStyle w:val="Notedebasdepage"/>
      </w:pPr>
      <w:r>
        <w:rPr>
          <w:rStyle w:val="Appelnotedebasdep"/>
        </w:rPr>
        <w:footnoteRef/>
      </w:r>
      <w:r>
        <w:t xml:space="preserve"> </w:t>
      </w:r>
      <w:r>
        <w:tab/>
        <w:t>P-96 : Jugement du 4 septembre</w:t>
      </w:r>
      <w:r w:rsidR="008C7FE7">
        <w:t xml:space="preserve"> 2019</w:t>
      </w:r>
      <w:r w:rsidR="005E1D1D">
        <w:t>, r</w:t>
      </w:r>
      <w:r w:rsidR="008C43AC">
        <w:t>ap</w:t>
      </w:r>
      <w:r w:rsidR="005E1D1D">
        <w:t>porté à 2019 QCCS 4048.</w:t>
      </w:r>
    </w:p>
  </w:footnote>
  <w:footnote w:id="23">
    <w:p w14:paraId="73BB339D" w14:textId="77777777" w:rsidR="007904FE" w:rsidRDefault="00893AC8">
      <w:pPr>
        <w:pStyle w:val="Notedebasdepage"/>
      </w:pPr>
      <w:r>
        <w:rPr>
          <w:rStyle w:val="Appelnotedebasdep"/>
        </w:rPr>
        <w:footnoteRef/>
      </w:r>
      <w:r>
        <w:t xml:space="preserve"> </w:t>
      </w:r>
      <w:r>
        <w:tab/>
      </w:r>
      <w:r w:rsidRPr="0098235D">
        <w:t>P-</w:t>
      </w:r>
      <w:r>
        <w:t xml:space="preserve">90 : </w:t>
      </w:r>
      <w:r w:rsidR="008C7FE7">
        <w:t xml:space="preserve">« </w:t>
      </w:r>
      <w:r w:rsidR="00E15CA7">
        <w:t>Jugement Outrage n</w:t>
      </w:r>
      <w:r w:rsidR="00E15CA7">
        <w:rPr>
          <w:vertAlign w:val="superscript"/>
        </w:rPr>
        <w:t>o</w:t>
      </w:r>
      <w:r w:rsidR="00E15CA7">
        <w:t xml:space="preserve"> 2 </w:t>
      </w:r>
      <w:r w:rsidR="008C7FE7">
        <w:t>»</w:t>
      </w:r>
      <w:r w:rsidR="00E15CA7">
        <w:t xml:space="preserve"> (jugement rapporté à </w:t>
      </w:r>
      <w:r w:rsidRPr="00E15CA7">
        <w:rPr>
          <w:i/>
          <w:iCs/>
        </w:rPr>
        <w:t xml:space="preserve">Barreau du Québec </w:t>
      </w:r>
      <w:r w:rsidRPr="00DF3CA8">
        <w:t>c</w:t>
      </w:r>
      <w:r w:rsidRPr="00E15CA7">
        <w:rPr>
          <w:i/>
          <w:iCs/>
        </w:rPr>
        <w:t>. Roy</w:t>
      </w:r>
      <w:r w:rsidRPr="0098235D">
        <w:t>, 2021 QCCS 1107</w:t>
      </w:r>
      <w:r>
        <w:t>.</w:t>
      </w:r>
    </w:p>
  </w:footnote>
  <w:footnote w:id="24">
    <w:p w14:paraId="6FB80D1C" w14:textId="77777777" w:rsidR="00F34D16" w:rsidRDefault="00893AC8">
      <w:pPr>
        <w:pStyle w:val="Notedebasdepage"/>
      </w:pPr>
      <w:r>
        <w:rPr>
          <w:rStyle w:val="Appelnotedebasdep"/>
        </w:rPr>
        <w:footnoteRef/>
      </w:r>
      <w:r>
        <w:t xml:space="preserve"> </w:t>
      </w:r>
      <w:r w:rsidR="0075086B">
        <w:tab/>
        <w:t>P-4</w:t>
      </w:r>
      <w:r w:rsidR="00023B78">
        <w:t xml:space="preserve"> : </w:t>
      </w:r>
      <w:r w:rsidR="00023B78" w:rsidRPr="00023B78">
        <w:rPr>
          <w:i/>
          <w:iCs/>
        </w:rPr>
        <w:t>En liasse</w:t>
      </w:r>
      <w:r w:rsidR="00023B78" w:rsidRPr="00023B78">
        <w:t>, attestation de la directrice du Service des greffes du Barreau quant au statut de non</w:t>
      </w:r>
      <w:r w:rsidR="00023B78">
        <w:noBreakHyphen/>
      </w:r>
      <w:r w:rsidR="00023B78" w:rsidRPr="00023B78">
        <w:t>membre de Mario Roy et courriel du Greffe de discipline du Barreau à l’effet que Centre d’entraide familial</w:t>
      </w:r>
      <w:r w:rsidR="00023B78">
        <w:t xml:space="preserve"> </w:t>
      </w:r>
      <w:r w:rsidR="00023B78" w:rsidRPr="00023B78">
        <w:t>l’Unité n’est pas inscrit au registre du Barreau du Québec</w:t>
      </w:r>
      <w:r w:rsidR="00023B78">
        <w:t xml:space="preserve"> et </w:t>
      </w:r>
      <w:r w:rsidR="00FF6493">
        <w:t>P-4A</w:t>
      </w:r>
      <w:r w:rsidR="00023B78">
        <w:t> </w:t>
      </w:r>
      <w:r w:rsidR="00023B78" w:rsidRPr="00023B78">
        <w:t>:</w:t>
      </w:r>
      <w:r w:rsidR="00023B78" w:rsidRPr="00023B78">
        <w:rPr>
          <w:rFonts w:cs="Arial"/>
          <w:szCs w:val="24"/>
          <w:lang w:eastAsia="fr-CA"/>
        </w:rPr>
        <w:t xml:space="preserve"> </w:t>
      </w:r>
      <w:r w:rsidR="00023B78" w:rsidRPr="00023B78">
        <w:t>Mise à jour de l’attestation du Service des greffes et/ou de la Secrétaire de l’Ordre/Barreau concernant Mario Roy</w:t>
      </w:r>
      <w:r w:rsidR="00023B78">
        <w:t>.</w:t>
      </w:r>
    </w:p>
  </w:footnote>
  <w:footnote w:id="25">
    <w:p w14:paraId="02DBEDC7" w14:textId="77777777" w:rsidR="00EC6DCC" w:rsidRDefault="00893AC8">
      <w:pPr>
        <w:pStyle w:val="Notedebasdepage"/>
      </w:pPr>
      <w:r>
        <w:rPr>
          <w:rStyle w:val="Appelnotedebasdep"/>
        </w:rPr>
        <w:footnoteRef/>
      </w:r>
      <w:r>
        <w:t xml:space="preserve"> </w:t>
      </w:r>
      <w:r>
        <w:tab/>
      </w:r>
      <w:r w:rsidR="00023B78">
        <w:t xml:space="preserve">P-4 : </w:t>
      </w:r>
      <w:r w:rsidR="00023B78" w:rsidRPr="00023B78">
        <w:rPr>
          <w:i/>
          <w:iCs/>
        </w:rPr>
        <w:t>En liasse</w:t>
      </w:r>
      <w:r w:rsidR="00023B78" w:rsidRPr="00023B78">
        <w:t>, attestation de la directrice du Service des greffes du Barreau quant au statut de non</w:t>
      </w:r>
      <w:r w:rsidR="00023B78">
        <w:noBreakHyphen/>
      </w:r>
      <w:r w:rsidR="00023B78" w:rsidRPr="00023B78">
        <w:t>membre de Mario Roy et courriel du Greffe de discipline du Barreau à l’effet que Centre d’entraide familial</w:t>
      </w:r>
      <w:r w:rsidR="00023B78">
        <w:t xml:space="preserve"> </w:t>
      </w:r>
      <w:r w:rsidR="00023B78" w:rsidRPr="00023B78">
        <w:t>l’Unité n’est pas inscrit au registre du Barreau du Québec</w:t>
      </w:r>
      <w:r w:rsidR="00023B78">
        <w:t xml:space="preserve"> et </w:t>
      </w:r>
      <w:r>
        <w:t>P-4B</w:t>
      </w:r>
      <w:r w:rsidR="00023B78">
        <w:t> :</w:t>
      </w:r>
      <w:r w:rsidR="00023B78" w:rsidRPr="00023B78">
        <w:rPr>
          <w:rFonts w:cs="Arial"/>
          <w:color w:val="000000"/>
          <w:sz w:val="23"/>
          <w:szCs w:val="23"/>
          <w:lang w:eastAsia="fr-CA"/>
        </w:rPr>
        <w:t xml:space="preserve"> </w:t>
      </w:r>
      <w:r w:rsidR="00023B78" w:rsidRPr="00023B78">
        <w:t>Mise à jour de l’attestation du Service des greffes et/ou de la Secrétaire de l’Ordre/Barreau concernant l’Unité citoyenne d’enquête anti-corruption</w:t>
      </w:r>
      <w:r w:rsidR="00023B78">
        <w:t>.</w:t>
      </w:r>
    </w:p>
  </w:footnote>
  <w:footnote w:id="26">
    <w:p w14:paraId="4A3D8F7C" w14:textId="77777777" w:rsidR="00C829AC" w:rsidRDefault="00893AC8">
      <w:pPr>
        <w:pStyle w:val="Notedebasdepage"/>
      </w:pPr>
      <w:r>
        <w:rPr>
          <w:rStyle w:val="Appelnotedebasdep"/>
        </w:rPr>
        <w:footnoteRef/>
      </w:r>
      <w:r>
        <w:t xml:space="preserve"> </w:t>
      </w:r>
      <w:r w:rsidR="00047FBD">
        <w:tab/>
        <w:t>Témoignage en chef de M. Roy, 11 septembre</w:t>
      </w:r>
      <w:r w:rsidR="00023B78">
        <w:t xml:space="preserve"> </w:t>
      </w:r>
      <w:r w:rsidR="008C7FE7">
        <w:t xml:space="preserve">2025 </w:t>
      </w:r>
      <w:r w:rsidR="00023B78">
        <w:t>à</w:t>
      </w:r>
      <w:r w:rsidR="00047FBD">
        <w:t xml:space="preserve"> 15</w:t>
      </w:r>
      <w:r w:rsidR="008C7FE7">
        <w:t xml:space="preserve"> </w:t>
      </w:r>
      <w:r w:rsidR="00047FBD">
        <w:t>h</w:t>
      </w:r>
      <w:r w:rsidR="008C7FE7">
        <w:t xml:space="preserve"> </w:t>
      </w:r>
      <w:r w:rsidR="00047FBD">
        <w:t>59</w:t>
      </w:r>
      <w:r w:rsidR="008C7FE7">
        <w:t>.</w:t>
      </w:r>
    </w:p>
  </w:footnote>
  <w:footnote w:id="27">
    <w:p w14:paraId="36B657A0" w14:textId="77777777" w:rsidR="001652E7" w:rsidRDefault="00893AC8">
      <w:pPr>
        <w:pStyle w:val="Notedebasdepage"/>
      </w:pPr>
      <w:r>
        <w:rPr>
          <w:rStyle w:val="Appelnotedebasdep"/>
        </w:rPr>
        <w:footnoteRef/>
      </w:r>
      <w:r>
        <w:t xml:space="preserve"> </w:t>
      </w:r>
      <w:r w:rsidR="00616C93">
        <w:tab/>
        <w:t xml:space="preserve">Audition du 16 septembre 2025, </w:t>
      </w:r>
      <w:r w:rsidR="00685B19">
        <w:t>pm.</w:t>
      </w:r>
    </w:p>
  </w:footnote>
  <w:footnote w:id="28">
    <w:p w14:paraId="0C4C5BDC" w14:textId="77777777" w:rsidR="00687A80" w:rsidRDefault="00893AC8">
      <w:pPr>
        <w:pStyle w:val="Notedebasdepage"/>
      </w:pPr>
      <w:r>
        <w:rPr>
          <w:rStyle w:val="Appelnotedebasdep"/>
        </w:rPr>
        <w:footnoteRef/>
      </w:r>
      <w:r>
        <w:t xml:space="preserve"> </w:t>
      </w:r>
      <w:r>
        <w:tab/>
        <w:t xml:space="preserve">P-84 : </w:t>
      </w:r>
      <w:r w:rsidR="008F6BD4" w:rsidRPr="008F6BD4">
        <w:t>Jugement de la Cour du Québec, Chambre criminelle et pénale, prononcé le 20 juillet 2018 dans le dossier 405-61-034340-177</w:t>
      </w:r>
      <w:r w:rsidR="00723C42">
        <w:t xml:space="preserve">, par. 13 </w:t>
      </w:r>
      <w:r w:rsidR="008F6BD4" w:rsidRPr="008F6BD4">
        <w:t>(rapporté à 2018 QCCQ 5635</w:t>
      </w:r>
      <w:r w:rsidR="00723C42">
        <w:t>)</w:t>
      </w:r>
      <w:r w:rsidR="00023B78">
        <w:t>.</w:t>
      </w:r>
    </w:p>
  </w:footnote>
  <w:footnote w:id="29">
    <w:p w14:paraId="686CCC61" w14:textId="77777777" w:rsidR="00BB63B9" w:rsidRDefault="00893AC8">
      <w:pPr>
        <w:pStyle w:val="Notedebasdepage"/>
      </w:pPr>
      <w:r>
        <w:rPr>
          <w:rStyle w:val="Appelnotedebasdep"/>
        </w:rPr>
        <w:footnoteRef/>
      </w:r>
      <w:r>
        <w:t xml:space="preserve"> </w:t>
      </w:r>
      <w:r>
        <w:tab/>
        <w:t xml:space="preserve">P- : </w:t>
      </w:r>
      <w:r w:rsidR="005C6DEB" w:rsidRPr="005C6DEB">
        <w:t>Jugement Outrage n</w:t>
      </w:r>
      <w:r w:rsidR="005C6DEB" w:rsidRPr="005C6DEB">
        <w:rPr>
          <w:vertAlign w:val="superscript"/>
        </w:rPr>
        <w:t>o</w:t>
      </w:r>
      <w:r w:rsidR="005C6DEB" w:rsidRPr="005C6DEB">
        <w:t xml:space="preserve"> 2</w:t>
      </w:r>
      <w:r w:rsidR="005C6DEB">
        <w:t xml:space="preserve">, </w:t>
      </w:r>
      <w:r>
        <w:t xml:space="preserve">par. </w:t>
      </w:r>
      <w:r w:rsidR="005C6DEB">
        <w:t>19</w:t>
      </w:r>
      <w:r w:rsidR="00023B78">
        <w:t>.</w:t>
      </w:r>
    </w:p>
  </w:footnote>
  <w:footnote w:id="30">
    <w:p w14:paraId="30E98DB1" w14:textId="77777777" w:rsidR="009316DD" w:rsidRDefault="00893AC8">
      <w:pPr>
        <w:pStyle w:val="Notedebasdepage"/>
      </w:pPr>
      <w:r>
        <w:rPr>
          <w:rStyle w:val="Appelnotedebasdep"/>
        </w:rPr>
        <w:footnoteRef/>
      </w:r>
      <w:r>
        <w:t xml:space="preserve"> </w:t>
      </w:r>
      <w:r>
        <w:tab/>
        <w:t xml:space="preserve">P-37A : Avis d’appel dans le dossier </w:t>
      </w:r>
      <w:r w:rsidR="00CD5442">
        <w:t>405-24-000115</w:t>
      </w:r>
      <w:r w:rsidR="00F214DC">
        <w:t>-163</w:t>
      </w:r>
      <w:r w:rsidR="001B2E05">
        <w:t xml:space="preserve"> et P-37C : </w:t>
      </w:r>
      <w:r w:rsidR="001B2E05" w:rsidRPr="001B2E05">
        <w:t>Avis d’appel dans le dossier 405-24-0001</w:t>
      </w:r>
      <w:r w:rsidR="001B2E05">
        <w:t>31-</w:t>
      </w:r>
      <w:r w:rsidR="001534B1">
        <w:t>178</w:t>
      </w:r>
      <w:r w:rsidR="00023B78">
        <w:t>.</w:t>
      </w:r>
    </w:p>
  </w:footnote>
  <w:footnote w:id="31">
    <w:p w14:paraId="0AED7AB9" w14:textId="77777777" w:rsidR="005B0DA6" w:rsidRDefault="00893AC8">
      <w:pPr>
        <w:pStyle w:val="Notedebasdepage"/>
      </w:pPr>
      <w:r>
        <w:rPr>
          <w:rStyle w:val="Appelnotedebasdep"/>
        </w:rPr>
        <w:footnoteRef/>
      </w:r>
      <w:r>
        <w:t xml:space="preserve"> </w:t>
      </w:r>
      <w:r>
        <w:tab/>
        <w:t xml:space="preserve">P-37B : </w:t>
      </w:r>
      <w:r w:rsidR="0041190F">
        <w:t>« Argumentation concernant l’appel »</w:t>
      </w:r>
      <w:r w:rsidR="008D0B04">
        <w:t xml:space="preserve"> dans les dossiers 405-24-000107-145 et 405-24-</w:t>
      </w:r>
      <w:r w:rsidR="00AD420A">
        <w:t>000108-143.</w:t>
      </w:r>
    </w:p>
  </w:footnote>
  <w:footnote w:id="32">
    <w:p w14:paraId="5389C041" w14:textId="77777777" w:rsidR="00AD420A" w:rsidRDefault="00893AC8">
      <w:pPr>
        <w:pStyle w:val="Notedebasdepage"/>
      </w:pPr>
      <w:r>
        <w:rPr>
          <w:rStyle w:val="Appelnotedebasdep"/>
        </w:rPr>
        <w:footnoteRef/>
      </w:r>
      <w:r>
        <w:t xml:space="preserve"> </w:t>
      </w:r>
      <w:r>
        <w:tab/>
        <w:t xml:space="preserve">P-37 : </w:t>
      </w:r>
      <w:r w:rsidR="00A779CF">
        <w:t xml:space="preserve">Jugement </w:t>
      </w:r>
      <w:r w:rsidR="00AC106C">
        <w:t>du 30 mai 2018</w:t>
      </w:r>
      <w:r w:rsidR="007A36EC">
        <w:t xml:space="preserve"> (juge Dubois)</w:t>
      </w:r>
      <w:r w:rsidR="00EB3713">
        <w:t>,</w:t>
      </w:r>
      <w:r w:rsidR="007A36EC">
        <w:t xml:space="preserve"> </w:t>
      </w:r>
      <w:r>
        <w:t xml:space="preserve">par. </w:t>
      </w:r>
      <w:r w:rsidR="00A779CF">
        <w:t>10</w:t>
      </w:r>
      <w:r w:rsidR="00A720E4">
        <w:t>5</w:t>
      </w:r>
      <w:r w:rsidR="00A779CF">
        <w:t xml:space="preserve"> à 108</w:t>
      </w:r>
      <w:r w:rsidR="00CB15D4">
        <w:t xml:space="preserve">; voir aussi </w:t>
      </w:r>
      <w:r w:rsidR="007035A8">
        <w:t>P-7 : Procès-verbal d’audience du 30 avril 2018</w:t>
      </w:r>
      <w:r w:rsidR="00553270">
        <w:t>, p. 24, liste de pièces.</w:t>
      </w:r>
    </w:p>
  </w:footnote>
  <w:footnote w:id="33">
    <w:p w14:paraId="66A16E87" w14:textId="77777777" w:rsidR="00EE450D" w:rsidRDefault="00893AC8">
      <w:pPr>
        <w:pStyle w:val="Notedebasdepage"/>
      </w:pPr>
      <w:r>
        <w:rPr>
          <w:rStyle w:val="Appelnotedebasdep"/>
        </w:rPr>
        <w:footnoteRef/>
      </w:r>
      <w:r>
        <w:t xml:space="preserve"> </w:t>
      </w:r>
      <w:r>
        <w:tab/>
        <w:t>P-9 :</w:t>
      </w:r>
      <w:r w:rsidR="00881CBA">
        <w:t xml:space="preserve"> Constat d’infraction délivré à M. Roy (4 chefs d’accusation) et P-10 : </w:t>
      </w:r>
      <w:r w:rsidR="00881CBA" w:rsidRPr="00881CBA">
        <w:t xml:space="preserve">Constat d’infraction délivré à </w:t>
      </w:r>
      <w:r w:rsidR="00881CBA">
        <w:t>l’Unité</w:t>
      </w:r>
      <w:r w:rsidR="00881CBA" w:rsidRPr="00881CBA">
        <w:t xml:space="preserve"> (</w:t>
      </w:r>
      <w:r w:rsidR="00881CBA">
        <w:t>1</w:t>
      </w:r>
      <w:r w:rsidR="00881CBA" w:rsidRPr="00881CBA">
        <w:t xml:space="preserve"> chef d’accusation</w:t>
      </w:r>
      <w:r w:rsidR="00881CBA">
        <w:t xml:space="preserve">). </w:t>
      </w:r>
    </w:p>
  </w:footnote>
  <w:footnote w:id="34">
    <w:p w14:paraId="5A1A26FB" w14:textId="77777777" w:rsidR="007A740E" w:rsidRDefault="00893AC8" w:rsidP="007A740E">
      <w:pPr>
        <w:pStyle w:val="Notedebasdepage"/>
      </w:pPr>
      <w:r>
        <w:rPr>
          <w:rStyle w:val="Appelnotedebasdep"/>
        </w:rPr>
        <w:footnoteRef/>
      </w:r>
      <w:r>
        <w:t xml:space="preserve"> </w:t>
      </w:r>
      <w:r>
        <w:tab/>
        <w:t xml:space="preserve">P-84 : </w:t>
      </w:r>
      <w:r w:rsidRPr="00B11D55">
        <w:t>Jugement de la Cour du Québec, Chambre criminelle et pénale, prononcé le 20 juillet 2018 dans le dossier 405-61-034340-17</w:t>
      </w:r>
      <w:r>
        <w:t>7(rapporté à 2018 QCCQ 5635).</w:t>
      </w:r>
    </w:p>
  </w:footnote>
  <w:footnote w:id="35">
    <w:p w14:paraId="38564147" w14:textId="77777777" w:rsidR="00196833" w:rsidRDefault="00893AC8">
      <w:pPr>
        <w:pStyle w:val="Notedebasdepage"/>
      </w:pPr>
      <w:r>
        <w:rPr>
          <w:rStyle w:val="Appelnotedebasdep"/>
        </w:rPr>
        <w:footnoteRef/>
      </w:r>
      <w:r>
        <w:t xml:space="preserve"> </w:t>
      </w:r>
      <w:r>
        <w:tab/>
        <w:t>P-1</w:t>
      </w:r>
      <w:r w:rsidR="003D4356">
        <w:t>6</w:t>
      </w:r>
      <w:r>
        <w:t> :</w:t>
      </w:r>
      <w:r w:rsidR="00012355" w:rsidRPr="00012355">
        <w:t xml:space="preserve"> </w:t>
      </w:r>
      <w:r w:rsidR="003D4356">
        <w:t>Il y est notamm</w:t>
      </w:r>
      <w:r w:rsidR="00790AA1">
        <w:t xml:space="preserve">ent </w:t>
      </w:r>
      <w:r w:rsidR="003D4356">
        <w:t>écrit : « </w:t>
      </w:r>
      <w:r w:rsidR="00012355" w:rsidRPr="00012355">
        <w:t>Le centre d’entraide familial l’Unité invite cette fugueuse à entrer en contact l’organisme afin de faire valoir ses droits devant les tribunaux</w:t>
      </w:r>
      <w:r w:rsidR="00023B78">
        <w:t>…</w:t>
      </w:r>
      <w:r w:rsidR="00790AA1">
        <w:t> »</w:t>
      </w:r>
    </w:p>
  </w:footnote>
  <w:footnote w:id="36">
    <w:p w14:paraId="60130F51" w14:textId="77777777" w:rsidR="00815136" w:rsidRDefault="00893AC8" w:rsidP="00EA607E">
      <w:pPr>
        <w:pStyle w:val="Notedebasdepage"/>
      </w:pPr>
      <w:r>
        <w:rPr>
          <w:rStyle w:val="Appelnotedebasdep"/>
        </w:rPr>
        <w:footnoteRef/>
      </w:r>
      <w:r>
        <w:t xml:space="preserve"> </w:t>
      </w:r>
      <w:r>
        <w:tab/>
        <w:t>P-</w:t>
      </w:r>
      <w:r w:rsidR="007E1A33">
        <w:t>18</w:t>
      </w:r>
      <w:r w:rsidR="006E21D9">
        <w:t> : Mise en demeure</w:t>
      </w:r>
      <w:r w:rsidR="006E21D9" w:rsidRPr="006E21D9">
        <w:rPr>
          <w:sz w:val="24"/>
        </w:rPr>
        <w:t xml:space="preserve"> </w:t>
      </w:r>
      <w:r w:rsidR="006E21D9" w:rsidRPr="006E21D9">
        <w:t>du 23 février 2017</w:t>
      </w:r>
      <w:r w:rsidR="006E21D9">
        <w:t xml:space="preserve"> : </w:t>
      </w:r>
      <w:r w:rsidR="00431986">
        <w:t>l’Unité, représenté par M. Roy,</w:t>
      </w:r>
      <w:r w:rsidR="00431986" w:rsidRPr="00431986">
        <w:t xml:space="preserve"> somme la Directrice de la protection de la </w:t>
      </w:r>
      <w:r w:rsidR="004814AF">
        <w:t>j</w:t>
      </w:r>
      <w:r w:rsidR="00431986" w:rsidRPr="00431986">
        <w:t>eunesse de retirer une employée d’un dossier sous peine de recours en dommages. </w:t>
      </w:r>
      <w:r w:rsidR="006E21D9">
        <w:t xml:space="preserve">Il y est </w:t>
      </w:r>
      <w:r w:rsidR="005028EB">
        <w:t>notamment</w:t>
      </w:r>
      <w:r w:rsidR="006E21D9">
        <w:t xml:space="preserve"> écrit</w:t>
      </w:r>
      <w:r w:rsidR="00EF142E">
        <w:t xml:space="preserve"> : </w:t>
      </w:r>
      <w:r w:rsidR="005028EB">
        <w:t>« </w:t>
      </w:r>
      <w:r w:rsidR="00287D6F">
        <w:t>En effet, depuis que notre organisme enquête légalement sur le Centre jeunesse de Drummondville, il m'a été facile de constater que madame P est la pierre angulaire d'un réseau d'enlèvements d'enfants dans le Centre du</w:t>
      </w:r>
      <w:r w:rsidR="005028EB">
        <w:t xml:space="preserve"> </w:t>
      </w:r>
      <w:r w:rsidR="00287D6F">
        <w:t>Québec. Les accusations criminelles seront déposées sous peu et serons appuyées par de solides preuves</w:t>
      </w:r>
      <w:r w:rsidR="005028EB">
        <w:t xml:space="preserve"> </w:t>
      </w:r>
      <w:r w:rsidR="00287D6F">
        <w:t>audio</w:t>
      </w:r>
      <w:r w:rsidR="001A40A9">
        <w:t>…Je vous intime personnellement de retirer C. P des dossiers de nos usagers C L-F D ainsi que C T-M L·l et ce, sur</w:t>
      </w:r>
      <w:r w:rsidR="006E3612">
        <w:t xml:space="preserve"> </w:t>
      </w:r>
      <w:r w:rsidR="001A40A9">
        <w:t>réception de la présente mise en demeure. Il est inconcevable qu'une femme faisant pre</w:t>
      </w:r>
      <w:r w:rsidR="006E3612">
        <w:t>uv</w:t>
      </w:r>
      <w:r w:rsidR="001A40A9">
        <w:t>e d'une telle</w:t>
      </w:r>
      <w:r w:rsidR="006E3612">
        <w:t xml:space="preserve"> </w:t>
      </w:r>
      <w:r w:rsidR="001A40A9">
        <w:t>mauvaise foi puisse être au service d'un organisme de l'État, surtout un organisme ayant comme mandat le</w:t>
      </w:r>
      <w:r w:rsidR="006E3612">
        <w:t xml:space="preserve"> </w:t>
      </w:r>
      <w:r w:rsidR="001A40A9">
        <w:t xml:space="preserve">bien et la sécurité des enfants </w:t>
      </w:r>
      <w:r w:rsidR="00023B78">
        <w:t>! ...</w:t>
      </w:r>
      <w:r w:rsidR="006E3612">
        <w:t> »</w:t>
      </w:r>
    </w:p>
  </w:footnote>
  <w:footnote w:id="37">
    <w:p w14:paraId="563F7E0D" w14:textId="77777777" w:rsidR="00815136" w:rsidRDefault="00893AC8">
      <w:pPr>
        <w:pStyle w:val="Notedebasdepage"/>
      </w:pPr>
      <w:r>
        <w:rPr>
          <w:rStyle w:val="Appelnotedebasdep"/>
        </w:rPr>
        <w:footnoteRef/>
      </w:r>
      <w:r>
        <w:t xml:space="preserve"> </w:t>
      </w:r>
      <w:r>
        <w:tab/>
        <w:t>P-</w:t>
      </w:r>
      <w:r w:rsidR="007E1A33">
        <w:t>35</w:t>
      </w:r>
      <w:r w:rsidR="00EA607E">
        <w:t xml:space="preserve"> : </w:t>
      </w:r>
      <w:r w:rsidR="00023B78" w:rsidRPr="00023B78">
        <w:t xml:space="preserve">Vidéo </w:t>
      </w:r>
      <w:r w:rsidR="008262B5">
        <w:t>YouTube</w:t>
      </w:r>
      <w:r w:rsidR="00023B78" w:rsidRPr="00023B78">
        <w:t xml:space="preserve"> datée du 22 novembre 2017.</w:t>
      </w:r>
    </w:p>
  </w:footnote>
  <w:footnote w:id="38">
    <w:p w14:paraId="5CD39A94" w14:textId="77777777" w:rsidR="00056135" w:rsidRDefault="00893AC8">
      <w:pPr>
        <w:pStyle w:val="Notedebasdepage"/>
      </w:pPr>
      <w:r>
        <w:rPr>
          <w:rStyle w:val="Appelnotedebasdep"/>
        </w:rPr>
        <w:footnoteRef/>
      </w:r>
      <w:r>
        <w:t xml:space="preserve"> </w:t>
      </w:r>
      <w:r>
        <w:tab/>
        <w:t xml:space="preserve">P-7 : </w:t>
      </w:r>
      <w:r w:rsidR="00023B78">
        <w:t>E</w:t>
      </w:r>
      <w:r>
        <w:t xml:space="preserve">nregistrement audio du message et P-7A : </w:t>
      </w:r>
      <w:r w:rsidR="00023B78">
        <w:t>T</w:t>
      </w:r>
      <w:r>
        <w:t xml:space="preserve">ranscription </w:t>
      </w:r>
      <w:r w:rsidR="009E5CD4">
        <w:t xml:space="preserve">par sténographe officielle de </w:t>
      </w:r>
      <w:r w:rsidR="00761E37">
        <w:t>cet enregistrement</w:t>
      </w:r>
      <w:r w:rsidR="009E5CD4">
        <w:t>.</w:t>
      </w:r>
    </w:p>
  </w:footnote>
  <w:footnote w:id="39">
    <w:p w14:paraId="3CDE0226" w14:textId="77777777" w:rsidR="00992BA7" w:rsidRDefault="00893AC8">
      <w:pPr>
        <w:pStyle w:val="Notedebasdepage"/>
      </w:pPr>
      <w:r>
        <w:rPr>
          <w:rStyle w:val="Appelnotedebasdep"/>
        </w:rPr>
        <w:footnoteRef/>
      </w:r>
      <w:r>
        <w:t xml:space="preserve"> </w:t>
      </w:r>
      <w:r w:rsidR="00340722">
        <w:tab/>
      </w:r>
      <w:r w:rsidR="00B67A52" w:rsidRPr="00B67A52">
        <w:rPr>
          <w:i/>
          <w:iCs/>
        </w:rPr>
        <w:t xml:space="preserve">SNC-Lavalin inc. </w:t>
      </w:r>
      <w:r w:rsidR="00B67A52" w:rsidRPr="00B67A52">
        <w:t>c</w:t>
      </w:r>
      <w:r w:rsidR="00B67A52" w:rsidRPr="00B67A52">
        <w:rPr>
          <w:i/>
          <w:iCs/>
        </w:rPr>
        <w:t>. Lafarge Canada inc</w:t>
      </w:r>
      <w:r w:rsidR="00B67A52" w:rsidRPr="00B67A52">
        <w:t>., 2023 QCCA 939</w:t>
      </w:r>
      <w:r w:rsidR="00340722">
        <w:t xml:space="preserve">, par. </w:t>
      </w:r>
      <w:r w:rsidR="00BD0CDA">
        <w:t>120-</w:t>
      </w:r>
      <w:r w:rsidR="00761E37">
        <w:t>125.</w:t>
      </w:r>
    </w:p>
  </w:footnote>
  <w:footnote w:id="40">
    <w:p w14:paraId="2C05323D" w14:textId="77777777" w:rsidR="00F84971" w:rsidRDefault="00893AC8">
      <w:pPr>
        <w:pStyle w:val="Notedebasdepage"/>
      </w:pPr>
      <w:r>
        <w:rPr>
          <w:rStyle w:val="Appelnotedebasdep"/>
        </w:rPr>
        <w:footnoteRef/>
      </w:r>
      <w:r>
        <w:t xml:space="preserve"> </w:t>
      </w:r>
      <w:r>
        <w:tab/>
      </w:r>
      <w:r w:rsidRPr="00F84971">
        <w:rPr>
          <w:i/>
          <w:iCs/>
        </w:rPr>
        <w:t xml:space="preserve">SNC-Lavalin inc. </w:t>
      </w:r>
      <w:r w:rsidRPr="00023B78">
        <w:t>c</w:t>
      </w:r>
      <w:r w:rsidRPr="00F84971">
        <w:rPr>
          <w:i/>
          <w:iCs/>
        </w:rPr>
        <w:t>. Lafarge Canada inc</w:t>
      </w:r>
      <w:r w:rsidRPr="00F84971">
        <w:t>., 2023 QCCA 939, par. 125</w:t>
      </w:r>
      <w:r w:rsidR="00677164">
        <w:t>;</w:t>
      </w:r>
      <w:r w:rsidR="00677164" w:rsidRPr="00677164">
        <w:rPr>
          <w:i/>
          <w:iCs/>
          <w:sz w:val="24"/>
        </w:rPr>
        <w:t xml:space="preserve"> </w:t>
      </w:r>
      <w:r w:rsidR="00677164" w:rsidRPr="00677164">
        <w:rPr>
          <w:i/>
          <w:iCs/>
        </w:rPr>
        <w:t xml:space="preserve">Ali </w:t>
      </w:r>
      <w:r w:rsidR="00677164" w:rsidRPr="00023B78">
        <w:t>c.</w:t>
      </w:r>
      <w:r w:rsidR="00677164" w:rsidRPr="00677164">
        <w:rPr>
          <w:i/>
          <w:iCs/>
        </w:rPr>
        <w:t xml:space="preserve"> Compagnie d'assurance guardian du Canada</w:t>
      </w:r>
      <w:r w:rsidR="00677164" w:rsidRPr="00677164">
        <w:t>, 1999 CanLII 13177 (QC CA)</w:t>
      </w:r>
      <w:r w:rsidR="00023B78">
        <w:t>.</w:t>
      </w:r>
    </w:p>
  </w:footnote>
  <w:footnote w:id="41">
    <w:p w14:paraId="5E651E1B" w14:textId="77777777" w:rsidR="00590282" w:rsidRDefault="00893AC8">
      <w:pPr>
        <w:pStyle w:val="Notedebasdepage"/>
      </w:pPr>
      <w:r>
        <w:rPr>
          <w:rStyle w:val="Appelnotedebasdep"/>
        </w:rPr>
        <w:footnoteRef/>
      </w:r>
      <w:r>
        <w:t xml:space="preserve"> </w:t>
      </w:r>
      <w:r>
        <w:tab/>
      </w:r>
      <w:r w:rsidR="00C55E8E">
        <w:t>P-85 : Jugement</w:t>
      </w:r>
      <w:r w:rsidR="00023B78" w:rsidRPr="00023B78">
        <w:t xml:space="preserve"> de l’honorable Myriam Lachance, j.c.s., rendu le 28 janvier 2019</w:t>
      </w:r>
      <w:r w:rsidR="00023B78">
        <w:t xml:space="preserve"> </w:t>
      </w:r>
      <w:r w:rsidR="00C55E8E">
        <w:t xml:space="preserve">(rapporté à </w:t>
      </w:r>
      <w:r w:rsidR="00C55E8E" w:rsidRPr="00C55E8E">
        <w:rPr>
          <w:i/>
          <w:iCs/>
        </w:rPr>
        <w:t xml:space="preserve">Roy </w:t>
      </w:r>
      <w:r w:rsidR="00C55E8E" w:rsidRPr="00023B78">
        <w:t>c</w:t>
      </w:r>
      <w:r w:rsidR="00C55E8E" w:rsidRPr="00C55E8E">
        <w:rPr>
          <w:i/>
          <w:iCs/>
        </w:rPr>
        <w:t>. Barreau du Québec</w:t>
      </w:r>
      <w:r w:rsidR="00C55E8E" w:rsidRPr="00C55E8E">
        <w:t>, 2019 QCCS 204</w:t>
      </w:r>
      <w:r w:rsidR="00C55E8E">
        <w:t>)</w:t>
      </w:r>
      <w:r w:rsidR="004F5D85">
        <w:t>, voir par. 51 à 55.</w:t>
      </w:r>
    </w:p>
  </w:footnote>
  <w:footnote w:id="42">
    <w:p w14:paraId="6840EABE" w14:textId="77777777" w:rsidR="00C23953" w:rsidRDefault="00893AC8">
      <w:pPr>
        <w:pStyle w:val="Notedebasdepage"/>
      </w:pPr>
      <w:r>
        <w:rPr>
          <w:rStyle w:val="Appelnotedebasdep"/>
        </w:rPr>
        <w:footnoteRef/>
      </w:r>
      <w:r>
        <w:t xml:space="preserve"> </w:t>
      </w:r>
      <w:r>
        <w:tab/>
        <w:t>P-86</w:t>
      </w:r>
      <w:r w:rsidR="00023B78">
        <w:t> :</w:t>
      </w:r>
      <w:r w:rsidR="00023B78" w:rsidRPr="00023B78">
        <w:rPr>
          <w:rFonts w:cs="Arial"/>
          <w:color w:val="000000"/>
          <w:sz w:val="23"/>
          <w:szCs w:val="23"/>
          <w:lang w:eastAsia="fr-CA"/>
        </w:rPr>
        <w:t xml:space="preserve"> </w:t>
      </w:r>
      <w:r w:rsidR="00023B78" w:rsidRPr="00023B78">
        <w:t>Requête pour permission d’appeler d’une déclaration de culpabilité comportant des questions de faits et de droits datée du 1er mars 2019</w:t>
      </w:r>
      <w:r w:rsidR="00023B78">
        <w:t>.</w:t>
      </w:r>
    </w:p>
  </w:footnote>
  <w:footnote w:id="43">
    <w:p w14:paraId="1D7A5B4F" w14:textId="77777777" w:rsidR="00316B3D" w:rsidRDefault="00893AC8">
      <w:pPr>
        <w:pStyle w:val="Notedebasdepage"/>
      </w:pPr>
      <w:r>
        <w:rPr>
          <w:rStyle w:val="Appelnotedebasdep"/>
        </w:rPr>
        <w:footnoteRef/>
      </w:r>
      <w:r>
        <w:t xml:space="preserve"> </w:t>
      </w:r>
      <w:r>
        <w:tab/>
      </w:r>
      <w:r w:rsidR="001C73C4">
        <w:t>L’article</w:t>
      </w:r>
      <w:r>
        <w:t xml:space="preserve"> 279 </w:t>
      </w:r>
      <w:r w:rsidRPr="001C73C4">
        <w:rPr>
          <w:i/>
          <w:iCs/>
        </w:rPr>
        <w:t>C.p.p</w:t>
      </w:r>
      <w:r>
        <w:t xml:space="preserve">. </w:t>
      </w:r>
      <w:r w:rsidR="00D93FCC">
        <w:t xml:space="preserve">permet à un juge de la Cour d’appel de rejeter un appel </w:t>
      </w:r>
      <w:r w:rsidR="001C73C4">
        <w:t>« </w:t>
      </w:r>
      <w:r w:rsidR="001C73C4" w:rsidRPr="001C73C4">
        <w:t>s’il considère que l’appel est frivole ou manifestement mal fondé</w:t>
      </w:r>
      <w:r w:rsidR="001C73C4">
        <w:t>… »</w:t>
      </w:r>
      <w:r w:rsidR="001C73C4" w:rsidRPr="001C73C4">
        <w:t>.</w:t>
      </w:r>
    </w:p>
  </w:footnote>
  <w:footnote w:id="44">
    <w:p w14:paraId="7A0DA8D5" w14:textId="77777777" w:rsidR="00C375DD" w:rsidRDefault="00893AC8">
      <w:pPr>
        <w:pStyle w:val="Notedebasdepage"/>
      </w:pPr>
      <w:r>
        <w:rPr>
          <w:rStyle w:val="Appelnotedebasdep"/>
        </w:rPr>
        <w:footnoteRef/>
      </w:r>
      <w:r>
        <w:t xml:space="preserve"> </w:t>
      </w:r>
      <w:r>
        <w:tab/>
        <w:t>P-88 : Arrêt de la Cour d’appel dans le dossier 500-</w:t>
      </w:r>
      <w:r w:rsidR="00E74972">
        <w:t>10-007002-197 (rapporté à :</w:t>
      </w:r>
      <w:r w:rsidR="00E86E77">
        <w:t xml:space="preserve"> </w:t>
      </w:r>
      <w:r w:rsidR="00E86E77" w:rsidRPr="00E86E77">
        <w:rPr>
          <w:i/>
          <w:iCs/>
        </w:rPr>
        <w:t xml:space="preserve">Roy </w:t>
      </w:r>
      <w:r w:rsidR="00E86E77" w:rsidRPr="00294BC2">
        <w:t>c</w:t>
      </w:r>
      <w:r w:rsidR="00E86E77" w:rsidRPr="00E86E77">
        <w:rPr>
          <w:i/>
          <w:iCs/>
        </w:rPr>
        <w:t>. Barreau du Québec</w:t>
      </w:r>
      <w:r w:rsidR="00E86E77" w:rsidRPr="00E86E77">
        <w:t>, 2022 QCCA 330</w:t>
      </w:r>
      <w:r w:rsidR="00023B78">
        <w:t>)</w:t>
      </w:r>
      <w:r w:rsidR="00294BC2">
        <w:t>.</w:t>
      </w:r>
    </w:p>
  </w:footnote>
  <w:footnote w:id="45">
    <w:p w14:paraId="7912E9FD" w14:textId="77777777" w:rsidR="00C80B05" w:rsidRDefault="00893AC8">
      <w:pPr>
        <w:pStyle w:val="Notedebasdepage"/>
      </w:pPr>
      <w:r>
        <w:rPr>
          <w:rStyle w:val="Appelnotedebasdep"/>
        </w:rPr>
        <w:footnoteRef/>
      </w:r>
      <w:r>
        <w:t xml:space="preserve"> </w:t>
      </w:r>
      <w:r>
        <w:tab/>
      </w:r>
      <w:r w:rsidR="009E63EC">
        <w:t xml:space="preserve">P-41 : </w:t>
      </w:r>
      <w:r w:rsidR="003A2AC8" w:rsidRPr="003A2AC8">
        <w:t xml:space="preserve">Décision de l’honorable juge Gaétan Dumas, j.c.s., rendue le 2 mai 2019; </w:t>
      </w:r>
      <w:r w:rsidR="003A2AC8">
        <w:t>rapporté à </w:t>
      </w:r>
      <w:r w:rsidR="00E2652B" w:rsidRPr="003A2AC8">
        <w:rPr>
          <w:i/>
          <w:iCs/>
        </w:rPr>
        <w:t xml:space="preserve">Barreau du Québec </w:t>
      </w:r>
      <w:r w:rsidR="00E2652B" w:rsidRPr="004814AF">
        <w:t>c</w:t>
      </w:r>
      <w:r w:rsidR="00E2652B" w:rsidRPr="003A2AC8">
        <w:rPr>
          <w:i/>
          <w:iCs/>
        </w:rPr>
        <w:t>. M.R</w:t>
      </w:r>
      <w:r w:rsidR="00E2652B" w:rsidRPr="00E2652B">
        <w:t>., 2019 QCCS 1828</w:t>
      </w:r>
      <w:r w:rsidR="008262B5">
        <w:t>.</w:t>
      </w:r>
    </w:p>
  </w:footnote>
  <w:footnote w:id="46">
    <w:p w14:paraId="65A77D6D" w14:textId="77777777" w:rsidR="00E86A9E" w:rsidRDefault="00893AC8">
      <w:pPr>
        <w:pStyle w:val="Notedebasdepage"/>
      </w:pPr>
      <w:r>
        <w:rPr>
          <w:rStyle w:val="Appelnotedebasdep"/>
        </w:rPr>
        <w:footnoteRef/>
      </w:r>
      <w:r>
        <w:t xml:space="preserve"> </w:t>
      </w:r>
      <w:r>
        <w:tab/>
        <w:t>D-3</w:t>
      </w:r>
      <w:r w:rsidR="008262B5">
        <w:t>6</w:t>
      </w:r>
      <w:r>
        <w:t> : Rapport d’évaluation (produit sous scellé)</w:t>
      </w:r>
      <w:r w:rsidR="00294BC2">
        <w:t>.</w:t>
      </w:r>
    </w:p>
  </w:footnote>
  <w:footnote w:id="47">
    <w:p w14:paraId="6583BBCD" w14:textId="77777777" w:rsidR="00B014BB" w:rsidRDefault="00893AC8" w:rsidP="00B014BB">
      <w:pPr>
        <w:pStyle w:val="Notedebasdepage"/>
      </w:pPr>
      <w:r>
        <w:rPr>
          <w:rStyle w:val="Appelnotedebasdep"/>
        </w:rPr>
        <w:footnoteRef/>
      </w:r>
      <w:r>
        <w:t xml:space="preserve"> </w:t>
      </w:r>
      <w:r>
        <w:tab/>
        <w:t xml:space="preserve">Voir récemment : </w:t>
      </w:r>
      <w:r w:rsidRPr="00EF1141">
        <w:rPr>
          <w:i/>
          <w:iCs/>
        </w:rPr>
        <w:t xml:space="preserve">R. </w:t>
      </w:r>
      <w:r w:rsidRPr="00A10F0D">
        <w:t>c</w:t>
      </w:r>
      <w:r w:rsidRPr="00EF1141">
        <w:rPr>
          <w:i/>
          <w:iCs/>
        </w:rPr>
        <w:t>. Roy</w:t>
      </w:r>
      <w:r w:rsidRPr="00EF1141">
        <w:t>, 2025 QCCQ 5170</w:t>
      </w:r>
      <w:r>
        <w:t>, par. 17. Dans cette affaire, M. Roy est déclaré coupable d’</w:t>
      </w:r>
      <w:r w:rsidRPr="00D1489C">
        <w:t>avoir omis de se conformer à une condition d’une promesse de comparaître délivrée le 22 décembre 2020</w:t>
      </w:r>
      <w:r>
        <w:t xml:space="preserve"> qui l’interdisait </w:t>
      </w:r>
      <w:r w:rsidRPr="005455AE">
        <w:t xml:space="preserve">de faire référence directement ou indirectement à </w:t>
      </w:r>
      <w:r>
        <w:t xml:space="preserve">deux personnes </w:t>
      </w:r>
      <w:r w:rsidRPr="005455AE">
        <w:t>sur quelques médias sociaux que ce soit</w:t>
      </w:r>
      <w:r>
        <w:t xml:space="preserve">. </w:t>
      </w:r>
    </w:p>
  </w:footnote>
  <w:footnote w:id="48">
    <w:p w14:paraId="09C89552" w14:textId="77777777" w:rsidR="00503107" w:rsidRDefault="00893AC8">
      <w:pPr>
        <w:pStyle w:val="Notedebasdepage"/>
      </w:pPr>
      <w:r>
        <w:rPr>
          <w:rStyle w:val="Appelnotedebasdep"/>
        </w:rPr>
        <w:footnoteRef/>
      </w:r>
      <w:r>
        <w:t xml:space="preserve"> </w:t>
      </w:r>
      <w:r>
        <w:tab/>
        <w:t>Art. 26</w:t>
      </w:r>
      <w:r w:rsidRPr="00503107">
        <w:t>. Le droit exclusif d’exercer une profession ne peut être conféré aux membres d’un ordre que par une loi; un tel droit ne doit être conféré que dans les cas où la nature des actes posés par ces personnes et la latitude dont elles disposent en raison de la nature de leur milieu de travail habituel sont telles qu’en vue de la protection du public, ces actes ne peuvent être posés par des personnes ne possédant pas la formation et la qualification requises pour être membres de cet ordre.</w:t>
      </w:r>
    </w:p>
  </w:footnote>
  <w:footnote w:id="49">
    <w:p w14:paraId="6F152934" w14:textId="77777777" w:rsidR="00503107" w:rsidRPr="008E31F0" w:rsidRDefault="00893AC8">
      <w:pPr>
        <w:pStyle w:val="Notedebasdepage"/>
        <w:rPr>
          <w:u w:val="single"/>
        </w:rPr>
      </w:pPr>
      <w:r>
        <w:rPr>
          <w:rStyle w:val="Appelnotedebasdep"/>
        </w:rPr>
        <w:footnoteRef/>
      </w:r>
      <w:r>
        <w:t xml:space="preserve"> </w:t>
      </w:r>
      <w:r w:rsidR="00282EA6">
        <w:tab/>
        <w:t>Art. 32</w:t>
      </w:r>
      <w:r w:rsidR="007A752A">
        <w:t xml:space="preserve">. </w:t>
      </w:r>
      <w:r w:rsidR="00282EA6" w:rsidRPr="00282EA6">
        <w:t> </w:t>
      </w:r>
      <w:r w:rsidR="00282EA6" w:rsidRPr="007A752A">
        <w:rPr>
          <w:u w:val="single"/>
        </w:rPr>
        <w:t>Nul ne peut de quelque façon prétendre être avocat</w:t>
      </w:r>
      <w:r w:rsidR="00282EA6" w:rsidRPr="00282EA6">
        <w:t xml:space="preserve">, notaire, médecin, dentiste, pharmacien, optométriste, médecin vétérinaire, agronome, architecte, ingénieur, arpenteur-géomètre, ingénieur forestier, chimiste, technologue en imagerie médicale, technologue en radio-oncologie ou technologue en électrophysiologie médicale, denturologiste, opticien d’ordonnances, chiropraticien, audioprothésiste, podiatre, infirmière ou infirmier, acupuncteur, huissier de justice, sage-femme, géologue ou comptable professionnel agréé ni utiliser l’un de ces titres ou un titre ou une abréviation pouvant laisser croire qu’il l’est, ou s’attribuer des initiales pouvant laisser croire qu’il l’est, ni exercer une activité professionnelle réservée aux membres d’un ordre professionnel, prétendre avoir le droit de le faire ou agir de manière à donner lieu de croire qu’il est autorisé à le faire, </w:t>
      </w:r>
      <w:r w:rsidR="00282EA6" w:rsidRPr="008E31F0">
        <w:rPr>
          <w:u w:val="single"/>
        </w:rPr>
        <w:t>s’il n’est titulaire d’un permis valide et approprié et s’il n’est inscrit au tableau de l’ordre habilité à délivrer ce permis, sauf si la loi le permet.</w:t>
      </w:r>
    </w:p>
  </w:footnote>
  <w:footnote w:id="50">
    <w:p w14:paraId="19DA957F" w14:textId="77777777" w:rsidR="0077434A" w:rsidRDefault="00893AC8" w:rsidP="0077434A">
      <w:pPr>
        <w:pStyle w:val="Notedebasdepage"/>
      </w:pPr>
      <w:r>
        <w:rPr>
          <w:rStyle w:val="Appelnotedebasdep"/>
        </w:rPr>
        <w:footnoteRef/>
      </w:r>
      <w:r>
        <w:t xml:space="preserve"> </w:t>
      </w:r>
      <w:r>
        <w:tab/>
      </w:r>
      <w:r w:rsidR="00B820C2" w:rsidRPr="004B3D68">
        <w:t>Pierre-André Côté et Mathieu Devinat</w:t>
      </w:r>
      <w:r w:rsidR="00B820C2">
        <w:t>,</w:t>
      </w:r>
      <w:r w:rsidR="00B820C2" w:rsidRPr="0077434A">
        <w:t xml:space="preserve"> </w:t>
      </w:r>
      <w:r w:rsidRPr="008D5734">
        <w:rPr>
          <w:i/>
          <w:iCs/>
        </w:rPr>
        <w:t>Interprétation des lois</w:t>
      </w:r>
      <w:r w:rsidRPr="0077434A">
        <w:t>, 5e édition, 2021</w:t>
      </w:r>
      <w:r>
        <w:t>,</w:t>
      </w:r>
      <w:r w:rsidRPr="0077434A">
        <w:t xml:space="preserve"> EYB2021THM227</w:t>
      </w:r>
      <w:r w:rsidR="0002746F">
        <w:t>; pour une application de ce principe,</w:t>
      </w:r>
      <w:r w:rsidR="00B04834">
        <w:t xml:space="preserve"> vo</w:t>
      </w:r>
      <w:r w:rsidR="00B820C2">
        <w:t>ir :</w:t>
      </w:r>
      <w:r w:rsidR="0002746F">
        <w:t xml:space="preserve"> </w:t>
      </w:r>
      <w:r w:rsidR="00B04834" w:rsidRPr="00A20D0E">
        <w:rPr>
          <w:i/>
          <w:iCs/>
          <w:lang w:eastAsia="fr-CA"/>
        </w:rPr>
        <w:t xml:space="preserve">Belval </w:t>
      </w:r>
      <w:r w:rsidR="00B04834" w:rsidRPr="00020B14">
        <w:rPr>
          <w:lang w:eastAsia="fr-CA"/>
        </w:rPr>
        <w:t>c</w:t>
      </w:r>
      <w:r w:rsidR="00B04834" w:rsidRPr="00A20D0E">
        <w:rPr>
          <w:i/>
          <w:iCs/>
          <w:lang w:eastAsia="fr-CA"/>
        </w:rPr>
        <w:t>. Bureau de la sécurité privée</w:t>
      </w:r>
      <w:r w:rsidR="00B04834" w:rsidRPr="00FD408C">
        <w:rPr>
          <w:lang w:eastAsia="fr-CA"/>
        </w:rPr>
        <w:t>, 2016 QCCA 1499</w:t>
      </w:r>
      <w:r w:rsidR="00B820C2">
        <w:t>.</w:t>
      </w:r>
    </w:p>
  </w:footnote>
  <w:footnote w:id="51">
    <w:p w14:paraId="71A5E84C" w14:textId="77777777" w:rsidR="00882F6B" w:rsidRDefault="00893AC8" w:rsidP="00882F6B">
      <w:pPr>
        <w:pStyle w:val="Notedebasdepage"/>
      </w:pPr>
      <w:r>
        <w:rPr>
          <w:rStyle w:val="Appelnotedebasdep"/>
        </w:rPr>
        <w:footnoteRef/>
      </w:r>
      <w:r>
        <w:t xml:space="preserve"> </w:t>
      </w:r>
      <w:r>
        <w:tab/>
      </w:r>
      <w:r w:rsidRPr="002327F3">
        <w:rPr>
          <w:i/>
          <w:iCs/>
        </w:rPr>
        <w:t xml:space="preserve">Chambre des notaires du Québec </w:t>
      </w:r>
      <w:r w:rsidRPr="00304DEC">
        <w:t>c</w:t>
      </w:r>
      <w:r w:rsidRPr="002327F3">
        <w:rPr>
          <w:i/>
          <w:iCs/>
        </w:rPr>
        <w:t>. Compagnie d'assurances FCT ltée</w:t>
      </w:r>
      <w:r w:rsidRPr="002327F3">
        <w:t>, 2018 QCCA 1362 (CanLII)</w:t>
      </w:r>
      <w:r>
        <w:t>.</w:t>
      </w:r>
    </w:p>
  </w:footnote>
  <w:footnote w:id="52">
    <w:p w14:paraId="04CDB089" w14:textId="77777777" w:rsidR="009144A0" w:rsidRDefault="00893AC8" w:rsidP="009144A0">
      <w:pPr>
        <w:pStyle w:val="Notedebasdepage"/>
      </w:pPr>
      <w:r>
        <w:rPr>
          <w:rStyle w:val="Appelnotedebasdep"/>
        </w:rPr>
        <w:footnoteRef/>
      </w:r>
      <w:r>
        <w:t xml:space="preserve"> </w:t>
      </w:r>
      <w:r>
        <w:tab/>
      </w:r>
      <w:r w:rsidRPr="00634360">
        <w:rPr>
          <w:i/>
          <w:iCs/>
        </w:rPr>
        <w:t xml:space="preserve">Barreau du Québec </w:t>
      </w:r>
      <w:r w:rsidRPr="00A10F0D">
        <w:t>c</w:t>
      </w:r>
      <w:r w:rsidRPr="00634360">
        <w:rPr>
          <w:i/>
          <w:iCs/>
        </w:rPr>
        <w:t>. Québec (Procureure générale</w:t>
      </w:r>
      <w:r w:rsidRPr="00634360">
        <w:t xml:space="preserve">), </w:t>
      </w:r>
      <w:r w:rsidR="00AD13A5" w:rsidRPr="002C0268">
        <w:t>2017 CSC 56, [2017] 2 RCS 488</w:t>
      </w:r>
      <w:r w:rsidR="00AD13A5">
        <w:t>.</w:t>
      </w:r>
    </w:p>
  </w:footnote>
  <w:footnote w:id="53">
    <w:p w14:paraId="61FA343C" w14:textId="77777777" w:rsidR="005D2637" w:rsidRDefault="00893AC8" w:rsidP="00C65E95">
      <w:pPr>
        <w:pStyle w:val="Notedebasdepage"/>
      </w:pPr>
      <w:r>
        <w:rPr>
          <w:rStyle w:val="Appelnotedebasdep"/>
        </w:rPr>
        <w:footnoteRef/>
      </w:r>
      <w:r>
        <w:t xml:space="preserve"> </w:t>
      </w:r>
      <w:r w:rsidR="00C65E95">
        <w:tab/>
      </w:r>
      <w:r w:rsidR="00C65E95" w:rsidRPr="00C65E95">
        <w:t xml:space="preserve">2022 QCCS 3123, appel rejeté :  </w:t>
      </w:r>
      <w:r w:rsidR="00C65E95" w:rsidRPr="00C65E95">
        <w:rPr>
          <w:i/>
          <w:iCs/>
        </w:rPr>
        <w:t>Droit de la famille — 23548</w:t>
      </w:r>
      <w:r w:rsidR="00C65E95" w:rsidRPr="00C65E95">
        <w:t>, 2023 QCCA 541</w:t>
      </w:r>
      <w:r w:rsidR="00A10F0D">
        <w:t>.</w:t>
      </w:r>
    </w:p>
  </w:footnote>
  <w:footnote w:id="54">
    <w:p w14:paraId="56B2D20A" w14:textId="77777777" w:rsidR="00754A92" w:rsidRDefault="00893AC8">
      <w:pPr>
        <w:pStyle w:val="Notedebasdepage"/>
      </w:pPr>
      <w:r>
        <w:rPr>
          <w:rStyle w:val="Appelnotedebasdep"/>
        </w:rPr>
        <w:footnoteRef/>
      </w:r>
      <w:r>
        <w:t xml:space="preserve"> </w:t>
      </w:r>
      <w:r>
        <w:tab/>
      </w:r>
      <w:r w:rsidR="00546842" w:rsidRPr="00F81DCD">
        <w:rPr>
          <w:i/>
          <w:iCs/>
        </w:rPr>
        <w:t>Id</w:t>
      </w:r>
      <w:r w:rsidR="00A10F0D" w:rsidRPr="00F81DCD">
        <w:rPr>
          <w:i/>
          <w:iCs/>
        </w:rPr>
        <w:t>.</w:t>
      </w:r>
    </w:p>
  </w:footnote>
  <w:footnote w:id="55">
    <w:p w14:paraId="2530A738" w14:textId="77777777" w:rsidR="00643924" w:rsidRDefault="00893AC8">
      <w:pPr>
        <w:pStyle w:val="Notedebasdepage"/>
      </w:pPr>
      <w:r>
        <w:rPr>
          <w:rStyle w:val="Appelnotedebasdep"/>
        </w:rPr>
        <w:footnoteRef/>
      </w:r>
      <w:r>
        <w:t xml:space="preserve"> </w:t>
      </w:r>
      <w:r>
        <w:tab/>
        <w:t xml:space="preserve">P-37 : </w:t>
      </w:r>
      <w:r w:rsidR="00AC581D" w:rsidRPr="00AC581D">
        <w:t>Jugement de l’honorable Jean-Guy Dubois, j.c.s., rendu le 30 mai 2018,</w:t>
      </w:r>
      <w:r w:rsidR="00AC581D">
        <w:t xml:space="preserve"> rapporté à 2018 QCCS </w:t>
      </w:r>
      <w:r w:rsidR="00274E74">
        <w:t>2521.</w:t>
      </w:r>
    </w:p>
  </w:footnote>
  <w:footnote w:id="56">
    <w:p w14:paraId="568BE429" w14:textId="77777777" w:rsidR="000F089C" w:rsidRDefault="00893AC8" w:rsidP="005F6917">
      <w:pPr>
        <w:pStyle w:val="Notedebasdepage"/>
      </w:pPr>
      <w:r>
        <w:rPr>
          <w:rStyle w:val="Appelnotedebasdep"/>
        </w:rPr>
        <w:footnoteRef/>
      </w:r>
      <w:r>
        <w:t xml:space="preserve"> </w:t>
      </w:r>
      <w:r>
        <w:tab/>
        <w:t xml:space="preserve">P-84 : </w:t>
      </w:r>
      <w:r w:rsidR="005F6917" w:rsidRPr="005F6917">
        <w:t>Jugement Lafrenière</w:t>
      </w:r>
      <w:r w:rsidR="005F6917">
        <w:t xml:space="preserve"> du 20 juillet 2018 (rapporté à 2018 QCCQ </w:t>
      </w:r>
      <w:r w:rsidR="00235686">
        <w:t>5635).</w:t>
      </w:r>
    </w:p>
  </w:footnote>
  <w:footnote w:id="57">
    <w:p w14:paraId="4FBCEA69" w14:textId="77777777" w:rsidR="00653948" w:rsidRDefault="00893AC8">
      <w:pPr>
        <w:pStyle w:val="Notedebasdepage"/>
      </w:pPr>
      <w:r>
        <w:rPr>
          <w:rStyle w:val="Appelnotedebasdep"/>
        </w:rPr>
        <w:footnoteRef/>
      </w:r>
      <w:r>
        <w:t xml:space="preserve"> </w:t>
      </w:r>
      <w:r w:rsidR="00AD13A5">
        <w:tab/>
      </w:r>
      <w:r>
        <w:t>Id.</w:t>
      </w:r>
    </w:p>
  </w:footnote>
  <w:footnote w:id="58">
    <w:p w14:paraId="1D799F1B" w14:textId="77777777" w:rsidR="00EC21DB" w:rsidRDefault="00893AC8">
      <w:pPr>
        <w:pStyle w:val="Notedebasdepage"/>
      </w:pPr>
      <w:r>
        <w:rPr>
          <w:rStyle w:val="Appelnotedebasdep"/>
        </w:rPr>
        <w:footnoteRef/>
      </w:r>
      <w:r>
        <w:t xml:space="preserve"> </w:t>
      </w:r>
      <w:r>
        <w:tab/>
        <w:t>P-</w:t>
      </w:r>
      <w:r w:rsidR="00240445">
        <w:t xml:space="preserve">85 : </w:t>
      </w:r>
      <w:r w:rsidR="00240445" w:rsidRPr="00240445">
        <w:t>Jugement de l’honorable Myriam Lachance, j.c.s., rendu le 28 janvier 2019;</w:t>
      </w:r>
      <w:r w:rsidR="00240445">
        <w:t xml:space="preserve"> rapporté à 2019 QCCS </w:t>
      </w:r>
      <w:r w:rsidR="00253AD8">
        <w:t>204.</w:t>
      </w:r>
    </w:p>
  </w:footnote>
  <w:footnote w:id="59">
    <w:p w14:paraId="5DD983EE" w14:textId="77777777" w:rsidR="0053776A" w:rsidRDefault="00893AC8">
      <w:pPr>
        <w:pStyle w:val="Notedebasdepage"/>
      </w:pPr>
      <w:r>
        <w:rPr>
          <w:rStyle w:val="Appelnotedebasdep"/>
        </w:rPr>
        <w:footnoteRef/>
      </w:r>
      <w:r>
        <w:t xml:space="preserve"> </w:t>
      </w:r>
      <w:r>
        <w:tab/>
        <w:t>P-14 : Lettre du 15 novembre 2017 de M. Dessureault à Me Hogue.</w:t>
      </w:r>
    </w:p>
  </w:footnote>
  <w:footnote w:id="60">
    <w:p w14:paraId="7CA73958" w14:textId="77777777" w:rsidR="0053776A" w:rsidRDefault="00893AC8">
      <w:pPr>
        <w:pStyle w:val="Notedebasdepage"/>
      </w:pPr>
      <w:r>
        <w:rPr>
          <w:rStyle w:val="Appelnotedebasdep"/>
        </w:rPr>
        <w:footnoteRef/>
      </w:r>
      <w:r>
        <w:t xml:space="preserve"> </w:t>
      </w:r>
      <w:r>
        <w:tab/>
        <w:t>P-62 : Mise en demeure du Barreau à M. Roy du 6 avril 2016; P-28 : Échanges de courriels du 14 novembre 2017 entre Me Hogue et M. Roy.</w:t>
      </w:r>
    </w:p>
  </w:footnote>
  <w:footnote w:id="61">
    <w:p w14:paraId="364FD6C9" w14:textId="77777777" w:rsidR="0053776A" w:rsidRDefault="00893AC8">
      <w:pPr>
        <w:pStyle w:val="Notedebasdepage"/>
      </w:pPr>
      <w:r>
        <w:rPr>
          <w:rStyle w:val="Appelnotedebasdep"/>
        </w:rPr>
        <w:footnoteRef/>
      </w:r>
      <w:r>
        <w:t xml:space="preserve"> </w:t>
      </w:r>
      <w:r>
        <w:tab/>
        <w:t>Voir notamment P-84A.</w:t>
      </w:r>
    </w:p>
  </w:footnote>
  <w:footnote w:id="62">
    <w:p w14:paraId="2FEFB390" w14:textId="77777777" w:rsidR="00F909B1" w:rsidRDefault="00893AC8" w:rsidP="00F909B1">
      <w:pPr>
        <w:pStyle w:val="Notedebasdepage"/>
      </w:pPr>
      <w:r>
        <w:rPr>
          <w:rStyle w:val="Appelnotedebasdep"/>
        </w:rPr>
        <w:footnoteRef/>
      </w:r>
      <w:r>
        <w:t xml:space="preserve"> </w:t>
      </w:r>
      <w:r>
        <w:tab/>
      </w:r>
      <w:r w:rsidRPr="00E23987">
        <w:t>2025 QCCA 1030</w:t>
      </w:r>
      <w:r>
        <w:t xml:space="preserve">, </w:t>
      </w:r>
      <w:r w:rsidRPr="00D24530">
        <w:t>2020 QCCA 777</w:t>
      </w:r>
      <w:r>
        <w:t xml:space="preserve"> et 2018 QCCA 1807.</w:t>
      </w:r>
    </w:p>
  </w:footnote>
  <w:footnote w:id="63">
    <w:p w14:paraId="19C86D49" w14:textId="77777777" w:rsidR="004E7086" w:rsidRDefault="00893AC8" w:rsidP="004E7086">
      <w:pPr>
        <w:pStyle w:val="Notedebasdepage"/>
      </w:pPr>
      <w:r>
        <w:rPr>
          <w:rStyle w:val="Appelnotedebasdep"/>
        </w:rPr>
        <w:footnoteRef/>
      </w:r>
      <w:r>
        <w:t xml:space="preserve"> </w:t>
      </w:r>
      <w:r>
        <w:tab/>
      </w:r>
      <w:r w:rsidRPr="00AC1CBE">
        <w:rPr>
          <w:i/>
          <w:iCs/>
        </w:rPr>
        <w:t xml:space="preserve">2741-8854 Québec inc </w:t>
      </w:r>
      <w:r w:rsidRPr="00130EED">
        <w:t>c</w:t>
      </w:r>
      <w:r w:rsidRPr="00AC1CBE">
        <w:rPr>
          <w:i/>
          <w:iCs/>
        </w:rPr>
        <w:t>. Restaurant King Ouest inc</w:t>
      </w:r>
      <w:r w:rsidRPr="00AC1CBE">
        <w:t>., 2018 QCCA 1807</w:t>
      </w:r>
      <w:r>
        <w:t>, paragr. 26.</w:t>
      </w:r>
    </w:p>
  </w:footnote>
  <w:footnote w:id="64">
    <w:p w14:paraId="3915586B" w14:textId="77777777" w:rsidR="004E7086" w:rsidRDefault="00893AC8" w:rsidP="004E7086">
      <w:pPr>
        <w:pStyle w:val="Notedebasdepage"/>
      </w:pPr>
      <w:r>
        <w:rPr>
          <w:rStyle w:val="Appelnotedebasdep"/>
        </w:rPr>
        <w:footnoteRef/>
      </w:r>
      <w:r>
        <w:t xml:space="preserve"> </w:t>
      </w:r>
      <w:r>
        <w:tab/>
      </w:r>
      <w:r w:rsidRPr="009139F5">
        <w:rPr>
          <w:i/>
        </w:rPr>
        <w:t>Turcotte</w:t>
      </w:r>
      <w:r w:rsidRPr="009139F5">
        <w:t xml:space="preserve"> c. </w:t>
      </w:r>
      <w:r w:rsidRPr="009139F5">
        <w:rPr>
          <w:i/>
        </w:rPr>
        <w:t>Turcotte</w:t>
      </w:r>
      <w:r w:rsidRPr="009139F5">
        <w:t xml:space="preserve">, 2021 QCCA 567, paragr. </w:t>
      </w:r>
      <w:r>
        <w:t>81.</w:t>
      </w:r>
    </w:p>
  </w:footnote>
  <w:footnote w:id="65">
    <w:p w14:paraId="02EDE4FB" w14:textId="77777777" w:rsidR="004E7086" w:rsidRDefault="00893AC8" w:rsidP="004E7086">
      <w:pPr>
        <w:pStyle w:val="Notedebasdepage"/>
      </w:pPr>
      <w:r>
        <w:rPr>
          <w:rStyle w:val="Appelnotedebasdep"/>
        </w:rPr>
        <w:footnoteRef/>
      </w:r>
      <w:r>
        <w:t xml:space="preserve"> </w:t>
      </w:r>
      <w:r>
        <w:tab/>
      </w:r>
      <w:r w:rsidRPr="00D24530">
        <w:t>2020 QCCA 1537</w:t>
      </w:r>
      <w:r>
        <w:t xml:space="preserve">. Ce principe </w:t>
      </w:r>
      <w:r w:rsidR="005E1D1D">
        <w:t>est</w:t>
      </w:r>
      <w:r>
        <w:t xml:space="preserve"> réitéré dans </w:t>
      </w:r>
      <w:r w:rsidRPr="00C24A61">
        <w:rPr>
          <w:i/>
          <w:iCs/>
        </w:rPr>
        <w:t xml:space="preserve">Sénécal </w:t>
      </w:r>
      <w:r w:rsidRPr="008D1D88">
        <w:t>c</w:t>
      </w:r>
      <w:r w:rsidRPr="00C24A61">
        <w:rPr>
          <w:i/>
          <w:iCs/>
        </w:rPr>
        <w:t>. Mayer</w:t>
      </w:r>
      <w:r w:rsidRPr="00C24A61">
        <w:t>, 2022 QCCA 225</w:t>
      </w:r>
      <w:r>
        <w:t>.</w:t>
      </w:r>
    </w:p>
  </w:footnote>
  <w:footnote w:id="66">
    <w:p w14:paraId="7B761811" w14:textId="77777777" w:rsidR="004E7086" w:rsidRDefault="00893AC8" w:rsidP="004E7086">
      <w:pPr>
        <w:pStyle w:val="Notedebasdepage"/>
      </w:pPr>
      <w:r>
        <w:rPr>
          <w:rStyle w:val="Appelnotedebasdep"/>
        </w:rPr>
        <w:footnoteRef/>
      </w:r>
      <w:r>
        <w:t xml:space="preserve"> </w:t>
      </w:r>
      <w:r>
        <w:tab/>
      </w:r>
      <w:r w:rsidRPr="0043531D">
        <w:t>2023 QCCA 879</w:t>
      </w:r>
      <w:r>
        <w:t>.</w:t>
      </w:r>
    </w:p>
  </w:footnote>
  <w:footnote w:id="67">
    <w:p w14:paraId="7C864ECB" w14:textId="77777777" w:rsidR="00DB289A" w:rsidRDefault="00893AC8">
      <w:pPr>
        <w:pStyle w:val="Notedebasdepage"/>
      </w:pPr>
      <w:r>
        <w:rPr>
          <w:rStyle w:val="Appelnotedebasdep"/>
        </w:rPr>
        <w:footnoteRef/>
      </w:r>
      <w:r>
        <w:t xml:space="preserve"> </w:t>
      </w:r>
      <w:r>
        <w:tab/>
      </w:r>
      <w:r w:rsidR="00DD341A" w:rsidRPr="0016762B">
        <w:rPr>
          <w:i/>
          <w:iCs/>
        </w:rPr>
        <w:t>Construction S.Y.L. Tremblay inc. c. Agence du revenu du Québec</w:t>
      </w:r>
      <w:r w:rsidR="00DD341A" w:rsidRPr="00DD341A">
        <w:t>, 2018 QCCA 552 (CanLII)</w:t>
      </w:r>
      <w:r w:rsidR="00DD341A">
        <w:t xml:space="preserve">; voir aussi </w:t>
      </w:r>
      <w:r w:rsidR="00113822" w:rsidRPr="00113822">
        <w:rPr>
          <w:i/>
          <w:iCs/>
        </w:rPr>
        <w:t>Hobden c. Lapointe</w:t>
      </w:r>
      <w:r w:rsidR="00113822" w:rsidRPr="00113822">
        <w:t xml:space="preserve"> 2024 QCCA</w:t>
      </w:r>
      <w:r w:rsidR="00113822">
        <w:t xml:space="preserve"> </w:t>
      </w:r>
      <w:r w:rsidR="00113822" w:rsidRPr="00113822">
        <w:t>791</w:t>
      </w:r>
      <w:r w:rsidR="00287115">
        <w:t xml:space="preserve"> et </w:t>
      </w:r>
      <w:r w:rsidR="00287115" w:rsidRPr="00287115">
        <w:rPr>
          <w:i/>
          <w:iCs/>
        </w:rPr>
        <w:t>Law Society of Saskatchewan c. Abrametz</w:t>
      </w:r>
      <w:r w:rsidR="00287115" w:rsidRPr="00287115">
        <w:t>, 2022 CSC 29 (CanLII), [2022] 2 RCS 220</w:t>
      </w:r>
      <w:r w:rsidR="00287115">
        <w:t>, par. 34-36.</w:t>
      </w:r>
    </w:p>
  </w:footnote>
  <w:footnote w:id="68">
    <w:p w14:paraId="4789B403" w14:textId="77777777" w:rsidR="00631105" w:rsidRPr="00760A6D" w:rsidRDefault="00893AC8" w:rsidP="00631105">
      <w:pPr>
        <w:pStyle w:val="Notedebasdepage"/>
      </w:pPr>
      <w:r>
        <w:rPr>
          <w:rStyle w:val="Appelnotedebasdep"/>
        </w:rPr>
        <w:footnoteRef/>
      </w:r>
      <w:r>
        <w:t xml:space="preserve"> </w:t>
      </w:r>
      <w:r>
        <w:tab/>
      </w:r>
      <w:r w:rsidRPr="0016762B">
        <w:rPr>
          <w:i/>
          <w:iCs/>
        </w:rPr>
        <w:t xml:space="preserve">Construction S.Y.L. Tremblay inc. </w:t>
      </w:r>
      <w:r w:rsidRPr="003D3189">
        <w:t>c</w:t>
      </w:r>
      <w:r w:rsidRPr="0016762B">
        <w:rPr>
          <w:i/>
          <w:iCs/>
        </w:rPr>
        <w:t>. Agence du revenu du Québec</w:t>
      </w:r>
      <w:r>
        <w:rPr>
          <w:i/>
          <w:iCs/>
        </w:rPr>
        <w:t>, supra</w:t>
      </w:r>
      <w:r>
        <w:t>, note 67, par. 22.</w:t>
      </w:r>
    </w:p>
  </w:footnote>
  <w:footnote w:id="69">
    <w:p w14:paraId="08CBB115" w14:textId="77777777" w:rsidR="008D108B" w:rsidRDefault="00893AC8">
      <w:pPr>
        <w:pStyle w:val="Notedebasdepage"/>
      </w:pPr>
      <w:r>
        <w:rPr>
          <w:rStyle w:val="Appelnotedebasdep"/>
        </w:rPr>
        <w:footnoteRef/>
      </w:r>
      <w:r>
        <w:t xml:space="preserve"> </w:t>
      </w:r>
      <w:r>
        <w:tab/>
      </w:r>
      <w:r w:rsidRPr="008D108B">
        <w:rPr>
          <w:i/>
          <w:iCs/>
        </w:rPr>
        <w:t>Id.</w:t>
      </w:r>
    </w:p>
  </w:footnote>
  <w:footnote w:id="70">
    <w:p w14:paraId="09552BE1" w14:textId="77777777" w:rsidR="00C35770" w:rsidRDefault="00893AC8">
      <w:pPr>
        <w:pStyle w:val="Notedebasdepage"/>
      </w:pPr>
      <w:r>
        <w:rPr>
          <w:rStyle w:val="Appelnotedebasdep"/>
        </w:rPr>
        <w:footnoteRef/>
      </w:r>
      <w:r>
        <w:t xml:space="preserve"> </w:t>
      </w:r>
      <w:r>
        <w:tab/>
      </w:r>
      <w:r w:rsidRPr="00C35770">
        <w:rPr>
          <w:i/>
          <w:iCs/>
        </w:rPr>
        <w:t>Id</w:t>
      </w:r>
      <w:r>
        <w:t>., par. 30.</w:t>
      </w:r>
    </w:p>
  </w:footnote>
  <w:footnote w:id="71">
    <w:p w14:paraId="23810186" w14:textId="77777777" w:rsidR="007A68FA" w:rsidRDefault="00893AC8">
      <w:pPr>
        <w:pStyle w:val="Notedebasdepage"/>
      </w:pPr>
      <w:r>
        <w:rPr>
          <w:rStyle w:val="Appelnotedebasdep"/>
        </w:rPr>
        <w:footnoteRef/>
      </w:r>
      <w:r>
        <w:t xml:space="preserve"> </w:t>
      </w:r>
      <w:r>
        <w:tab/>
      </w:r>
      <w:r w:rsidRPr="007A68FA">
        <w:rPr>
          <w:i/>
          <w:iCs/>
        </w:rPr>
        <w:t xml:space="preserve">Roy </w:t>
      </w:r>
      <w:r w:rsidRPr="003D3189">
        <w:t>c</w:t>
      </w:r>
      <w:r w:rsidRPr="007A68FA">
        <w:rPr>
          <w:i/>
          <w:iCs/>
        </w:rPr>
        <w:t>. Barreau du Québec</w:t>
      </w:r>
      <w:r w:rsidRPr="007A68FA">
        <w:t>, 2019 QCCS 204</w:t>
      </w:r>
      <w:r w:rsidR="003D3189">
        <w:t>.</w:t>
      </w:r>
    </w:p>
  </w:footnote>
  <w:footnote w:id="72">
    <w:p w14:paraId="272440A8" w14:textId="77777777" w:rsidR="000B69F3" w:rsidRDefault="00893AC8">
      <w:pPr>
        <w:pStyle w:val="Notedebasdepage"/>
      </w:pPr>
      <w:r>
        <w:rPr>
          <w:rStyle w:val="Appelnotedebasdep"/>
        </w:rPr>
        <w:footnoteRef/>
      </w:r>
      <w:r>
        <w:t xml:space="preserve"> </w:t>
      </w:r>
      <w:r>
        <w:tab/>
      </w:r>
      <w:r w:rsidR="00022732" w:rsidRPr="00022732">
        <w:rPr>
          <w:i/>
          <w:iCs/>
        </w:rPr>
        <w:t xml:space="preserve">Roy </w:t>
      </w:r>
      <w:r w:rsidR="00022732" w:rsidRPr="003D3189">
        <w:t>c</w:t>
      </w:r>
      <w:r w:rsidR="00022732" w:rsidRPr="00022732">
        <w:rPr>
          <w:i/>
          <w:iCs/>
        </w:rPr>
        <w:t>. Barreau du Québec</w:t>
      </w:r>
      <w:r w:rsidR="00022732" w:rsidRPr="00022732">
        <w:t>, 2022 QCCA 330</w:t>
      </w:r>
      <w:r w:rsidR="00A01BB7">
        <w:t>. Le Tribuna</w:t>
      </w:r>
      <w:r w:rsidR="000C4BEC">
        <w:t>l</w:t>
      </w:r>
      <w:r w:rsidR="00A01BB7">
        <w:t xml:space="preserve"> souligne que parmi les cinq moyens d’appel soulevés par les défendeurs</w:t>
      </w:r>
      <w:r w:rsidR="00546D97">
        <w:t xml:space="preserve"> en appel</w:t>
      </w:r>
      <w:r w:rsidR="00A01BB7">
        <w:t>, le moyen soulevé en l’espèce, c’est-à-dire qu</w:t>
      </w:r>
      <w:r w:rsidR="00EC7AA7">
        <w:t xml:space="preserve">e M. Roy était autorisé à effectuer </w:t>
      </w:r>
      <w:r w:rsidR="000C4BEC">
        <w:t>des travails communautaires</w:t>
      </w:r>
      <w:r w:rsidR="00EC7AA7">
        <w:t xml:space="preserve"> sous forme de travaux juridiques</w:t>
      </w:r>
      <w:r w:rsidR="000C4BEC">
        <w:t xml:space="preserve">, était un des moyens soulevés devant la Cour d’appel (par. 17 et </w:t>
      </w:r>
      <w:r w:rsidR="00546D97">
        <w:t>33-34)</w:t>
      </w:r>
    </w:p>
  </w:footnote>
  <w:footnote w:id="73">
    <w:p w14:paraId="34D131BE" w14:textId="77777777" w:rsidR="00A32826" w:rsidRPr="00304394" w:rsidRDefault="00893AC8" w:rsidP="00A32826">
      <w:pPr>
        <w:pStyle w:val="Notedebasdepage"/>
      </w:pPr>
      <w:r>
        <w:rPr>
          <w:rStyle w:val="Appelnotedebasdep"/>
        </w:rPr>
        <w:footnoteRef/>
      </w:r>
      <w:r>
        <w:t xml:space="preserve"> </w:t>
      </w:r>
      <w:r>
        <w:tab/>
      </w:r>
      <w:r w:rsidRPr="00A624B7">
        <w:rPr>
          <w:i/>
          <w:iCs/>
        </w:rPr>
        <w:t xml:space="preserve">Royal Lepage commercial inc. </w:t>
      </w:r>
      <w:r w:rsidRPr="00E42064">
        <w:t>c</w:t>
      </w:r>
      <w:r w:rsidRPr="00A624B7">
        <w:rPr>
          <w:i/>
          <w:iCs/>
        </w:rPr>
        <w:t>. 109650 Canada Ltd.</w:t>
      </w:r>
      <w:r>
        <w:t>, 2007 QCCA 915.</w:t>
      </w:r>
    </w:p>
  </w:footnote>
  <w:footnote w:id="74">
    <w:p w14:paraId="586E0F27" w14:textId="77777777" w:rsidR="00A36BEB" w:rsidRPr="00A36BEB" w:rsidRDefault="00893AC8">
      <w:pPr>
        <w:pStyle w:val="Notedebasdepage"/>
      </w:pPr>
      <w:r>
        <w:rPr>
          <w:rStyle w:val="Appelnotedebasdep"/>
        </w:rPr>
        <w:footnoteRef/>
      </w:r>
      <w:r>
        <w:t xml:space="preserve"> </w:t>
      </w:r>
      <w:r>
        <w:tab/>
      </w:r>
      <w:r w:rsidRPr="00A36BEB">
        <w:rPr>
          <w:i/>
          <w:iCs/>
        </w:rPr>
        <w:t>Prud’homme </w:t>
      </w:r>
      <w:r w:rsidRPr="00A36BEB">
        <w:t>c.</w:t>
      </w:r>
      <w:r w:rsidRPr="00A36BEB">
        <w:rPr>
          <w:i/>
          <w:iCs/>
        </w:rPr>
        <w:t> Prud’homme</w:t>
      </w:r>
      <w:r>
        <w:t xml:space="preserve">, </w:t>
      </w:r>
      <w:r w:rsidR="00970E13" w:rsidRPr="00970E13">
        <w:t>2002 CSC 85</w:t>
      </w:r>
      <w:r w:rsidR="00970E13">
        <w:t xml:space="preserve">, par. </w:t>
      </w:r>
      <w:r w:rsidR="00970E13" w:rsidRPr="00970E13">
        <w:t xml:space="preserve"> </w:t>
      </w:r>
      <w:r w:rsidR="00EF1BA0">
        <w:t xml:space="preserve">33 </w:t>
      </w:r>
      <w:r w:rsidR="00970E13" w:rsidRPr="00970E13">
        <w:t>(« </w:t>
      </w:r>
      <w:bookmarkStart w:id="61" w:name="_Hlk209167633"/>
      <w:r w:rsidR="00970E13" w:rsidRPr="00362892">
        <w:rPr>
          <w:i/>
        </w:rPr>
        <w:t>Prud’homme</w:t>
      </w:r>
      <w:bookmarkEnd w:id="61"/>
      <w:r w:rsidR="00970E13" w:rsidRPr="00970E13">
        <w:t> »).</w:t>
      </w:r>
    </w:p>
  </w:footnote>
  <w:footnote w:id="75">
    <w:p w14:paraId="11482FCD" w14:textId="77777777" w:rsidR="00DB2CBD" w:rsidRDefault="00893AC8" w:rsidP="00DB2CBD">
      <w:pPr>
        <w:pStyle w:val="Notedebasdepage"/>
      </w:pPr>
      <w:r>
        <w:rPr>
          <w:rStyle w:val="Appelnotedebasdep"/>
        </w:rPr>
        <w:footnoteRef/>
      </w:r>
      <w:r>
        <w:t xml:space="preserve"> </w:t>
      </w:r>
      <w:r>
        <w:tab/>
      </w:r>
      <w:r w:rsidR="00164FDA" w:rsidRPr="00164FDA">
        <w:rPr>
          <w:i/>
          <w:iCs/>
        </w:rPr>
        <w:t xml:space="preserve">Syndicat canadien de la fonction publique </w:t>
      </w:r>
      <w:r w:rsidR="00164FDA" w:rsidRPr="00164FDA">
        <w:t>c</w:t>
      </w:r>
      <w:r w:rsidR="00164FDA" w:rsidRPr="00164FDA">
        <w:rPr>
          <w:i/>
          <w:iCs/>
        </w:rPr>
        <w:t>. Monette</w:t>
      </w:r>
      <w:r w:rsidR="00516CD3">
        <w:rPr>
          <w:i/>
          <w:iCs/>
        </w:rPr>
        <w:t xml:space="preserve">, </w:t>
      </w:r>
      <w:r w:rsidR="00516CD3" w:rsidRPr="00516CD3">
        <w:t>2024 QCCA 724</w:t>
      </w:r>
      <w:r w:rsidRPr="00516CD3">
        <w:rPr>
          <w:i/>
        </w:rPr>
        <w:t>,</w:t>
      </w:r>
      <w:r>
        <w:t xml:space="preserve"> paragr. 40</w:t>
      </w:r>
      <w:r w:rsidR="00362892">
        <w:t xml:space="preserve"> (« </w:t>
      </w:r>
      <w:r w:rsidR="00362892" w:rsidRPr="00362892">
        <w:rPr>
          <w:i/>
          <w:iCs/>
        </w:rPr>
        <w:t xml:space="preserve">Monette </w:t>
      </w:r>
      <w:r w:rsidR="00362892">
        <w:t>»).</w:t>
      </w:r>
    </w:p>
  </w:footnote>
  <w:footnote w:id="76">
    <w:p w14:paraId="195E7CC7" w14:textId="77777777" w:rsidR="00C1543D" w:rsidRPr="00C1543D" w:rsidRDefault="00893AC8">
      <w:pPr>
        <w:pStyle w:val="Notedebasdepage"/>
      </w:pPr>
      <w:r>
        <w:rPr>
          <w:rStyle w:val="Appelnotedebasdep"/>
        </w:rPr>
        <w:footnoteRef/>
      </w:r>
      <w:r>
        <w:t xml:space="preserve"> </w:t>
      </w:r>
      <w:r>
        <w:tab/>
      </w:r>
      <w:r w:rsidRPr="00C1543D">
        <w:rPr>
          <w:i/>
          <w:iCs/>
        </w:rPr>
        <w:t>Prud’homme</w:t>
      </w:r>
      <w:r>
        <w:t>, par. 36.</w:t>
      </w:r>
    </w:p>
  </w:footnote>
  <w:footnote w:id="77">
    <w:p w14:paraId="58E5A5B3" w14:textId="77777777" w:rsidR="00202298" w:rsidRDefault="00893AC8" w:rsidP="00202298">
      <w:pPr>
        <w:pStyle w:val="Notedebasdepage"/>
      </w:pPr>
      <w:r>
        <w:rPr>
          <w:rStyle w:val="Appelnotedebasdep"/>
        </w:rPr>
        <w:footnoteRef/>
      </w:r>
      <w:r>
        <w:t xml:space="preserve"> </w:t>
      </w:r>
      <w:r>
        <w:tab/>
      </w:r>
      <w:r w:rsidRPr="00EA55D8">
        <w:rPr>
          <w:i/>
          <w:iCs/>
        </w:rPr>
        <w:t xml:space="preserve">Monette, </w:t>
      </w:r>
      <w:r w:rsidRPr="00EA55D8">
        <w:t xml:space="preserve">par. </w:t>
      </w:r>
      <w:r>
        <w:t>43.</w:t>
      </w:r>
    </w:p>
  </w:footnote>
  <w:footnote w:id="78">
    <w:p w14:paraId="7D12A1D6" w14:textId="77777777" w:rsidR="007A286B" w:rsidRDefault="00893AC8" w:rsidP="007A286B">
      <w:pPr>
        <w:pStyle w:val="Notedebasdepage"/>
      </w:pPr>
      <w:r>
        <w:rPr>
          <w:rStyle w:val="Appelnotedebasdep"/>
        </w:rPr>
        <w:footnoteRef/>
      </w:r>
      <w:r>
        <w:t xml:space="preserve"> </w:t>
      </w:r>
      <w:r>
        <w:tab/>
      </w:r>
      <w:r w:rsidRPr="00F63DDC">
        <w:rPr>
          <w:i/>
          <w:iCs/>
        </w:rPr>
        <w:t>Monette</w:t>
      </w:r>
      <w:r w:rsidRPr="00F63DDC">
        <w:t xml:space="preserve">, par. </w:t>
      </w:r>
      <w:r>
        <w:t>38.</w:t>
      </w:r>
    </w:p>
  </w:footnote>
  <w:footnote w:id="79">
    <w:p w14:paraId="4ED77877" w14:textId="77777777" w:rsidR="007A286B" w:rsidRPr="00F63DDC" w:rsidRDefault="00893AC8" w:rsidP="007A286B">
      <w:pPr>
        <w:pStyle w:val="Notedebasdepage"/>
      </w:pPr>
      <w:r>
        <w:rPr>
          <w:rStyle w:val="Appelnotedebasdep"/>
        </w:rPr>
        <w:footnoteRef/>
      </w:r>
      <w:r>
        <w:t xml:space="preserve"> </w:t>
      </w:r>
      <w:r>
        <w:tab/>
      </w:r>
      <w:r w:rsidRPr="00F63DDC">
        <w:rPr>
          <w:i/>
          <w:iCs/>
        </w:rPr>
        <w:t>M</w:t>
      </w:r>
      <w:r>
        <w:rPr>
          <w:i/>
          <w:iCs/>
        </w:rPr>
        <w:t xml:space="preserve">onette, </w:t>
      </w:r>
      <w:r>
        <w:t>par. 38.</w:t>
      </w:r>
    </w:p>
  </w:footnote>
  <w:footnote w:id="80">
    <w:p w14:paraId="3B355276" w14:textId="77777777" w:rsidR="0032435C" w:rsidRDefault="00893AC8">
      <w:pPr>
        <w:pStyle w:val="Notedebasdepage"/>
      </w:pPr>
      <w:r>
        <w:rPr>
          <w:rStyle w:val="Appelnotedebasdep"/>
        </w:rPr>
        <w:footnoteRef/>
      </w:r>
      <w:r>
        <w:t xml:space="preserve"> </w:t>
      </w:r>
      <w:r>
        <w:tab/>
      </w:r>
      <w:r w:rsidR="00AE2A95" w:rsidRPr="00B84B50">
        <w:rPr>
          <w:i/>
          <w:iCs/>
        </w:rPr>
        <w:t xml:space="preserve">Gestion finance Tamalia inc. </w:t>
      </w:r>
      <w:r w:rsidR="00AE2A95" w:rsidRPr="00304DEC">
        <w:t>c</w:t>
      </w:r>
      <w:r w:rsidR="00AE2A95" w:rsidRPr="00B84B50">
        <w:rPr>
          <w:i/>
          <w:iCs/>
        </w:rPr>
        <w:t>. Garrel</w:t>
      </w:r>
      <w:r w:rsidR="00AE2A95" w:rsidRPr="00AE2A95">
        <w:t>, 2012 QCCA 1612 (CanLII)</w:t>
      </w:r>
      <w:r w:rsidR="00AE2A95">
        <w:t xml:space="preserve">, par. 53; voir aussi : </w:t>
      </w:r>
      <w:r w:rsidRPr="00AE2A95">
        <w:rPr>
          <w:i/>
          <w:iCs/>
        </w:rPr>
        <w:t xml:space="preserve">Bou Malhab </w:t>
      </w:r>
      <w:r w:rsidRPr="00304DEC">
        <w:t>c</w:t>
      </w:r>
      <w:r w:rsidRPr="00AE2A95">
        <w:rPr>
          <w:i/>
          <w:iCs/>
        </w:rPr>
        <w:t>. Diffusion Métromédia CMR inc</w:t>
      </w:r>
      <w:r w:rsidRPr="0032435C">
        <w:t>., 2011 CSC 9</w:t>
      </w:r>
      <w:r>
        <w:t>, par. 19</w:t>
      </w:r>
      <w:r w:rsidR="00304DEC">
        <w:t>.</w:t>
      </w:r>
    </w:p>
  </w:footnote>
  <w:footnote w:id="81">
    <w:p w14:paraId="07A93B8F" w14:textId="77777777" w:rsidR="00B0727F" w:rsidRDefault="00893AC8">
      <w:pPr>
        <w:pStyle w:val="Notedebasdepage"/>
      </w:pPr>
      <w:r>
        <w:rPr>
          <w:rStyle w:val="Appelnotedebasdep"/>
        </w:rPr>
        <w:footnoteRef/>
      </w:r>
      <w:r>
        <w:t xml:space="preserve"> </w:t>
      </w:r>
      <w:r>
        <w:tab/>
      </w:r>
      <w:r w:rsidRPr="00B0727F">
        <w:rPr>
          <w:i/>
          <w:iCs/>
        </w:rPr>
        <w:t xml:space="preserve">Société TVA inc. </w:t>
      </w:r>
      <w:r w:rsidRPr="00304DEC">
        <w:t>c</w:t>
      </w:r>
      <w:r w:rsidRPr="00B0727F">
        <w:rPr>
          <w:i/>
          <w:iCs/>
        </w:rPr>
        <w:t>. Marcotte</w:t>
      </w:r>
      <w:r w:rsidRPr="00B0727F">
        <w:t>, 2015 QCCA 1118</w:t>
      </w:r>
      <w:r w:rsidR="00F22672">
        <w:t>, par. 105.</w:t>
      </w:r>
      <w:r w:rsidRPr="00B0727F">
        <w:t> </w:t>
      </w:r>
    </w:p>
  </w:footnote>
  <w:footnote w:id="82">
    <w:p w14:paraId="025E8364" w14:textId="77777777" w:rsidR="00455F95" w:rsidRDefault="00893AC8">
      <w:pPr>
        <w:pStyle w:val="Notedebasdepage"/>
      </w:pPr>
      <w:r>
        <w:rPr>
          <w:rStyle w:val="Appelnotedebasdep"/>
        </w:rPr>
        <w:footnoteRef/>
      </w:r>
      <w:r>
        <w:t xml:space="preserve"> </w:t>
      </w:r>
      <w:r w:rsidR="003A5085">
        <w:tab/>
      </w:r>
      <w:r w:rsidR="003A5085" w:rsidRPr="003A5085">
        <w:rPr>
          <w:i/>
          <w:iCs/>
        </w:rPr>
        <w:t xml:space="preserve">Boisvenu </w:t>
      </w:r>
      <w:r w:rsidR="003A5085" w:rsidRPr="00304DEC">
        <w:t>c</w:t>
      </w:r>
      <w:r w:rsidR="003A5085" w:rsidRPr="003A5085">
        <w:rPr>
          <w:i/>
          <w:iCs/>
        </w:rPr>
        <w:t>. Ribeyro</w:t>
      </w:r>
      <w:r w:rsidR="003A5085" w:rsidRPr="003A5085">
        <w:t>, 2025 QCCS 3335</w:t>
      </w:r>
      <w:r w:rsidR="003A5085">
        <w:t xml:space="preserve">, par. </w:t>
      </w:r>
      <w:r w:rsidR="00355897">
        <w:t>235.</w:t>
      </w:r>
    </w:p>
  </w:footnote>
  <w:footnote w:id="83">
    <w:p w14:paraId="7EE34DC5" w14:textId="77777777" w:rsidR="00833843" w:rsidRPr="00C87F7A" w:rsidRDefault="00893AC8">
      <w:pPr>
        <w:pStyle w:val="Notedebasdepage"/>
      </w:pPr>
      <w:r w:rsidRPr="00C87F7A">
        <w:rPr>
          <w:rStyle w:val="Appelnotedebasdep"/>
        </w:rPr>
        <w:footnoteRef/>
      </w:r>
      <w:r w:rsidRPr="00987491">
        <w:t xml:space="preserve"> </w:t>
      </w:r>
      <w:r w:rsidRPr="00987491">
        <w:tab/>
      </w:r>
      <w:r w:rsidR="001D5959">
        <w:t xml:space="preserve">P-64 : </w:t>
      </w:r>
      <w:r w:rsidR="00FB5656">
        <w:t xml:space="preserve">Vidéo publiée sur la page </w:t>
      </w:r>
      <w:r w:rsidR="001C0ABD">
        <w:t>Facebook</w:t>
      </w:r>
      <w:r w:rsidR="00FB5656">
        <w:t xml:space="preserve"> de Mario Roy</w:t>
      </w:r>
      <w:r w:rsidR="001C0ABD">
        <w:t xml:space="preserve"> entre le 9 et 11 juillet 2019 et </w:t>
      </w:r>
      <w:r w:rsidRPr="00987491">
        <w:t>P-64A</w:t>
      </w:r>
      <w:r w:rsidR="00304DEC">
        <w:t> :</w:t>
      </w:r>
      <w:r w:rsidR="00304DEC" w:rsidRPr="00304DEC">
        <w:rPr>
          <w:rFonts w:cs="Arial"/>
          <w:color w:val="000000"/>
          <w:sz w:val="24"/>
          <w:szCs w:val="24"/>
          <w:lang w:eastAsia="fr-CA"/>
        </w:rPr>
        <w:t xml:space="preserve"> </w:t>
      </w:r>
      <w:r w:rsidR="00304DEC" w:rsidRPr="00304DEC">
        <w:t>Transcription de la vidéo publiée sur la page Facebook de Mario Roy, entre le 9 et 11 juillet 2019</w:t>
      </w:r>
      <w:r w:rsidR="00304DEC">
        <w:t>.</w:t>
      </w:r>
    </w:p>
  </w:footnote>
  <w:footnote w:id="84">
    <w:p w14:paraId="712B727B" w14:textId="77777777" w:rsidR="00352F83" w:rsidRPr="00C87F7A" w:rsidRDefault="00893AC8">
      <w:pPr>
        <w:pStyle w:val="Notedebasdepage"/>
      </w:pPr>
      <w:r w:rsidRPr="00C87F7A">
        <w:rPr>
          <w:rStyle w:val="Appelnotedebasdep"/>
        </w:rPr>
        <w:footnoteRef/>
      </w:r>
      <w:r w:rsidRPr="00E921FC">
        <w:t xml:space="preserve"> </w:t>
      </w:r>
      <w:r w:rsidR="003C3AB9" w:rsidRPr="00E921FC">
        <w:tab/>
      </w:r>
      <w:r w:rsidR="00E921FC" w:rsidRPr="00E921FC">
        <w:t>P-71: Vidéo publiée sur la page Facebook de Mario Roy le 5 juillet 2020</w:t>
      </w:r>
      <w:r w:rsidR="00E921FC">
        <w:t xml:space="preserve"> et </w:t>
      </w:r>
      <w:r w:rsidR="003C3AB9" w:rsidRPr="00E921FC">
        <w:t>P-71A</w:t>
      </w:r>
      <w:r w:rsidR="00E921FC" w:rsidRPr="00E921FC">
        <w:t>: Transcription de la vidéo publiée sur la page Facebook de Mario Roy le 5 juillet 2020</w:t>
      </w:r>
      <w:r w:rsidR="00E921FC">
        <w:t>.</w:t>
      </w:r>
    </w:p>
  </w:footnote>
  <w:footnote w:id="85">
    <w:p w14:paraId="2AD3C974" w14:textId="77777777" w:rsidR="00F52894" w:rsidRDefault="00893AC8">
      <w:pPr>
        <w:pStyle w:val="Notedebasdepage"/>
      </w:pPr>
      <w:r>
        <w:rPr>
          <w:rStyle w:val="Appelnotedebasdep"/>
        </w:rPr>
        <w:footnoteRef/>
      </w:r>
      <w:r w:rsidRPr="00E921FC">
        <w:t xml:space="preserve"> </w:t>
      </w:r>
      <w:r w:rsidRPr="00E921FC">
        <w:tab/>
      </w:r>
      <w:r w:rsidR="00E921FC" w:rsidRPr="00E921FC">
        <w:t>P-78: Vidéo publiée sur la page Facebook de Mario Roy le</w:t>
      </w:r>
      <w:r w:rsidR="00E921FC">
        <w:t xml:space="preserve"> </w:t>
      </w:r>
      <w:r w:rsidR="00E921FC" w:rsidRPr="00E921FC">
        <w:t>11 septembre 2020</w:t>
      </w:r>
      <w:r w:rsidR="00E921FC">
        <w:t xml:space="preserve"> et </w:t>
      </w:r>
      <w:r w:rsidRPr="00E921FC">
        <w:t>P-78A</w:t>
      </w:r>
      <w:r w:rsidR="00E921FC">
        <w:t> </w:t>
      </w:r>
      <w:r w:rsidR="00E921FC" w:rsidRPr="00E921FC">
        <w:t>:</w:t>
      </w:r>
      <w:r w:rsidR="00E921FC" w:rsidRPr="00E921FC">
        <w:rPr>
          <w:rFonts w:cs="Arial"/>
          <w:szCs w:val="24"/>
          <w:lang w:eastAsia="fr-CA"/>
        </w:rPr>
        <w:t xml:space="preserve"> </w:t>
      </w:r>
      <w:r w:rsidR="00E921FC" w:rsidRPr="00E921FC">
        <w:t>Transcription de la vidéo publiée sur la page Facebook de Mario Roy le 11 septembre 2020.</w:t>
      </w:r>
    </w:p>
  </w:footnote>
  <w:footnote w:id="86">
    <w:p w14:paraId="19E428DB" w14:textId="77777777" w:rsidR="00F52894" w:rsidRDefault="00893AC8">
      <w:pPr>
        <w:pStyle w:val="Notedebasdepage"/>
      </w:pPr>
      <w:r>
        <w:rPr>
          <w:rStyle w:val="Appelnotedebasdep"/>
        </w:rPr>
        <w:footnoteRef/>
      </w:r>
      <w:r w:rsidRPr="00584031">
        <w:t xml:space="preserve"> </w:t>
      </w:r>
      <w:r w:rsidRPr="00584031">
        <w:tab/>
      </w:r>
      <w:r w:rsidR="00584031" w:rsidRPr="00584031">
        <w:t>P-83: Vidéo publiée sur la page Facebook de Mario Roy le 3 décembre</w:t>
      </w:r>
      <w:r w:rsidR="00584031">
        <w:t xml:space="preserve"> </w:t>
      </w:r>
      <w:r w:rsidR="00584031" w:rsidRPr="00584031">
        <w:t>2020</w:t>
      </w:r>
      <w:r w:rsidR="00584031">
        <w:t xml:space="preserve"> </w:t>
      </w:r>
      <w:r w:rsidR="00584031" w:rsidRPr="00584031">
        <w:t xml:space="preserve">et </w:t>
      </w:r>
      <w:r w:rsidRPr="00584031">
        <w:t>P-83A :</w:t>
      </w:r>
      <w:r w:rsidR="00584031" w:rsidRPr="00584031">
        <w:t xml:space="preserve"> Transcription de la vidéo publiée sur la page Facebook de</w:t>
      </w:r>
      <w:r w:rsidR="00584031">
        <w:t xml:space="preserve"> </w:t>
      </w:r>
      <w:r w:rsidR="00584031" w:rsidRPr="00584031">
        <w:t>Mario Roy le 3 décembre 2020</w:t>
      </w:r>
      <w:r w:rsidR="00584031">
        <w:t>.</w:t>
      </w:r>
    </w:p>
  </w:footnote>
  <w:footnote w:id="87">
    <w:p w14:paraId="6100187F" w14:textId="77777777" w:rsidR="00CF7905" w:rsidRDefault="00893AC8">
      <w:pPr>
        <w:pStyle w:val="Notedebasdepage"/>
      </w:pPr>
      <w:r>
        <w:rPr>
          <w:rStyle w:val="Appelnotedebasdep"/>
        </w:rPr>
        <w:footnoteRef/>
      </w:r>
      <w:r w:rsidRPr="00584031">
        <w:t xml:space="preserve"> </w:t>
      </w:r>
      <w:r w:rsidR="00D929EF" w:rsidRPr="00584031">
        <w:tab/>
      </w:r>
      <w:r w:rsidR="00584031" w:rsidRPr="00584031">
        <w:t xml:space="preserve">P-101: Vidéo Facebook « LIVE » de Mario Roy du 4 juillet 2025 </w:t>
      </w:r>
      <w:r w:rsidR="00584031">
        <w:t xml:space="preserve">et </w:t>
      </w:r>
      <w:r w:rsidR="00D929EF" w:rsidRPr="00584031">
        <w:t>P-101A</w:t>
      </w:r>
      <w:r w:rsidR="00D50E29" w:rsidRPr="00584031">
        <w:t xml:space="preserve"> : </w:t>
      </w:r>
      <w:r w:rsidR="00584031" w:rsidRPr="00584031">
        <w:t>Transcription de la vidéo Facebook « LIVE » de Mario Roy du 4 juillet 2025</w:t>
      </w:r>
      <w:r w:rsidR="00584031">
        <w:t>.</w:t>
      </w:r>
    </w:p>
  </w:footnote>
  <w:footnote w:id="88">
    <w:p w14:paraId="5BB8B027" w14:textId="77777777" w:rsidR="00A307BD" w:rsidRDefault="00893AC8">
      <w:pPr>
        <w:pStyle w:val="Notedebasdepage"/>
      </w:pPr>
      <w:r>
        <w:rPr>
          <w:rStyle w:val="Appelnotedebasdep"/>
        </w:rPr>
        <w:footnoteRef/>
      </w:r>
      <w:r>
        <w:t xml:space="preserve"> </w:t>
      </w:r>
      <w:r>
        <w:tab/>
      </w:r>
      <w:r w:rsidR="0081655A">
        <w:t xml:space="preserve">M. Dessureault </w:t>
      </w:r>
      <w:r w:rsidR="00C6003A">
        <w:t xml:space="preserve">est l’agent de services correctionnels qui est l’auteur de la lettre du 15 novembre </w:t>
      </w:r>
      <w:r w:rsidR="00485FA7">
        <w:t>2017 (P-14)</w:t>
      </w:r>
      <w:r w:rsidR="00AF5389">
        <w:t>. Il a témoigné au proc</w:t>
      </w:r>
      <w:r w:rsidR="004C0509">
        <w:t xml:space="preserve">ès </w:t>
      </w:r>
      <w:r w:rsidR="00BF33B3">
        <w:t xml:space="preserve">pénal présidé par le </w:t>
      </w:r>
      <w:r w:rsidR="003D3189">
        <w:t>j</w:t>
      </w:r>
      <w:r w:rsidR="00BF33B3">
        <w:t xml:space="preserve">uge Lafrenière qui </w:t>
      </w:r>
      <w:r w:rsidR="004975EA">
        <w:t>mène</w:t>
      </w:r>
      <w:r w:rsidR="00BF33B3">
        <w:t xml:space="preserve"> au jugement du 20 juillet 2018 qui déclare M. Roy coupable</w:t>
      </w:r>
      <w:r w:rsidR="004975EA">
        <w:t xml:space="preserve"> de trois chefs d’infraction d’avoir contrevenu à la </w:t>
      </w:r>
      <w:r w:rsidR="004975EA" w:rsidRPr="003D3189">
        <w:rPr>
          <w:i/>
          <w:iCs/>
        </w:rPr>
        <w:t>Loi sur le Barreau</w:t>
      </w:r>
      <w:r w:rsidR="004975EA">
        <w:t>.</w:t>
      </w:r>
    </w:p>
  </w:footnote>
  <w:footnote w:id="89">
    <w:p w14:paraId="574AB736" w14:textId="77777777" w:rsidR="00044769" w:rsidRPr="00C87F7A" w:rsidRDefault="00893AC8">
      <w:pPr>
        <w:pStyle w:val="Notedebasdepage"/>
      </w:pPr>
      <w:r w:rsidRPr="00C87F7A">
        <w:rPr>
          <w:rStyle w:val="Appelnotedebasdep"/>
        </w:rPr>
        <w:footnoteRef/>
      </w:r>
      <w:r w:rsidRPr="00C87F7A">
        <w:t xml:space="preserve"> </w:t>
      </w:r>
      <w:r w:rsidR="00B06C1E" w:rsidRPr="00C87F7A">
        <w:tab/>
      </w:r>
      <w:r w:rsidR="00DB3D93" w:rsidRPr="00C87F7A">
        <w:rPr>
          <w:i/>
          <w:iCs/>
        </w:rPr>
        <w:t xml:space="preserve">Barreau du Québec </w:t>
      </w:r>
      <w:r w:rsidR="00DB3D93" w:rsidRPr="00304DEC">
        <w:t>c.</w:t>
      </w:r>
      <w:r w:rsidR="00DB3D93" w:rsidRPr="00C87F7A">
        <w:rPr>
          <w:i/>
          <w:iCs/>
        </w:rPr>
        <w:t xml:space="preserve"> Roy</w:t>
      </w:r>
      <w:r w:rsidR="00DB3D93" w:rsidRPr="00C87F7A">
        <w:t>, 2019 QCCS 4048</w:t>
      </w:r>
      <w:r w:rsidR="008507EC" w:rsidRPr="00C87F7A">
        <w:t xml:space="preserve">, </w:t>
      </w:r>
      <w:r w:rsidR="00CB6FB6" w:rsidRPr="00C87F7A">
        <w:t xml:space="preserve">le jugement est rendu </w:t>
      </w:r>
      <w:r w:rsidR="0039391F" w:rsidRPr="00C87F7A">
        <w:t xml:space="preserve">oralement le 4 septembre 2019 et des motifs </w:t>
      </w:r>
      <w:r w:rsidR="00E62A1A" w:rsidRPr="00C87F7A">
        <w:t>é</w:t>
      </w:r>
      <w:r w:rsidR="00A017B4" w:rsidRPr="00C87F7A">
        <w:t>crits sont versés au dossier le 30 septembre 2019</w:t>
      </w:r>
      <w:r w:rsidR="00E62A1A" w:rsidRPr="00C87F7A">
        <w:t xml:space="preserve">; </w:t>
      </w:r>
      <w:r w:rsidR="008507EC" w:rsidRPr="00C87F7A">
        <w:t xml:space="preserve">demande de permission d’appeler rejetée : </w:t>
      </w:r>
      <w:r w:rsidR="002B71CE" w:rsidRPr="00C87F7A">
        <w:t>2019 QCCA</w:t>
      </w:r>
      <w:r w:rsidR="00CB6FB6" w:rsidRPr="00C87F7A">
        <w:t xml:space="preserve"> 2052</w:t>
      </w:r>
      <w:r w:rsidR="008948E3" w:rsidRPr="00C87F7A">
        <w:t>.</w:t>
      </w:r>
      <w:r w:rsidR="00C24E6E" w:rsidRPr="00C87F7A">
        <w:t xml:space="preserve"> Le Tribunal souligne que les </w:t>
      </w:r>
      <w:r w:rsidR="00421704" w:rsidRPr="00C87F7A">
        <w:t>« les échanges, mis en preuve du compte Facebook,</w:t>
      </w:r>
      <w:r w:rsidR="00B70AD8" w:rsidRPr="00C87F7A">
        <w:t xml:space="preserve"> » auquel le </w:t>
      </w:r>
      <w:r w:rsidR="00304DEC">
        <w:t>j</w:t>
      </w:r>
      <w:r w:rsidR="00B70AD8" w:rsidRPr="00C87F7A">
        <w:t>uge Caston</w:t>
      </w:r>
      <w:r w:rsidR="00A57848" w:rsidRPr="00C87F7A">
        <w:t>guay réfère au par. 16 de son jugement</w:t>
      </w:r>
      <w:r w:rsidR="009805F3" w:rsidRPr="00C87F7A">
        <w:t xml:space="preserve"> sont les pièces P-45 et P</w:t>
      </w:r>
      <w:r w:rsidR="00362892">
        <w:noBreakHyphen/>
      </w:r>
      <w:r w:rsidR="009805F3" w:rsidRPr="00C87F7A">
        <w:t>49</w:t>
      </w:r>
      <w:r w:rsidR="00731463" w:rsidRPr="00C87F7A">
        <w:t xml:space="preserve"> et q</w:t>
      </w:r>
      <w:r w:rsidR="0042410A" w:rsidRPr="00C87F7A">
        <w:t xml:space="preserve">u’il s’agit des </w:t>
      </w:r>
      <w:r w:rsidR="006C6B59" w:rsidRPr="00C87F7A">
        <w:t>mêmes</w:t>
      </w:r>
      <w:r w:rsidR="0042410A" w:rsidRPr="00C87F7A">
        <w:t xml:space="preserve"> </w:t>
      </w:r>
      <w:r w:rsidR="006C6B59" w:rsidRPr="00C87F7A">
        <w:t>pièces</w:t>
      </w:r>
      <w:r w:rsidR="0042410A" w:rsidRPr="00C87F7A">
        <w:t xml:space="preserve"> qui ont été introduites en pre</w:t>
      </w:r>
      <w:r w:rsidR="006C6B59" w:rsidRPr="00C87F7A">
        <w:t xml:space="preserve">uve à l’instruction. </w:t>
      </w:r>
    </w:p>
  </w:footnote>
  <w:footnote w:id="90">
    <w:p w14:paraId="686373CC" w14:textId="77777777" w:rsidR="00242FE9" w:rsidRPr="00C87F7A" w:rsidRDefault="00893AC8">
      <w:pPr>
        <w:pStyle w:val="Notedebasdepage"/>
      </w:pPr>
      <w:r w:rsidRPr="00C87F7A">
        <w:rPr>
          <w:rStyle w:val="Appelnotedebasdep"/>
        </w:rPr>
        <w:footnoteRef/>
      </w:r>
      <w:r w:rsidRPr="00C87F7A">
        <w:t xml:space="preserve"> </w:t>
      </w:r>
      <w:r w:rsidRPr="00C87F7A">
        <w:tab/>
      </w:r>
      <w:r w:rsidR="00501220" w:rsidRPr="00304DEC">
        <w:rPr>
          <w:i/>
        </w:rPr>
        <w:t xml:space="preserve">Prud’homme </w:t>
      </w:r>
      <w:r w:rsidR="00501220" w:rsidRPr="00C87F7A">
        <w:t xml:space="preserve">c. </w:t>
      </w:r>
      <w:r w:rsidR="00501220" w:rsidRPr="00304DEC">
        <w:rPr>
          <w:i/>
        </w:rPr>
        <w:t>Prud’homme</w:t>
      </w:r>
      <w:r w:rsidR="00501220" w:rsidRPr="00C87F7A">
        <w:t>, 2002 CSC 85</w:t>
      </w:r>
      <w:r w:rsidR="00304DEC">
        <w:t>.</w:t>
      </w:r>
    </w:p>
  </w:footnote>
  <w:footnote w:id="91">
    <w:p w14:paraId="4A5E4980" w14:textId="77777777" w:rsidR="0098092E" w:rsidRPr="00C87F7A" w:rsidRDefault="00893AC8">
      <w:pPr>
        <w:pStyle w:val="Notedebasdepage"/>
      </w:pPr>
      <w:r w:rsidRPr="00C87F7A">
        <w:rPr>
          <w:rStyle w:val="Appelnotedebasdep"/>
        </w:rPr>
        <w:footnoteRef/>
      </w:r>
      <w:r w:rsidRPr="00C87F7A">
        <w:t xml:space="preserve"> </w:t>
      </w:r>
      <w:r w:rsidRPr="00C87F7A">
        <w:tab/>
      </w:r>
      <w:r w:rsidR="00057609" w:rsidRPr="00C87F7A">
        <w:t>Art</w:t>
      </w:r>
      <w:r w:rsidR="00304DEC">
        <w:t>.</w:t>
      </w:r>
      <w:r w:rsidR="00057609" w:rsidRPr="00C87F7A">
        <w:t xml:space="preserve"> 4 et 49 de la </w:t>
      </w:r>
      <w:r w:rsidR="00180D5A" w:rsidRPr="00C87F7A">
        <w:rPr>
          <w:i/>
          <w:iCs/>
        </w:rPr>
        <w:t>Charte des droits et libertés de la personne.</w:t>
      </w:r>
    </w:p>
  </w:footnote>
  <w:footnote w:id="92">
    <w:p w14:paraId="1E369F06" w14:textId="77777777" w:rsidR="00934937" w:rsidRPr="00C87F7A" w:rsidRDefault="00893AC8" w:rsidP="00934937">
      <w:pPr>
        <w:pStyle w:val="Notedebasdepage"/>
      </w:pPr>
      <w:r w:rsidRPr="00C87F7A">
        <w:rPr>
          <w:rStyle w:val="Appelnotedebasdep"/>
        </w:rPr>
        <w:footnoteRef/>
      </w:r>
      <w:r w:rsidRPr="00C87F7A">
        <w:t xml:space="preserve"> </w:t>
      </w:r>
      <w:r w:rsidR="00526528" w:rsidRPr="00C87F7A">
        <w:tab/>
      </w:r>
      <w:r w:rsidR="00526528" w:rsidRPr="00C87F7A">
        <w:rPr>
          <w:i/>
          <w:iCs/>
        </w:rPr>
        <w:t xml:space="preserve">Saputo inc. </w:t>
      </w:r>
      <w:r w:rsidR="00526528" w:rsidRPr="00304DEC">
        <w:t>c</w:t>
      </w:r>
      <w:r w:rsidR="00526528" w:rsidRPr="00C87F7A">
        <w:rPr>
          <w:i/>
          <w:iCs/>
        </w:rPr>
        <w:t>. Petkov</w:t>
      </w:r>
      <w:r w:rsidR="00526528" w:rsidRPr="00C87F7A">
        <w:t xml:space="preserve">, 2011 QCCS 6885, par. </w:t>
      </w:r>
      <w:r w:rsidR="00D942F4" w:rsidRPr="00C87F7A">
        <w:t xml:space="preserve">29-230, citant </w:t>
      </w:r>
      <w:r w:rsidR="00D942F4" w:rsidRPr="00C87F7A">
        <w:rPr>
          <w:i/>
          <w:iCs/>
        </w:rPr>
        <w:t>Bou Malhab </w:t>
      </w:r>
      <w:r w:rsidR="00D942F4" w:rsidRPr="00C87F7A">
        <w:t>c. </w:t>
      </w:r>
      <w:r w:rsidR="00D942F4" w:rsidRPr="00C87F7A">
        <w:rPr>
          <w:i/>
          <w:iCs/>
        </w:rPr>
        <w:t>Diffusion Métromédia CMR inc</w:t>
      </w:r>
      <w:r w:rsidR="007965C2" w:rsidRPr="00C87F7A">
        <w:rPr>
          <w:i/>
          <w:iCs/>
        </w:rPr>
        <w:t xml:space="preserve">., </w:t>
      </w:r>
      <w:r w:rsidR="007965C2" w:rsidRPr="00C87F7A">
        <w:rPr>
          <w:rStyle w:val="Hyperlien"/>
          <w:color w:val="auto"/>
          <w:u w:val="none"/>
        </w:rPr>
        <w:t>2011 CSC 9 (CanLII)</w:t>
      </w:r>
      <w:r w:rsidR="007965C2" w:rsidRPr="00C87F7A">
        <w:t>, [2011] 1 R.C.S. 214.</w:t>
      </w:r>
    </w:p>
  </w:footnote>
  <w:footnote w:id="93">
    <w:p w14:paraId="307F75C2" w14:textId="77777777" w:rsidR="0085331A" w:rsidRDefault="00893AC8">
      <w:pPr>
        <w:pStyle w:val="Notedebasdepage"/>
      </w:pPr>
      <w:r>
        <w:rPr>
          <w:rStyle w:val="Appelnotedebasdep"/>
        </w:rPr>
        <w:footnoteRef/>
      </w:r>
      <w:r>
        <w:t xml:space="preserve"> </w:t>
      </w:r>
      <w:r>
        <w:tab/>
        <w:t>Audience du 16 septembre 2025</w:t>
      </w:r>
      <w:r w:rsidR="00304DEC">
        <w:t xml:space="preserve"> à </w:t>
      </w:r>
      <w:r>
        <w:t>14</w:t>
      </w:r>
      <w:r w:rsidR="00134938">
        <w:t xml:space="preserve"> </w:t>
      </w:r>
      <w:r w:rsidR="00BE1A25">
        <w:t>h</w:t>
      </w:r>
      <w:r w:rsidR="00134938">
        <w:t xml:space="preserve"> </w:t>
      </w:r>
      <w:r w:rsidR="00BE1A25">
        <w:t>43</w:t>
      </w:r>
      <w:r w:rsidR="00134938">
        <w:t>.</w:t>
      </w:r>
    </w:p>
  </w:footnote>
  <w:footnote w:id="94">
    <w:p w14:paraId="24D55F62" w14:textId="77777777" w:rsidR="00A10F02" w:rsidRDefault="00893AC8">
      <w:pPr>
        <w:pStyle w:val="Notedebasdepage"/>
      </w:pPr>
      <w:r>
        <w:rPr>
          <w:rStyle w:val="Appelnotedebasdep"/>
        </w:rPr>
        <w:footnoteRef/>
      </w:r>
      <w:r>
        <w:t xml:space="preserve"> </w:t>
      </w:r>
      <w:r>
        <w:tab/>
      </w:r>
      <w:r w:rsidRPr="00A10F02">
        <w:t>Audience du 16 septembre 2025</w:t>
      </w:r>
      <w:r w:rsidR="00304DEC">
        <w:t xml:space="preserve"> à </w:t>
      </w:r>
      <w:r w:rsidRPr="00A10F02">
        <w:t>14</w:t>
      </w:r>
      <w:r w:rsidR="00134938">
        <w:t xml:space="preserve"> </w:t>
      </w:r>
      <w:r w:rsidRPr="00A10F02">
        <w:t>h</w:t>
      </w:r>
      <w:r w:rsidR="00134938">
        <w:t xml:space="preserve"> </w:t>
      </w:r>
      <w:r>
        <w:t>5</w:t>
      </w:r>
      <w:r w:rsidRPr="00A10F02">
        <w:t>3</w:t>
      </w:r>
      <w:r w:rsidR="00134938">
        <w:t>.</w:t>
      </w:r>
    </w:p>
  </w:footnote>
  <w:footnote w:id="95">
    <w:p w14:paraId="28B8E627" w14:textId="77777777" w:rsidR="008608BF" w:rsidRDefault="00893AC8">
      <w:pPr>
        <w:pStyle w:val="Notedebasdepage"/>
      </w:pPr>
      <w:r>
        <w:rPr>
          <w:rStyle w:val="Appelnotedebasdep"/>
        </w:rPr>
        <w:footnoteRef/>
      </w:r>
      <w:r>
        <w:t xml:space="preserve"> </w:t>
      </w:r>
      <w:r>
        <w:tab/>
        <w:t xml:space="preserve">Le fait qu’une loi de la province </w:t>
      </w:r>
      <w:r w:rsidR="00F9205D">
        <w:t>contredit une autre loi provinciale (autre que l</w:t>
      </w:r>
      <w:r w:rsidR="0014160E">
        <w:t xml:space="preserve">es articles </w:t>
      </w:r>
      <w:r w:rsidR="00E0290F">
        <w:t>1 à 38 de l</w:t>
      </w:r>
      <w:r w:rsidR="00F9205D">
        <w:t xml:space="preserve">a </w:t>
      </w:r>
      <w:r w:rsidR="00F9205D" w:rsidRPr="007D3382">
        <w:rPr>
          <w:i/>
          <w:iCs/>
        </w:rPr>
        <w:t>Charte québécoise</w:t>
      </w:r>
      <w:r w:rsidR="00F9205D">
        <w:t xml:space="preserve">) n’est pas un motif d’ordre </w:t>
      </w:r>
      <w:r w:rsidR="007D3382">
        <w:t>constitutionnel</w:t>
      </w:r>
      <w:r w:rsidR="00E0290F">
        <w:t>.</w:t>
      </w:r>
    </w:p>
  </w:footnote>
  <w:footnote w:id="96">
    <w:p w14:paraId="58623ECF" w14:textId="77777777" w:rsidR="00DF73EF" w:rsidRPr="00B30647" w:rsidRDefault="00893AC8">
      <w:pPr>
        <w:pStyle w:val="Notedebasdepage"/>
      </w:pPr>
      <w:r>
        <w:rPr>
          <w:rStyle w:val="Appelnotedebasdep"/>
        </w:rPr>
        <w:footnoteRef/>
      </w:r>
      <w:r>
        <w:t xml:space="preserve"> </w:t>
      </w:r>
      <w:r>
        <w:tab/>
        <w:t xml:space="preserve">Art. 77 </w:t>
      </w:r>
      <w:r>
        <w:rPr>
          <w:i/>
          <w:iCs/>
        </w:rPr>
        <w:t>Cp.c.</w:t>
      </w:r>
      <w:r w:rsidR="00B30647">
        <w:rPr>
          <w:i/>
          <w:iCs/>
        </w:rPr>
        <w:t xml:space="preserve">; </w:t>
      </w:r>
      <w:r w:rsidR="00B30647">
        <w:t>voir aussi :</w:t>
      </w:r>
      <w:r w:rsidR="000632C7" w:rsidRPr="000632C7">
        <w:rPr>
          <w:rFonts w:ascii="Open Sans" w:hAnsi="Open Sans" w:cs="Open Sans"/>
          <w:color w:val="212529"/>
          <w:sz w:val="21"/>
          <w:szCs w:val="21"/>
          <w:shd w:val="clear" w:color="auto" w:fill="F9FAFB"/>
        </w:rPr>
        <w:t xml:space="preserve"> </w:t>
      </w:r>
      <w:r w:rsidR="000632C7" w:rsidRPr="003D3189">
        <w:rPr>
          <w:i/>
          <w:iCs/>
        </w:rPr>
        <w:t>Lapierre</w:t>
      </w:r>
      <w:r w:rsidR="000632C7" w:rsidRPr="003D3189">
        <w:t xml:space="preserve"> c. </w:t>
      </w:r>
      <w:r w:rsidR="000632C7" w:rsidRPr="003D3189">
        <w:rPr>
          <w:i/>
          <w:iCs/>
        </w:rPr>
        <w:t>Pépin</w:t>
      </w:r>
      <w:r w:rsidR="000632C7" w:rsidRPr="000632C7">
        <w:t>, 2023 QCCS 3781</w:t>
      </w:r>
      <w:r w:rsidR="000632C7">
        <w:t xml:space="preserve">, par. </w:t>
      </w:r>
      <w:r w:rsidR="00914150">
        <w:t>24-</w:t>
      </w:r>
      <w:r w:rsidR="007F04C1">
        <w:t>29</w:t>
      </w:r>
      <w:r w:rsidR="00603D7A">
        <w:t xml:space="preserve">, appel rejetée : </w:t>
      </w:r>
      <w:r w:rsidR="00603D7A" w:rsidRPr="00603D7A">
        <w:rPr>
          <w:i/>
          <w:iCs/>
        </w:rPr>
        <w:t xml:space="preserve">Lapierre </w:t>
      </w:r>
      <w:r w:rsidR="00603D7A" w:rsidRPr="003D3189">
        <w:t>c</w:t>
      </w:r>
      <w:r w:rsidR="00603D7A" w:rsidRPr="00603D7A">
        <w:rPr>
          <w:i/>
          <w:iCs/>
        </w:rPr>
        <w:t>. Pépin</w:t>
      </w:r>
      <w:r w:rsidR="00603D7A" w:rsidRPr="00603D7A">
        <w:t>, 2024 QCCA 126</w:t>
      </w:r>
      <w:r w:rsidR="00603D7A">
        <w:t>;</w:t>
      </w:r>
      <w:r w:rsidR="00603D7A" w:rsidRPr="00603D7A">
        <w:rPr>
          <w:sz w:val="24"/>
        </w:rPr>
        <w:t xml:space="preserve"> </w:t>
      </w:r>
      <w:r w:rsidR="00603D7A" w:rsidRPr="00603D7A">
        <w:t xml:space="preserve">Demande d’autorisation d’appel à la Cour suprême rejetée : </w:t>
      </w:r>
      <w:r w:rsidR="00603D7A" w:rsidRPr="00603D7A">
        <w:rPr>
          <w:i/>
          <w:iCs/>
        </w:rPr>
        <w:t xml:space="preserve">Serge Lapierre, et al. </w:t>
      </w:r>
      <w:r w:rsidR="00603D7A" w:rsidRPr="00603D7A">
        <w:t>c</w:t>
      </w:r>
      <w:r w:rsidR="00603D7A" w:rsidRPr="00603D7A">
        <w:rPr>
          <w:i/>
          <w:iCs/>
        </w:rPr>
        <w:t>. Pareclemco inc., et al</w:t>
      </w:r>
      <w:r w:rsidR="00603D7A" w:rsidRPr="00603D7A">
        <w:t>., 2025 CanLII 295 (CSC</w:t>
      </w:r>
      <w:r w:rsidR="00BB46E4">
        <w:t>).</w:t>
      </w:r>
    </w:p>
  </w:footnote>
  <w:footnote w:id="97">
    <w:p w14:paraId="4C106078" w14:textId="77777777" w:rsidR="001315B3" w:rsidRPr="004D0E71" w:rsidRDefault="00893AC8">
      <w:pPr>
        <w:pStyle w:val="Notedebasdepage"/>
      </w:pPr>
      <w:r>
        <w:rPr>
          <w:rStyle w:val="Appelnotedebasdep"/>
        </w:rPr>
        <w:footnoteRef/>
      </w:r>
      <w:r>
        <w:t xml:space="preserve"> </w:t>
      </w:r>
      <w:r>
        <w:tab/>
      </w:r>
      <w:r w:rsidR="00544673" w:rsidRPr="00544673">
        <w:rPr>
          <w:i/>
          <w:iCs/>
        </w:rPr>
        <w:t xml:space="preserve">Lapierre </w:t>
      </w:r>
      <w:r w:rsidR="00544673" w:rsidRPr="00544673">
        <w:t>c.</w:t>
      </w:r>
      <w:r w:rsidR="00544673" w:rsidRPr="00544673">
        <w:rPr>
          <w:i/>
          <w:iCs/>
        </w:rPr>
        <w:t xml:space="preserve"> Pépin,</w:t>
      </w:r>
      <w:r w:rsidR="00544673" w:rsidRPr="00544673">
        <w:t xml:space="preserve"> 2024 QCCA 126</w:t>
      </w:r>
      <w:r w:rsidR="00544673">
        <w:t xml:space="preserve">, par. </w:t>
      </w:r>
      <w:r w:rsidR="0008304D">
        <w:t>4;</w:t>
      </w:r>
      <w:r w:rsidR="00544673" w:rsidRPr="00544673">
        <w:t xml:space="preserve"> Demande d’autorisation d’appel à la Cour suprême rejetée : </w:t>
      </w:r>
      <w:r w:rsidR="00544673" w:rsidRPr="00544673">
        <w:rPr>
          <w:i/>
          <w:iCs/>
        </w:rPr>
        <w:t xml:space="preserve">Serge Lapierre, et al. </w:t>
      </w:r>
      <w:r w:rsidR="00544673" w:rsidRPr="00544673">
        <w:t>c</w:t>
      </w:r>
      <w:r w:rsidR="00544673" w:rsidRPr="00544673">
        <w:rPr>
          <w:i/>
          <w:iCs/>
        </w:rPr>
        <w:t>. Pareclemco inc., et al</w:t>
      </w:r>
      <w:r w:rsidR="00544673" w:rsidRPr="00544673">
        <w:t>., 2025 CanLII 295 (CSC</w:t>
      </w:r>
      <w:r w:rsidR="0008304D">
        <w:t xml:space="preserve">; voir aussi : </w:t>
      </w:r>
      <w:r w:rsidR="005E2EDE" w:rsidRPr="005E2EDE">
        <w:rPr>
          <w:i/>
        </w:rPr>
        <w:t>Lapierre</w:t>
      </w:r>
      <w:r w:rsidR="005E2EDE" w:rsidRPr="005E2EDE">
        <w:t xml:space="preserve"> c. </w:t>
      </w:r>
      <w:r w:rsidR="005E2EDE" w:rsidRPr="005E2EDE">
        <w:rPr>
          <w:i/>
          <w:iCs/>
        </w:rPr>
        <w:t>Pépin</w:t>
      </w:r>
      <w:r w:rsidR="004D0E71">
        <w:rPr>
          <w:i/>
          <w:iCs/>
        </w:rPr>
        <w:t>,</w:t>
      </w:r>
      <w:r w:rsidR="004D0E71">
        <w:t xml:space="preserve"> </w:t>
      </w:r>
      <w:r w:rsidR="004D0E71" w:rsidRPr="004D0E71">
        <w:t>2024 QCCS 3281</w:t>
      </w:r>
      <w:r w:rsidR="00F96664">
        <w:t xml:space="preserve">, demande de permission d’appeler rejetée : </w:t>
      </w:r>
      <w:r w:rsidR="004D0E71">
        <w:rPr>
          <w:i/>
          <w:iCs/>
        </w:rPr>
        <w:t xml:space="preserve"> </w:t>
      </w:r>
      <w:r w:rsidR="00C3204A" w:rsidRPr="00C3204A">
        <w:rPr>
          <w:i/>
          <w:iCs/>
        </w:rPr>
        <w:t xml:space="preserve">Lapierre c. Pépin, </w:t>
      </w:r>
      <w:r w:rsidR="00C3204A" w:rsidRPr="00C3204A">
        <w:t>2024 QCCA 758</w:t>
      </w:r>
      <w:r w:rsidR="00C3204A">
        <w:t>.</w:t>
      </w:r>
      <w:r w:rsidR="00C3204A" w:rsidRPr="00C3204A">
        <w:t> </w:t>
      </w:r>
    </w:p>
  </w:footnote>
  <w:footnote w:id="98">
    <w:p w14:paraId="2B51AA32" w14:textId="77777777" w:rsidR="00DF6BD8" w:rsidRPr="00DF6BD8" w:rsidRDefault="00893AC8">
      <w:pPr>
        <w:pStyle w:val="Notedebasdepage"/>
      </w:pPr>
      <w:r>
        <w:rPr>
          <w:rStyle w:val="Appelnotedebasdep"/>
        </w:rPr>
        <w:footnoteRef/>
      </w:r>
      <w:r w:rsidRPr="00DF6BD8">
        <w:t xml:space="preserve"> </w:t>
      </w:r>
      <w:r w:rsidRPr="00DF6BD8">
        <w:tab/>
      </w:r>
      <w:r w:rsidRPr="00DF6BD8">
        <w:rPr>
          <w:i/>
          <w:iCs/>
        </w:rPr>
        <w:t>Mackay</w:t>
      </w:r>
      <w:r w:rsidRPr="00DF6BD8">
        <w:t xml:space="preserve"> c</w:t>
      </w:r>
      <w:r w:rsidRPr="00DF6BD8">
        <w:rPr>
          <w:i/>
          <w:iCs/>
        </w:rPr>
        <w:t>. Manitoba</w:t>
      </w:r>
      <w:r w:rsidRPr="00DF6BD8">
        <w:t xml:space="preserve">, </w:t>
      </w:r>
      <w:r>
        <w:t>[</w:t>
      </w:r>
      <w:r w:rsidRPr="00DF6BD8">
        <w:t>1989</w:t>
      </w:r>
      <w:r>
        <w:t>]</w:t>
      </w:r>
      <w:r w:rsidRPr="00DF6BD8">
        <w:t xml:space="preserve"> 2 RCS 357</w:t>
      </w:r>
      <w:r>
        <w:t xml:space="preserve"> et</w:t>
      </w:r>
      <w:r w:rsidRPr="00DF6BD8">
        <w:t xml:space="preserve"> </w:t>
      </w:r>
      <w:r w:rsidRPr="00DF6BD8">
        <w:rPr>
          <w:i/>
          <w:iCs/>
        </w:rPr>
        <w:t xml:space="preserve">Chaoulli </w:t>
      </w:r>
      <w:r w:rsidRPr="00DF6BD8">
        <w:t xml:space="preserve">c. </w:t>
      </w:r>
      <w:r w:rsidRPr="00DF6BD8">
        <w:rPr>
          <w:i/>
          <w:iCs/>
        </w:rPr>
        <w:t>Québec (</w:t>
      </w:r>
      <w:r>
        <w:rPr>
          <w:i/>
          <w:iCs/>
        </w:rPr>
        <w:t>P</w:t>
      </w:r>
      <w:r w:rsidRPr="00DF6BD8">
        <w:rPr>
          <w:i/>
          <w:iCs/>
        </w:rPr>
        <w:t>rocureur général)</w:t>
      </w:r>
      <w:r>
        <w:t>, [2005] 1 RCS 791.</w:t>
      </w:r>
    </w:p>
  </w:footnote>
  <w:footnote w:id="99">
    <w:p w14:paraId="76FB0864" w14:textId="77777777" w:rsidR="000B6CAD" w:rsidRPr="00C87F7A" w:rsidRDefault="00893AC8" w:rsidP="000B6CAD">
      <w:pPr>
        <w:pStyle w:val="Notedebasdepage"/>
      </w:pPr>
      <w:r w:rsidRPr="00C87F7A">
        <w:rPr>
          <w:rStyle w:val="Appelnotedebasdep"/>
        </w:rPr>
        <w:footnoteRef/>
      </w:r>
      <w:r w:rsidRPr="00C87F7A">
        <w:t xml:space="preserve"> </w:t>
      </w:r>
      <w:r w:rsidRPr="00C87F7A">
        <w:tab/>
      </w:r>
      <w:r w:rsidRPr="00C87F7A">
        <w:rPr>
          <w:i/>
          <w:iCs/>
        </w:rPr>
        <w:t xml:space="preserve">Prud'homme </w:t>
      </w:r>
      <w:r w:rsidRPr="00304DEC">
        <w:t>c</w:t>
      </w:r>
      <w:r w:rsidRPr="00C87F7A">
        <w:rPr>
          <w:i/>
          <w:iCs/>
        </w:rPr>
        <w:t>. Rawdon (Municipalité de),</w:t>
      </w:r>
      <w:r w:rsidRPr="00C87F7A">
        <w:t xml:space="preserve"> 2010 QCCA 584, par. 61.</w:t>
      </w:r>
    </w:p>
  </w:footnote>
  <w:footnote w:id="100">
    <w:p w14:paraId="177DE86E" w14:textId="77777777" w:rsidR="000B6CAD" w:rsidRPr="00C87F7A" w:rsidRDefault="00893AC8" w:rsidP="000B6CAD">
      <w:pPr>
        <w:pStyle w:val="Notedebasdepage"/>
      </w:pPr>
      <w:r w:rsidRPr="00C87F7A">
        <w:rPr>
          <w:rStyle w:val="Appelnotedebasdep"/>
        </w:rPr>
        <w:footnoteRef/>
      </w:r>
      <w:r w:rsidRPr="00C87F7A">
        <w:t xml:space="preserve"> </w:t>
      </w:r>
      <w:r w:rsidRPr="00C87F7A">
        <w:tab/>
      </w:r>
      <w:r w:rsidRPr="00C87F7A">
        <w:rPr>
          <w:i/>
          <w:iCs/>
        </w:rPr>
        <w:t xml:space="preserve">Prud'homme </w:t>
      </w:r>
      <w:r w:rsidRPr="00304DEC">
        <w:t>c</w:t>
      </w:r>
      <w:r w:rsidRPr="00C87F7A">
        <w:rPr>
          <w:i/>
          <w:iCs/>
        </w:rPr>
        <w:t>. Rawdon (Municipalité de),</w:t>
      </w:r>
      <w:r w:rsidRPr="00C87F7A">
        <w:t xml:space="preserve"> 2010 QCCA 584, par. 62; </w:t>
      </w:r>
      <w:r w:rsidRPr="00C87F7A">
        <w:rPr>
          <w:i/>
          <w:iCs/>
        </w:rPr>
        <w:t xml:space="preserve">Saputo inc. </w:t>
      </w:r>
      <w:r w:rsidRPr="00304DEC">
        <w:t>c</w:t>
      </w:r>
      <w:r w:rsidRPr="00C87F7A">
        <w:rPr>
          <w:i/>
          <w:iCs/>
        </w:rPr>
        <w:t>. Petkov</w:t>
      </w:r>
      <w:r w:rsidRPr="00C87F7A">
        <w:t xml:space="preserve">, 2011 QCCS 6885, par. 64.  </w:t>
      </w:r>
      <w:r w:rsidRPr="00C87F7A">
        <w:rPr>
          <w:i/>
          <w:iCs/>
        </w:rPr>
        <w:t>Lamtiri c. Jerando</w:t>
      </w:r>
      <w:r w:rsidRPr="00C87F7A">
        <w:t xml:space="preserve">, 2025 QCCS 2417, par. 85; </w:t>
      </w:r>
      <w:r w:rsidRPr="00C87F7A">
        <w:rPr>
          <w:i/>
          <w:iCs/>
        </w:rPr>
        <w:t xml:space="preserve">Carrier </w:t>
      </w:r>
      <w:r w:rsidRPr="00304DEC">
        <w:t>c.</w:t>
      </w:r>
      <w:r w:rsidRPr="00C87F7A">
        <w:rPr>
          <w:i/>
          <w:iCs/>
        </w:rPr>
        <w:t xml:space="preserve"> Hébert</w:t>
      </w:r>
      <w:r w:rsidRPr="00C87F7A">
        <w:t>, 2026 QCCS 163, par. 58-59.</w:t>
      </w:r>
    </w:p>
  </w:footnote>
  <w:footnote w:id="101">
    <w:p w14:paraId="544A806D" w14:textId="77777777" w:rsidR="000B6CAD" w:rsidRPr="00C87F7A" w:rsidRDefault="00893AC8" w:rsidP="000B6CAD">
      <w:pPr>
        <w:pStyle w:val="Notedebasdepage"/>
      </w:pPr>
      <w:r w:rsidRPr="00C87F7A">
        <w:rPr>
          <w:rStyle w:val="Appelnotedebasdep"/>
        </w:rPr>
        <w:footnoteRef/>
      </w:r>
      <w:r w:rsidRPr="00C87F7A">
        <w:t xml:space="preserve"> </w:t>
      </w:r>
      <w:r w:rsidRPr="00C87F7A">
        <w:tab/>
      </w:r>
      <w:r w:rsidRPr="00C87F7A">
        <w:rPr>
          <w:i/>
          <w:iCs/>
        </w:rPr>
        <w:t xml:space="preserve">Saputo inc. </w:t>
      </w:r>
      <w:r w:rsidRPr="00304DEC">
        <w:t>c</w:t>
      </w:r>
      <w:r w:rsidRPr="00C87F7A">
        <w:rPr>
          <w:i/>
          <w:iCs/>
        </w:rPr>
        <w:t>. Petkov</w:t>
      </w:r>
      <w:r w:rsidRPr="00C87F7A">
        <w:t>, </w:t>
      </w:r>
      <w:r w:rsidRPr="00C87F7A">
        <w:rPr>
          <w:rStyle w:val="Hyperlien"/>
          <w:color w:val="auto"/>
          <w:u w:val="none"/>
        </w:rPr>
        <w:t>2011 QCCS 6885</w:t>
      </w:r>
      <w:r w:rsidRPr="00C87F7A">
        <w:t>, par. </w:t>
      </w:r>
      <w:r w:rsidRPr="00C87F7A">
        <w:rPr>
          <w:rStyle w:val="Hyperlien"/>
          <w:color w:val="auto"/>
          <w:u w:val="none"/>
        </w:rPr>
        <w:t>64-65</w:t>
      </w:r>
      <w:r w:rsidRPr="00C87F7A">
        <w:t> ; </w:t>
      </w:r>
      <w:r w:rsidRPr="00C87F7A">
        <w:rPr>
          <w:i/>
          <w:iCs/>
        </w:rPr>
        <w:t xml:space="preserve">Dam </w:t>
      </w:r>
      <w:r w:rsidRPr="00304DEC">
        <w:t>c</w:t>
      </w:r>
      <w:r w:rsidRPr="00C87F7A">
        <w:rPr>
          <w:i/>
          <w:iCs/>
        </w:rPr>
        <w:t>. Ho</w:t>
      </w:r>
      <w:r w:rsidRPr="00C87F7A">
        <w:t>, </w:t>
      </w:r>
      <w:r w:rsidRPr="00C87F7A">
        <w:rPr>
          <w:rStyle w:val="Hyperlien"/>
          <w:color w:val="auto"/>
          <w:u w:val="none"/>
        </w:rPr>
        <w:t>2024 QCCS 3319</w:t>
      </w:r>
      <w:r w:rsidRPr="00C87F7A">
        <w:t>, par. </w:t>
      </w:r>
      <w:r w:rsidRPr="00C87F7A">
        <w:rPr>
          <w:rStyle w:val="Hyperlien"/>
          <w:color w:val="auto"/>
          <w:u w:val="none"/>
        </w:rPr>
        <w:t>161</w:t>
      </w:r>
      <w:r w:rsidRPr="00C87F7A">
        <w:t>.</w:t>
      </w:r>
    </w:p>
  </w:footnote>
  <w:footnote w:id="102">
    <w:p w14:paraId="492DC5D7" w14:textId="77777777" w:rsidR="000B6CAD" w:rsidRDefault="00893AC8" w:rsidP="000B6CAD">
      <w:pPr>
        <w:pStyle w:val="Notedebasdepage"/>
      </w:pPr>
      <w:r>
        <w:rPr>
          <w:rStyle w:val="Appelnotedebasdep"/>
        </w:rPr>
        <w:footnoteRef/>
      </w:r>
      <w:r>
        <w:t xml:space="preserve"> </w:t>
      </w:r>
      <w:r>
        <w:tab/>
        <w:t xml:space="preserve">P-56 : </w:t>
      </w:r>
      <w:r w:rsidRPr="00E30C69">
        <w:t>Vidéo Facebook datée du 15 mai 2019</w:t>
      </w:r>
      <w:r>
        <w:t xml:space="preserve"> et P-56A : Transcription </w:t>
      </w:r>
      <w:r w:rsidRPr="00507C40">
        <w:t>d’un extrait de la vidéo Facebook du 15 mai 2019</w:t>
      </w:r>
      <w:r>
        <w:t>, pp. 24-25. « Pis même si mon site fermerait, y va ressortir. »</w:t>
      </w:r>
    </w:p>
  </w:footnote>
  <w:footnote w:id="103">
    <w:p w14:paraId="7C0BA6B0" w14:textId="77777777" w:rsidR="000B6CAD" w:rsidRPr="00C87F7A" w:rsidRDefault="00893AC8" w:rsidP="000B6CAD">
      <w:pPr>
        <w:pStyle w:val="Notedebasdepage"/>
      </w:pPr>
      <w:r w:rsidRPr="00C87F7A">
        <w:rPr>
          <w:rStyle w:val="Appelnotedebasdep"/>
        </w:rPr>
        <w:footnoteRef/>
      </w:r>
      <w:r w:rsidRPr="00C87F7A">
        <w:t xml:space="preserve"> </w:t>
      </w:r>
      <w:r w:rsidRPr="00C87F7A">
        <w:tab/>
      </w:r>
      <w:r w:rsidRPr="00C87F7A">
        <w:rPr>
          <w:i/>
          <w:iCs/>
        </w:rPr>
        <w:t>Prud’homme</w:t>
      </w:r>
      <w:r w:rsidRPr="00C87F7A">
        <w:t>, supra, note</w:t>
      </w:r>
      <w:r>
        <w:t xml:space="preserve"> 90</w:t>
      </w:r>
      <w:r w:rsidRPr="00C87F7A">
        <w:t>, par. 56 et 67.</w:t>
      </w:r>
    </w:p>
  </w:footnote>
  <w:footnote w:id="104">
    <w:p w14:paraId="6606A91E" w14:textId="77777777" w:rsidR="000B6CAD" w:rsidRPr="00C87F7A" w:rsidRDefault="00893AC8" w:rsidP="000B6CAD">
      <w:pPr>
        <w:pStyle w:val="Notedebasdepage"/>
      </w:pPr>
      <w:r w:rsidRPr="00C87F7A">
        <w:rPr>
          <w:rStyle w:val="Appelnotedebasdep"/>
        </w:rPr>
        <w:footnoteRef/>
      </w:r>
      <w:r w:rsidRPr="00C87F7A">
        <w:t xml:space="preserve"> </w:t>
      </w:r>
      <w:r w:rsidRPr="00C87F7A">
        <w:tab/>
        <w:t xml:space="preserve">Cette manière de procéder a été utilisée dans des affaires similaires. Voir par </w:t>
      </w:r>
      <w:r w:rsidRPr="00C87F7A">
        <w:rPr>
          <w:i/>
          <w:iCs/>
        </w:rPr>
        <w:t xml:space="preserve">exemple Ville de Longueuil </w:t>
      </w:r>
      <w:r w:rsidRPr="00304DEC">
        <w:t>c</w:t>
      </w:r>
      <w:r w:rsidRPr="00C87F7A">
        <w:rPr>
          <w:i/>
          <w:iCs/>
        </w:rPr>
        <w:t>. Théodore</w:t>
      </w:r>
      <w:r w:rsidRPr="00C87F7A">
        <w:t xml:space="preserve">, 2020 QCCS 1339 </w:t>
      </w:r>
      <w:r w:rsidR="008A1100" w:rsidRPr="00C87F7A">
        <w:t xml:space="preserve">et </w:t>
      </w:r>
      <w:r w:rsidR="008A1100" w:rsidRPr="005E1D1D">
        <w:rPr>
          <w:i/>
          <w:iCs/>
        </w:rPr>
        <w:t>Lamtiri</w:t>
      </w:r>
      <w:r w:rsidRPr="00C87F7A">
        <w:rPr>
          <w:i/>
          <w:iCs/>
        </w:rPr>
        <w:t xml:space="preserve"> </w:t>
      </w:r>
      <w:r w:rsidRPr="00304DEC">
        <w:t>c</w:t>
      </w:r>
      <w:r w:rsidRPr="00C87F7A">
        <w:rPr>
          <w:i/>
          <w:iCs/>
        </w:rPr>
        <w:t>. Jerando</w:t>
      </w:r>
      <w:r w:rsidRPr="00C87F7A">
        <w:t>, 2025 QCCS 2417</w:t>
      </w:r>
      <w:r>
        <w:t>.</w:t>
      </w:r>
    </w:p>
  </w:footnote>
  <w:footnote w:id="105">
    <w:p w14:paraId="2892D56B" w14:textId="77777777" w:rsidR="000B6CAD" w:rsidRPr="00C87F7A" w:rsidRDefault="00893AC8" w:rsidP="000B6CAD">
      <w:pPr>
        <w:pStyle w:val="Notedebasdepage"/>
      </w:pPr>
      <w:r w:rsidRPr="00C87F7A">
        <w:rPr>
          <w:rStyle w:val="Appelnotedebasdep"/>
        </w:rPr>
        <w:footnoteRef/>
      </w:r>
      <w:r w:rsidRPr="00C87F7A">
        <w:t xml:space="preserve"> </w:t>
      </w:r>
      <w:r w:rsidRPr="00C87F7A">
        <w:tab/>
      </w:r>
      <w:r w:rsidRPr="00C87F7A">
        <w:rPr>
          <w:i/>
          <w:iCs/>
        </w:rPr>
        <w:t xml:space="preserve">Douez </w:t>
      </w:r>
      <w:r w:rsidRPr="00C87F7A">
        <w:t xml:space="preserve">c. </w:t>
      </w:r>
      <w:r w:rsidRPr="00C87F7A">
        <w:rPr>
          <w:i/>
          <w:iCs/>
        </w:rPr>
        <w:t>Facebook, Inc.</w:t>
      </w:r>
      <w:r w:rsidRPr="00C87F7A">
        <w:t xml:space="preserve">, 2017 CSC 33, par. 56. (références omises) La Cour suprême réfère au mémoire déposé par l’Association canadienne des libertés civiles. </w:t>
      </w:r>
    </w:p>
  </w:footnote>
  <w:footnote w:id="106">
    <w:p w14:paraId="24122478" w14:textId="77777777" w:rsidR="000B6CAD" w:rsidRPr="00C87F7A" w:rsidRDefault="00893AC8" w:rsidP="000B6CAD">
      <w:pPr>
        <w:pStyle w:val="Notedebasdepage"/>
      </w:pPr>
      <w:r w:rsidRPr="00C87F7A">
        <w:rPr>
          <w:rStyle w:val="Appelnotedebasdep"/>
        </w:rPr>
        <w:footnoteRef/>
      </w:r>
      <w:r w:rsidRPr="00C87F7A">
        <w:t xml:space="preserve"> </w:t>
      </w:r>
      <w:r w:rsidRPr="00C87F7A">
        <w:tab/>
      </w:r>
      <w:r w:rsidRPr="00C87F7A">
        <w:rPr>
          <w:i/>
          <w:iCs/>
        </w:rPr>
        <w:t>Bruker</w:t>
      </w:r>
      <w:r w:rsidRPr="00C87F7A">
        <w:t xml:space="preserve"> c. </w:t>
      </w:r>
      <w:r w:rsidRPr="00C87F7A">
        <w:rPr>
          <w:i/>
          <w:iCs/>
        </w:rPr>
        <w:t>Marcovitz</w:t>
      </w:r>
      <w:r w:rsidRPr="00C87F7A">
        <w:t xml:space="preserve">, 2007 CSC 54; </w:t>
      </w:r>
      <w:r w:rsidRPr="00C87F7A">
        <w:rPr>
          <w:i/>
          <w:iCs/>
        </w:rPr>
        <w:t>Syndicat Northcrest</w:t>
      </w:r>
      <w:r w:rsidRPr="00C87F7A">
        <w:t xml:space="preserve"> c. </w:t>
      </w:r>
      <w:r w:rsidRPr="00C87F7A">
        <w:rPr>
          <w:i/>
          <w:iCs/>
        </w:rPr>
        <w:t>Amselem</w:t>
      </w:r>
      <w:r w:rsidRPr="00C87F7A">
        <w:t xml:space="preserve">, 2004 CSC 47 et </w:t>
      </w:r>
      <w:r w:rsidRPr="00C87F7A">
        <w:rPr>
          <w:i/>
          <w:iCs/>
        </w:rPr>
        <w:t>Aubry</w:t>
      </w:r>
      <w:r w:rsidRPr="00C87F7A">
        <w:t xml:space="preserve"> c. </w:t>
      </w:r>
      <w:r w:rsidRPr="00C87F7A">
        <w:rPr>
          <w:i/>
          <w:iCs/>
        </w:rPr>
        <w:t>Éditions Vice-Versa inc.,</w:t>
      </w:r>
      <w:r w:rsidRPr="00C87F7A">
        <w:t xml:space="preserve"> 1998 CanLII 817 (CSC), par. 12 et s.</w:t>
      </w:r>
    </w:p>
  </w:footnote>
  <w:footnote w:id="107">
    <w:p w14:paraId="670DC4B7" w14:textId="77777777" w:rsidR="000B6CAD" w:rsidRPr="00C87F7A" w:rsidRDefault="00893AC8" w:rsidP="000B6CAD">
      <w:pPr>
        <w:pStyle w:val="Notedebasdepage"/>
      </w:pPr>
      <w:r w:rsidRPr="00C87F7A">
        <w:rPr>
          <w:rStyle w:val="Appelnotedebasdep"/>
        </w:rPr>
        <w:footnoteRef/>
      </w:r>
      <w:r w:rsidRPr="00C87F7A">
        <w:t xml:space="preserve"> </w:t>
      </w:r>
      <w:r w:rsidRPr="00C87F7A">
        <w:tab/>
        <w:t xml:space="preserve">Article 9.1, al. 1, de la </w:t>
      </w:r>
      <w:r w:rsidRPr="00C87F7A">
        <w:rPr>
          <w:i/>
          <w:iCs/>
        </w:rPr>
        <w:t>Charte québécoise</w:t>
      </w:r>
      <w:r w:rsidRPr="00C87F7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6B8B" w14:textId="77777777" w:rsidR="00EF7578" w:rsidRDefault="00893AC8">
    <w:pPr>
      <w:tabs>
        <w:tab w:val="center" w:pos="4709"/>
        <w:tab w:val="right" w:pos="9360"/>
      </w:tabs>
      <w:ind w:right="524"/>
    </w:pPr>
    <w:r>
      <w:t>500-17-110174-193</w:t>
    </w:r>
    <w:r w:rsidR="004213DA">
      <w:tab/>
    </w:r>
    <w:r w:rsidR="004213DA">
      <w:tab/>
      <w:t xml:space="preserve">PAGE : </w:t>
    </w:r>
    <w:r w:rsidR="004213DA">
      <w:fldChar w:fldCharType="begin"/>
    </w:r>
    <w:r w:rsidR="004213DA">
      <w:instrText xml:space="preserve"> PAGE </w:instrText>
    </w:r>
    <w:r w:rsidR="004213DA">
      <w:fldChar w:fldCharType="separate"/>
    </w:r>
    <w:r w:rsidR="004213DA">
      <w:t>60</w:t>
    </w:r>
    <w:r w:rsidR="004213DA">
      <w:fldChar w:fldCharType="end"/>
    </w:r>
  </w:p>
  <w:p w14:paraId="16549C66" w14:textId="77777777" w:rsidR="00EF7578" w:rsidRDefault="00EF7578">
    <w:pPr>
      <w:tabs>
        <w:tab w:val="center" w:pos="4709"/>
        <w:tab w:val="right" w:pos="9090"/>
      </w:tabs>
      <w:ind w:right="524"/>
    </w:pPr>
  </w:p>
  <w:p w14:paraId="4700B3EB" w14:textId="77777777" w:rsidR="00950D26" w:rsidRDefault="00950D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D328E16"/>
    <w:lvl w:ilvl="0">
      <w:start w:val="1"/>
      <w:numFmt w:val="decimal"/>
      <w:pStyle w:val="Titre3"/>
      <w:lvlText w:val="%1."/>
      <w:lvlJc w:val="left"/>
      <w:pPr>
        <w:tabs>
          <w:tab w:val="num" w:pos="1440"/>
        </w:tabs>
        <w:ind w:left="1440" w:hanging="360"/>
      </w:pPr>
    </w:lvl>
  </w:abstractNum>
  <w:abstractNum w:abstractNumId="1" w15:restartNumberingAfterBreak="0">
    <w:nsid w:val="FFFFFF7E"/>
    <w:multiLevelType w:val="singleLevel"/>
    <w:tmpl w:val="70EA60A0"/>
    <w:lvl w:ilvl="0">
      <w:start w:val="1"/>
      <w:numFmt w:val="decimal"/>
      <w:lvlText w:val="%1."/>
      <w:lvlJc w:val="left"/>
      <w:pPr>
        <w:tabs>
          <w:tab w:val="num" w:pos="1080"/>
        </w:tabs>
        <w:ind w:left="1080" w:hanging="360"/>
      </w:pPr>
    </w:lvl>
  </w:abstractNum>
  <w:abstractNum w:abstractNumId="2" w15:restartNumberingAfterBreak="0">
    <w:nsid w:val="FFFFFF88"/>
    <w:multiLevelType w:val="singleLevel"/>
    <w:tmpl w:val="0E5E72FE"/>
    <w:lvl w:ilvl="0">
      <w:start w:val="1"/>
      <w:numFmt w:val="decimal"/>
      <w:pStyle w:val="Listepuces"/>
      <w:lvlText w:val="%1."/>
      <w:lvlJc w:val="left"/>
      <w:pPr>
        <w:tabs>
          <w:tab w:val="num" w:pos="360"/>
        </w:tabs>
        <w:ind w:left="360" w:hanging="360"/>
      </w:pPr>
    </w:lvl>
  </w:abstractNum>
  <w:abstractNum w:abstractNumId="3" w15:restartNumberingAfterBreak="0">
    <w:nsid w:val="02FA5003"/>
    <w:multiLevelType w:val="hybridMultilevel"/>
    <w:tmpl w:val="DC1E1FDE"/>
    <w:lvl w:ilvl="0" w:tplc="89725022">
      <w:start w:val="1"/>
      <w:numFmt w:val="lowerLetter"/>
      <w:lvlText w:val="%1)"/>
      <w:lvlJc w:val="left"/>
      <w:pPr>
        <w:ind w:left="720" w:hanging="360"/>
      </w:pPr>
    </w:lvl>
    <w:lvl w:ilvl="1" w:tplc="B0DC8F7E">
      <w:start w:val="1"/>
      <w:numFmt w:val="bullet"/>
      <w:lvlText w:val=""/>
      <w:lvlJc w:val="left"/>
      <w:pPr>
        <w:ind w:left="720" w:hanging="360"/>
      </w:pPr>
      <w:rPr>
        <w:rFonts w:ascii="Symbol" w:hAnsi="Symbol" w:hint="default"/>
      </w:rPr>
    </w:lvl>
    <w:lvl w:ilvl="2" w:tplc="7540A3CC">
      <w:start w:val="1"/>
      <w:numFmt w:val="lowerRoman"/>
      <w:lvlText w:val="%3."/>
      <w:lvlJc w:val="right"/>
      <w:pPr>
        <w:ind w:left="2160" w:hanging="180"/>
      </w:pPr>
      <w:rPr>
        <w:b/>
        <w:bCs/>
      </w:rPr>
    </w:lvl>
    <w:lvl w:ilvl="3" w:tplc="6BA4F28A" w:tentative="1">
      <w:start w:val="1"/>
      <w:numFmt w:val="decimal"/>
      <w:lvlText w:val="%4."/>
      <w:lvlJc w:val="left"/>
      <w:pPr>
        <w:ind w:left="2880" w:hanging="360"/>
      </w:pPr>
    </w:lvl>
    <w:lvl w:ilvl="4" w:tplc="40546B78" w:tentative="1">
      <w:start w:val="1"/>
      <w:numFmt w:val="lowerLetter"/>
      <w:lvlText w:val="%5."/>
      <w:lvlJc w:val="left"/>
      <w:pPr>
        <w:ind w:left="3600" w:hanging="360"/>
      </w:pPr>
    </w:lvl>
    <w:lvl w:ilvl="5" w:tplc="7D828258" w:tentative="1">
      <w:start w:val="1"/>
      <w:numFmt w:val="lowerRoman"/>
      <w:lvlText w:val="%6."/>
      <w:lvlJc w:val="right"/>
      <w:pPr>
        <w:ind w:left="4320" w:hanging="180"/>
      </w:pPr>
    </w:lvl>
    <w:lvl w:ilvl="6" w:tplc="D876DED0" w:tentative="1">
      <w:start w:val="1"/>
      <w:numFmt w:val="decimal"/>
      <w:lvlText w:val="%7."/>
      <w:lvlJc w:val="left"/>
      <w:pPr>
        <w:ind w:left="5040" w:hanging="360"/>
      </w:pPr>
    </w:lvl>
    <w:lvl w:ilvl="7" w:tplc="6DE6A82A" w:tentative="1">
      <w:start w:val="1"/>
      <w:numFmt w:val="lowerLetter"/>
      <w:lvlText w:val="%8."/>
      <w:lvlJc w:val="left"/>
      <w:pPr>
        <w:ind w:left="5760" w:hanging="360"/>
      </w:pPr>
    </w:lvl>
    <w:lvl w:ilvl="8" w:tplc="FFDEA7C8" w:tentative="1">
      <w:start w:val="1"/>
      <w:numFmt w:val="lowerRoman"/>
      <w:lvlText w:val="%9."/>
      <w:lvlJc w:val="right"/>
      <w:pPr>
        <w:ind w:left="6480" w:hanging="180"/>
      </w:pPr>
    </w:lvl>
  </w:abstractNum>
  <w:abstractNum w:abstractNumId="4" w15:restartNumberingAfterBreak="0">
    <w:nsid w:val="1DF7534A"/>
    <w:multiLevelType w:val="multilevel"/>
    <w:tmpl w:val="08420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786062"/>
    <w:multiLevelType w:val="hybridMultilevel"/>
    <w:tmpl w:val="A94E83A2"/>
    <w:lvl w:ilvl="0" w:tplc="BCC6755C">
      <w:start w:val="1"/>
      <w:numFmt w:val="lowerRoman"/>
      <w:lvlText w:val="%1."/>
      <w:lvlJc w:val="right"/>
      <w:pPr>
        <w:ind w:left="1094" w:hanging="360"/>
      </w:pPr>
      <w:rPr>
        <w:i w:val="0"/>
        <w:iCs w:val="0"/>
      </w:rPr>
    </w:lvl>
    <w:lvl w:ilvl="1" w:tplc="F04A041C" w:tentative="1">
      <w:start w:val="1"/>
      <w:numFmt w:val="lowerLetter"/>
      <w:lvlText w:val="%2."/>
      <w:lvlJc w:val="left"/>
      <w:pPr>
        <w:ind w:left="1814" w:hanging="360"/>
      </w:pPr>
    </w:lvl>
    <w:lvl w:ilvl="2" w:tplc="E4A40600" w:tentative="1">
      <w:start w:val="1"/>
      <w:numFmt w:val="lowerRoman"/>
      <w:lvlText w:val="%3."/>
      <w:lvlJc w:val="right"/>
      <w:pPr>
        <w:ind w:left="2534" w:hanging="180"/>
      </w:pPr>
    </w:lvl>
    <w:lvl w:ilvl="3" w:tplc="AEE66488" w:tentative="1">
      <w:start w:val="1"/>
      <w:numFmt w:val="decimal"/>
      <w:lvlText w:val="%4."/>
      <w:lvlJc w:val="left"/>
      <w:pPr>
        <w:ind w:left="3254" w:hanging="360"/>
      </w:pPr>
    </w:lvl>
    <w:lvl w:ilvl="4" w:tplc="1484860E" w:tentative="1">
      <w:start w:val="1"/>
      <w:numFmt w:val="lowerLetter"/>
      <w:lvlText w:val="%5."/>
      <w:lvlJc w:val="left"/>
      <w:pPr>
        <w:ind w:left="3974" w:hanging="360"/>
      </w:pPr>
    </w:lvl>
    <w:lvl w:ilvl="5" w:tplc="59EABFAC" w:tentative="1">
      <w:start w:val="1"/>
      <w:numFmt w:val="lowerRoman"/>
      <w:lvlText w:val="%6."/>
      <w:lvlJc w:val="right"/>
      <w:pPr>
        <w:ind w:left="4694" w:hanging="180"/>
      </w:pPr>
    </w:lvl>
    <w:lvl w:ilvl="6" w:tplc="DA487528" w:tentative="1">
      <w:start w:val="1"/>
      <w:numFmt w:val="decimal"/>
      <w:lvlText w:val="%7."/>
      <w:lvlJc w:val="left"/>
      <w:pPr>
        <w:ind w:left="5414" w:hanging="360"/>
      </w:pPr>
    </w:lvl>
    <w:lvl w:ilvl="7" w:tplc="ED5C71A2" w:tentative="1">
      <w:start w:val="1"/>
      <w:numFmt w:val="lowerLetter"/>
      <w:lvlText w:val="%8."/>
      <w:lvlJc w:val="left"/>
      <w:pPr>
        <w:ind w:left="6134" w:hanging="360"/>
      </w:pPr>
    </w:lvl>
    <w:lvl w:ilvl="8" w:tplc="DD14FE28" w:tentative="1">
      <w:start w:val="1"/>
      <w:numFmt w:val="lowerRoman"/>
      <w:lvlText w:val="%9."/>
      <w:lvlJc w:val="right"/>
      <w:pPr>
        <w:ind w:left="6854" w:hanging="180"/>
      </w:pPr>
    </w:lvl>
  </w:abstractNum>
  <w:abstractNum w:abstractNumId="6" w15:restartNumberingAfterBreak="0">
    <w:nsid w:val="20B27A93"/>
    <w:multiLevelType w:val="multilevel"/>
    <w:tmpl w:val="21DECE32"/>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7" w15:restartNumberingAfterBreak="0">
    <w:nsid w:val="335C7C2C"/>
    <w:multiLevelType w:val="multilevel"/>
    <w:tmpl w:val="E73A5EB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4141D49"/>
    <w:multiLevelType w:val="multilevel"/>
    <w:tmpl w:val="735CED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4106707"/>
    <w:multiLevelType w:val="multilevel"/>
    <w:tmpl w:val="5BA898D4"/>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0" w15:restartNumberingAfterBreak="0">
    <w:nsid w:val="5C7B24A7"/>
    <w:multiLevelType w:val="multilevel"/>
    <w:tmpl w:val="A4722E3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9C0DCC"/>
    <w:multiLevelType w:val="multilevel"/>
    <w:tmpl w:val="C1848992"/>
    <w:lvl w:ilvl="0">
      <w:start w:val="1"/>
      <w:numFmt w:val="decimal"/>
      <w:pStyle w:val="Paragraphe"/>
      <w:lvlText w:val="[%1]"/>
      <w:lvlJc w:val="left"/>
      <w:pPr>
        <w:tabs>
          <w:tab w:val="num" w:pos="360"/>
        </w:tabs>
        <w:ind w:left="0" w:firstLine="0"/>
      </w:pPr>
      <w:rPr>
        <w:rFonts w:ascii="Arial" w:hAnsi="Arial" w:hint="default"/>
        <w:b w:val="0"/>
        <w:i w:val="0"/>
        <w:sz w:val="24"/>
      </w:rPr>
    </w:lvl>
    <w:lvl w:ilvl="1">
      <w:start w:val="1"/>
      <w:numFmt w:val="decimal"/>
      <w:pStyle w:val="Sous-paragraphe"/>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7D462EA"/>
    <w:multiLevelType w:val="hybridMultilevel"/>
    <w:tmpl w:val="1556C24A"/>
    <w:lvl w:ilvl="0" w:tplc="BD70FE5A">
      <w:start w:val="1"/>
      <w:numFmt w:val="bullet"/>
      <w:lvlText w:val=""/>
      <w:lvlJc w:val="left"/>
      <w:pPr>
        <w:ind w:left="1440" w:hanging="360"/>
      </w:pPr>
      <w:rPr>
        <w:rFonts w:ascii="Symbol" w:hAnsi="Symbol" w:hint="default"/>
      </w:rPr>
    </w:lvl>
    <w:lvl w:ilvl="1" w:tplc="8E4EAC26" w:tentative="1">
      <w:start w:val="1"/>
      <w:numFmt w:val="bullet"/>
      <w:lvlText w:val="o"/>
      <w:lvlJc w:val="left"/>
      <w:pPr>
        <w:ind w:left="2160" w:hanging="360"/>
      </w:pPr>
      <w:rPr>
        <w:rFonts w:ascii="Courier New" w:hAnsi="Courier New" w:cs="Courier New" w:hint="default"/>
      </w:rPr>
    </w:lvl>
    <w:lvl w:ilvl="2" w:tplc="A0B83CAC" w:tentative="1">
      <w:start w:val="1"/>
      <w:numFmt w:val="bullet"/>
      <w:lvlText w:val=""/>
      <w:lvlJc w:val="left"/>
      <w:pPr>
        <w:ind w:left="2880" w:hanging="360"/>
      </w:pPr>
      <w:rPr>
        <w:rFonts w:ascii="Wingdings" w:hAnsi="Wingdings" w:hint="default"/>
      </w:rPr>
    </w:lvl>
    <w:lvl w:ilvl="3" w:tplc="FECEB342" w:tentative="1">
      <w:start w:val="1"/>
      <w:numFmt w:val="bullet"/>
      <w:lvlText w:val=""/>
      <w:lvlJc w:val="left"/>
      <w:pPr>
        <w:ind w:left="3600" w:hanging="360"/>
      </w:pPr>
      <w:rPr>
        <w:rFonts w:ascii="Symbol" w:hAnsi="Symbol" w:hint="default"/>
      </w:rPr>
    </w:lvl>
    <w:lvl w:ilvl="4" w:tplc="74F69EF6" w:tentative="1">
      <w:start w:val="1"/>
      <w:numFmt w:val="bullet"/>
      <w:lvlText w:val="o"/>
      <w:lvlJc w:val="left"/>
      <w:pPr>
        <w:ind w:left="4320" w:hanging="360"/>
      </w:pPr>
      <w:rPr>
        <w:rFonts w:ascii="Courier New" w:hAnsi="Courier New" w:cs="Courier New" w:hint="default"/>
      </w:rPr>
    </w:lvl>
    <w:lvl w:ilvl="5" w:tplc="B4C45110" w:tentative="1">
      <w:start w:val="1"/>
      <w:numFmt w:val="bullet"/>
      <w:lvlText w:val=""/>
      <w:lvlJc w:val="left"/>
      <w:pPr>
        <w:ind w:left="5040" w:hanging="360"/>
      </w:pPr>
      <w:rPr>
        <w:rFonts w:ascii="Wingdings" w:hAnsi="Wingdings" w:hint="default"/>
      </w:rPr>
    </w:lvl>
    <w:lvl w:ilvl="6" w:tplc="35BCC01A" w:tentative="1">
      <w:start w:val="1"/>
      <w:numFmt w:val="bullet"/>
      <w:lvlText w:val=""/>
      <w:lvlJc w:val="left"/>
      <w:pPr>
        <w:ind w:left="5760" w:hanging="360"/>
      </w:pPr>
      <w:rPr>
        <w:rFonts w:ascii="Symbol" w:hAnsi="Symbol" w:hint="default"/>
      </w:rPr>
    </w:lvl>
    <w:lvl w:ilvl="7" w:tplc="230CD234" w:tentative="1">
      <w:start w:val="1"/>
      <w:numFmt w:val="bullet"/>
      <w:lvlText w:val="o"/>
      <w:lvlJc w:val="left"/>
      <w:pPr>
        <w:ind w:left="6480" w:hanging="360"/>
      </w:pPr>
      <w:rPr>
        <w:rFonts w:ascii="Courier New" w:hAnsi="Courier New" w:cs="Courier New" w:hint="default"/>
      </w:rPr>
    </w:lvl>
    <w:lvl w:ilvl="8" w:tplc="BDD64B26" w:tentative="1">
      <w:start w:val="1"/>
      <w:numFmt w:val="bullet"/>
      <w:lvlText w:val=""/>
      <w:lvlJc w:val="left"/>
      <w:pPr>
        <w:ind w:left="7200" w:hanging="360"/>
      </w:pPr>
      <w:rPr>
        <w:rFonts w:ascii="Wingdings" w:hAnsi="Wingdings" w:hint="default"/>
      </w:rPr>
    </w:lvl>
  </w:abstractNum>
  <w:num w:numId="1" w16cid:durableId="1963073045">
    <w:abstractNumId w:val="11"/>
  </w:num>
  <w:num w:numId="2" w16cid:durableId="242876662">
    <w:abstractNumId w:val="11"/>
  </w:num>
  <w:num w:numId="3" w16cid:durableId="712119099">
    <w:abstractNumId w:val="11"/>
  </w:num>
  <w:num w:numId="4" w16cid:durableId="136263929">
    <w:abstractNumId w:val="2"/>
  </w:num>
  <w:num w:numId="5" w16cid:durableId="1828131525">
    <w:abstractNumId w:val="1"/>
  </w:num>
  <w:num w:numId="6" w16cid:durableId="1815367901">
    <w:abstractNumId w:val="0"/>
  </w:num>
  <w:num w:numId="7" w16cid:durableId="1276904291">
    <w:abstractNumId w:val="3"/>
  </w:num>
  <w:num w:numId="8" w16cid:durableId="973606941">
    <w:abstractNumId w:val="5"/>
  </w:num>
  <w:num w:numId="9" w16cid:durableId="724646659">
    <w:abstractNumId w:val="7"/>
  </w:num>
  <w:num w:numId="10" w16cid:durableId="16467611">
    <w:abstractNumId w:val="4"/>
  </w:num>
  <w:num w:numId="11" w16cid:durableId="400449930">
    <w:abstractNumId w:val="9"/>
  </w:num>
  <w:num w:numId="12" w16cid:durableId="1125930840">
    <w:abstractNumId w:val="6"/>
  </w:num>
  <w:num w:numId="13" w16cid:durableId="500242864">
    <w:abstractNumId w:val="10"/>
  </w:num>
  <w:num w:numId="14" w16cid:durableId="533619619">
    <w:abstractNumId w:val="8"/>
  </w:num>
  <w:num w:numId="15" w16cid:durableId="450514662">
    <w:abstractNumId w:val="12"/>
  </w:num>
  <w:num w:numId="16" w16cid:durableId="50200914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34"/>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09"/>
    <w:rsid w:val="000002F4"/>
    <w:rsid w:val="000004A5"/>
    <w:rsid w:val="000006C4"/>
    <w:rsid w:val="00001386"/>
    <w:rsid w:val="00001D47"/>
    <w:rsid w:val="00003790"/>
    <w:rsid w:val="0000456C"/>
    <w:rsid w:val="00005457"/>
    <w:rsid w:val="00005680"/>
    <w:rsid w:val="000057B8"/>
    <w:rsid w:val="00006876"/>
    <w:rsid w:val="00011F10"/>
    <w:rsid w:val="00012355"/>
    <w:rsid w:val="00012F96"/>
    <w:rsid w:val="00013A7A"/>
    <w:rsid w:val="00014606"/>
    <w:rsid w:val="00014658"/>
    <w:rsid w:val="000149DC"/>
    <w:rsid w:val="0001586D"/>
    <w:rsid w:val="00015A46"/>
    <w:rsid w:val="00016273"/>
    <w:rsid w:val="00020B14"/>
    <w:rsid w:val="00020E4F"/>
    <w:rsid w:val="0002108B"/>
    <w:rsid w:val="00021430"/>
    <w:rsid w:val="000222B9"/>
    <w:rsid w:val="00022732"/>
    <w:rsid w:val="00023B4F"/>
    <w:rsid w:val="00023B78"/>
    <w:rsid w:val="000240A1"/>
    <w:rsid w:val="000240B8"/>
    <w:rsid w:val="00025ACE"/>
    <w:rsid w:val="00026300"/>
    <w:rsid w:val="0002746F"/>
    <w:rsid w:val="00030D0F"/>
    <w:rsid w:val="00032FF2"/>
    <w:rsid w:val="00033542"/>
    <w:rsid w:val="0003460D"/>
    <w:rsid w:val="000350FB"/>
    <w:rsid w:val="00035658"/>
    <w:rsid w:val="00040602"/>
    <w:rsid w:val="0004210D"/>
    <w:rsid w:val="000428FF"/>
    <w:rsid w:val="00042C29"/>
    <w:rsid w:val="000434E6"/>
    <w:rsid w:val="0004395D"/>
    <w:rsid w:val="00044769"/>
    <w:rsid w:val="00047703"/>
    <w:rsid w:val="00047907"/>
    <w:rsid w:val="00047FBD"/>
    <w:rsid w:val="000514D3"/>
    <w:rsid w:val="0005181D"/>
    <w:rsid w:val="00056135"/>
    <w:rsid w:val="0005657C"/>
    <w:rsid w:val="0005725B"/>
    <w:rsid w:val="000574D6"/>
    <w:rsid w:val="00057609"/>
    <w:rsid w:val="00057D53"/>
    <w:rsid w:val="0006033B"/>
    <w:rsid w:val="000605DF"/>
    <w:rsid w:val="000622FA"/>
    <w:rsid w:val="0006261D"/>
    <w:rsid w:val="000632C7"/>
    <w:rsid w:val="000644AC"/>
    <w:rsid w:val="00064831"/>
    <w:rsid w:val="0007039C"/>
    <w:rsid w:val="000703D4"/>
    <w:rsid w:val="00070AFC"/>
    <w:rsid w:val="00070F83"/>
    <w:rsid w:val="00072545"/>
    <w:rsid w:val="000734A0"/>
    <w:rsid w:val="000735E3"/>
    <w:rsid w:val="00074502"/>
    <w:rsid w:val="00075064"/>
    <w:rsid w:val="00077A47"/>
    <w:rsid w:val="00077AA7"/>
    <w:rsid w:val="00077DE0"/>
    <w:rsid w:val="0008187E"/>
    <w:rsid w:val="0008212C"/>
    <w:rsid w:val="0008304D"/>
    <w:rsid w:val="0008404D"/>
    <w:rsid w:val="00086CC5"/>
    <w:rsid w:val="000915CB"/>
    <w:rsid w:val="00091646"/>
    <w:rsid w:val="0009199B"/>
    <w:rsid w:val="00091B4E"/>
    <w:rsid w:val="00093F64"/>
    <w:rsid w:val="00094043"/>
    <w:rsid w:val="0009404F"/>
    <w:rsid w:val="000940EF"/>
    <w:rsid w:val="000954D7"/>
    <w:rsid w:val="000961A0"/>
    <w:rsid w:val="000A08AD"/>
    <w:rsid w:val="000A0AAD"/>
    <w:rsid w:val="000A1335"/>
    <w:rsid w:val="000A138C"/>
    <w:rsid w:val="000A2592"/>
    <w:rsid w:val="000A336F"/>
    <w:rsid w:val="000A3716"/>
    <w:rsid w:val="000A4481"/>
    <w:rsid w:val="000A5A5D"/>
    <w:rsid w:val="000A7465"/>
    <w:rsid w:val="000A79AE"/>
    <w:rsid w:val="000A7AB8"/>
    <w:rsid w:val="000A7CB4"/>
    <w:rsid w:val="000B0CAE"/>
    <w:rsid w:val="000B26A4"/>
    <w:rsid w:val="000B2F80"/>
    <w:rsid w:val="000B4BE9"/>
    <w:rsid w:val="000B53BF"/>
    <w:rsid w:val="000B5654"/>
    <w:rsid w:val="000B6017"/>
    <w:rsid w:val="000B69F3"/>
    <w:rsid w:val="000B6CAD"/>
    <w:rsid w:val="000B70FB"/>
    <w:rsid w:val="000B7E72"/>
    <w:rsid w:val="000C1845"/>
    <w:rsid w:val="000C1955"/>
    <w:rsid w:val="000C1E8E"/>
    <w:rsid w:val="000C1F83"/>
    <w:rsid w:val="000C2B09"/>
    <w:rsid w:val="000C3E30"/>
    <w:rsid w:val="000C4BEC"/>
    <w:rsid w:val="000C5F3C"/>
    <w:rsid w:val="000C6FF9"/>
    <w:rsid w:val="000D0500"/>
    <w:rsid w:val="000D229D"/>
    <w:rsid w:val="000D328D"/>
    <w:rsid w:val="000D38A1"/>
    <w:rsid w:val="000D4E5D"/>
    <w:rsid w:val="000D5803"/>
    <w:rsid w:val="000D74A9"/>
    <w:rsid w:val="000D74C7"/>
    <w:rsid w:val="000D7B75"/>
    <w:rsid w:val="000E0988"/>
    <w:rsid w:val="000E0B4D"/>
    <w:rsid w:val="000E0C63"/>
    <w:rsid w:val="000E0CE2"/>
    <w:rsid w:val="000E1145"/>
    <w:rsid w:val="000E12C6"/>
    <w:rsid w:val="000E16B4"/>
    <w:rsid w:val="000E4560"/>
    <w:rsid w:val="000E49A3"/>
    <w:rsid w:val="000E4FC0"/>
    <w:rsid w:val="000F06E7"/>
    <w:rsid w:val="000F089C"/>
    <w:rsid w:val="000F1373"/>
    <w:rsid w:val="000F1971"/>
    <w:rsid w:val="000F244A"/>
    <w:rsid w:val="000F3A73"/>
    <w:rsid w:val="000F4130"/>
    <w:rsid w:val="000F42A7"/>
    <w:rsid w:val="000F4F0F"/>
    <w:rsid w:val="000F6EE9"/>
    <w:rsid w:val="000F75D4"/>
    <w:rsid w:val="000F7CEA"/>
    <w:rsid w:val="00100AA4"/>
    <w:rsid w:val="00101948"/>
    <w:rsid w:val="00102BC1"/>
    <w:rsid w:val="00102C2B"/>
    <w:rsid w:val="00102C4E"/>
    <w:rsid w:val="00102CE1"/>
    <w:rsid w:val="001043C5"/>
    <w:rsid w:val="001048C8"/>
    <w:rsid w:val="00104EE4"/>
    <w:rsid w:val="00105016"/>
    <w:rsid w:val="00105B1E"/>
    <w:rsid w:val="00112A6D"/>
    <w:rsid w:val="00112B45"/>
    <w:rsid w:val="00112FA9"/>
    <w:rsid w:val="001137AE"/>
    <w:rsid w:val="00113822"/>
    <w:rsid w:val="00114000"/>
    <w:rsid w:val="0011413D"/>
    <w:rsid w:val="00115D28"/>
    <w:rsid w:val="001179D6"/>
    <w:rsid w:val="00120C74"/>
    <w:rsid w:val="00121002"/>
    <w:rsid w:val="001211DD"/>
    <w:rsid w:val="00122072"/>
    <w:rsid w:val="0012325A"/>
    <w:rsid w:val="001233EC"/>
    <w:rsid w:val="001245FA"/>
    <w:rsid w:val="0012583C"/>
    <w:rsid w:val="00125E0C"/>
    <w:rsid w:val="00126C31"/>
    <w:rsid w:val="00126F16"/>
    <w:rsid w:val="001300E3"/>
    <w:rsid w:val="00130147"/>
    <w:rsid w:val="0013061A"/>
    <w:rsid w:val="00130E48"/>
    <w:rsid w:val="00130EED"/>
    <w:rsid w:val="001315B3"/>
    <w:rsid w:val="001327EE"/>
    <w:rsid w:val="00133E14"/>
    <w:rsid w:val="00134684"/>
    <w:rsid w:val="00134938"/>
    <w:rsid w:val="0013500B"/>
    <w:rsid w:val="00135C6A"/>
    <w:rsid w:val="00136721"/>
    <w:rsid w:val="00136938"/>
    <w:rsid w:val="00136D61"/>
    <w:rsid w:val="001378B1"/>
    <w:rsid w:val="00137FF7"/>
    <w:rsid w:val="0014160E"/>
    <w:rsid w:val="001420E2"/>
    <w:rsid w:val="00143513"/>
    <w:rsid w:val="00143C7F"/>
    <w:rsid w:val="00143CEC"/>
    <w:rsid w:val="00144726"/>
    <w:rsid w:val="001456A7"/>
    <w:rsid w:val="00146080"/>
    <w:rsid w:val="00146142"/>
    <w:rsid w:val="0014643E"/>
    <w:rsid w:val="001534B1"/>
    <w:rsid w:val="00155138"/>
    <w:rsid w:val="001568EA"/>
    <w:rsid w:val="001575E6"/>
    <w:rsid w:val="00161FC3"/>
    <w:rsid w:val="00162982"/>
    <w:rsid w:val="0016303C"/>
    <w:rsid w:val="001637D6"/>
    <w:rsid w:val="00164FDA"/>
    <w:rsid w:val="001652D0"/>
    <w:rsid w:val="001652E7"/>
    <w:rsid w:val="00165A33"/>
    <w:rsid w:val="00165BFF"/>
    <w:rsid w:val="0016762B"/>
    <w:rsid w:val="001677BD"/>
    <w:rsid w:val="00167C71"/>
    <w:rsid w:val="00167EA6"/>
    <w:rsid w:val="00170358"/>
    <w:rsid w:val="001711BD"/>
    <w:rsid w:val="00172BF1"/>
    <w:rsid w:val="00173E4B"/>
    <w:rsid w:val="00176971"/>
    <w:rsid w:val="00177F4D"/>
    <w:rsid w:val="001807AE"/>
    <w:rsid w:val="00180A58"/>
    <w:rsid w:val="00180D5A"/>
    <w:rsid w:val="00181B3D"/>
    <w:rsid w:val="00181E1B"/>
    <w:rsid w:val="001830EB"/>
    <w:rsid w:val="00183AA3"/>
    <w:rsid w:val="00183C90"/>
    <w:rsid w:val="00185F3E"/>
    <w:rsid w:val="001860D2"/>
    <w:rsid w:val="00186479"/>
    <w:rsid w:val="001868D3"/>
    <w:rsid w:val="00186DD9"/>
    <w:rsid w:val="00186EA9"/>
    <w:rsid w:val="00186F21"/>
    <w:rsid w:val="00187217"/>
    <w:rsid w:val="00187BC6"/>
    <w:rsid w:val="0019050E"/>
    <w:rsid w:val="0019055F"/>
    <w:rsid w:val="001925EE"/>
    <w:rsid w:val="001958D5"/>
    <w:rsid w:val="00196833"/>
    <w:rsid w:val="001A06C8"/>
    <w:rsid w:val="001A40A9"/>
    <w:rsid w:val="001B0760"/>
    <w:rsid w:val="001B1097"/>
    <w:rsid w:val="001B1186"/>
    <w:rsid w:val="001B1A55"/>
    <w:rsid w:val="001B2E05"/>
    <w:rsid w:val="001B4DBB"/>
    <w:rsid w:val="001B5520"/>
    <w:rsid w:val="001B5664"/>
    <w:rsid w:val="001B5A56"/>
    <w:rsid w:val="001B6100"/>
    <w:rsid w:val="001B6196"/>
    <w:rsid w:val="001B6530"/>
    <w:rsid w:val="001C0A95"/>
    <w:rsid w:val="001C0ABD"/>
    <w:rsid w:val="001C3A9E"/>
    <w:rsid w:val="001C73C4"/>
    <w:rsid w:val="001D3ADE"/>
    <w:rsid w:val="001D3F05"/>
    <w:rsid w:val="001D4A41"/>
    <w:rsid w:val="001D559A"/>
    <w:rsid w:val="001D5959"/>
    <w:rsid w:val="001D7BED"/>
    <w:rsid w:val="001E0F12"/>
    <w:rsid w:val="001E11EC"/>
    <w:rsid w:val="001E1386"/>
    <w:rsid w:val="001E3271"/>
    <w:rsid w:val="001E3289"/>
    <w:rsid w:val="001E3F69"/>
    <w:rsid w:val="001E420D"/>
    <w:rsid w:val="001E6BE3"/>
    <w:rsid w:val="001E719A"/>
    <w:rsid w:val="001E7A16"/>
    <w:rsid w:val="001F1A66"/>
    <w:rsid w:val="001F217C"/>
    <w:rsid w:val="001F3BED"/>
    <w:rsid w:val="001F464D"/>
    <w:rsid w:val="001F47B1"/>
    <w:rsid w:val="001F5CF5"/>
    <w:rsid w:val="001F7488"/>
    <w:rsid w:val="001F7677"/>
    <w:rsid w:val="001F7D1D"/>
    <w:rsid w:val="0020034D"/>
    <w:rsid w:val="002006C3"/>
    <w:rsid w:val="0020125E"/>
    <w:rsid w:val="00201528"/>
    <w:rsid w:val="00201E98"/>
    <w:rsid w:val="00201FD2"/>
    <w:rsid w:val="00202298"/>
    <w:rsid w:val="00205E08"/>
    <w:rsid w:val="00206925"/>
    <w:rsid w:val="00212A9D"/>
    <w:rsid w:val="00213495"/>
    <w:rsid w:val="002134B1"/>
    <w:rsid w:val="0021592E"/>
    <w:rsid w:val="00216DE2"/>
    <w:rsid w:val="00217A5B"/>
    <w:rsid w:val="002220C9"/>
    <w:rsid w:val="0022291D"/>
    <w:rsid w:val="00224336"/>
    <w:rsid w:val="002252FB"/>
    <w:rsid w:val="00226BC3"/>
    <w:rsid w:val="0022784D"/>
    <w:rsid w:val="00227C4B"/>
    <w:rsid w:val="00230539"/>
    <w:rsid w:val="002318C4"/>
    <w:rsid w:val="002327F3"/>
    <w:rsid w:val="0023405C"/>
    <w:rsid w:val="0023439F"/>
    <w:rsid w:val="00235686"/>
    <w:rsid w:val="0023570E"/>
    <w:rsid w:val="0023627D"/>
    <w:rsid w:val="0023643D"/>
    <w:rsid w:val="00236891"/>
    <w:rsid w:val="002377A5"/>
    <w:rsid w:val="00240445"/>
    <w:rsid w:val="00241330"/>
    <w:rsid w:val="002424C4"/>
    <w:rsid w:val="00242A12"/>
    <w:rsid w:val="00242FE9"/>
    <w:rsid w:val="002472AC"/>
    <w:rsid w:val="002476C7"/>
    <w:rsid w:val="002477AC"/>
    <w:rsid w:val="00247E51"/>
    <w:rsid w:val="0025079D"/>
    <w:rsid w:val="0025163A"/>
    <w:rsid w:val="00251D88"/>
    <w:rsid w:val="002532B5"/>
    <w:rsid w:val="002535F9"/>
    <w:rsid w:val="00253624"/>
    <w:rsid w:val="002536EA"/>
    <w:rsid w:val="00253AD8"/>
    <w:rsid w:val="00254FBE"/>
    <w:rsid w:val="00255F1E"/>
    <w:rsid w:val="0025644E"/>
    <w:rsid w:val="00256B34"/>
    <w:rsid w:val="00256DF9"/>
    <w:rsid w:val="00257E8F"/>
    <w:rsid w:val="00260327"/>
    <w:rsid w:val="0026092A"/>
    <w:rsid w:val="00260A1F"/>
    <w:rsid w:val="00260B57"/>
    <w:rsid w:val="00262270"/>
    <w:rsid w:val="00262E3D"/>
    <w:rsid w:val="00263B65"/>
    <w:rsid w:val="00264298"/>
    <w:rsid w:val="00264FB8"/>
    <w:rsid w:val="002650BB"/>
    <w:rsid w:val="002659E0"/>
    <w:rsid w:val="00265DE9"/>
    <w:rsid w:val="00267953"/>
    <w:rsid w:val="00267DAC"/>
    <w:rsid w:val="0027014A"/>
    <w:rsid w:val="00270502"/>
    <w:rsid w:val="002705BE"/>
    <w:rsid w:val="00270E0A"/>
    <w:rsid w:val="002721A4"/>
    <w:rsid w:val="00272200"/>
    <w:rsid w:val="002741C0"/>
    <w:rsid w:val="002747FC"/>
    <w:rsid w:val="00274E74"/>
    <w:rsid w:val="0027511E"/>
    <w:rsid w:val="00275D0C"/>
    <w:rsid w:val="00275D8D"/>
    <w:rsid w:val="002769F3"/>
    <w:rsid w:val="002772BB"/>
    <w:rsid w:val="002802D9"/>
    <w:rsid w:val="00281481"/>
    <w:rsid w:val="00282EA6"/>
    <w:rsid w:val="002831BD"/>
    <w:rsid w:val="00286870"/>
    <w:rsid w:val="0028701F"/>
    <w:rsid w:val="00287115"/>
    <w:rsid w:val="00287224"/>
    <w:rsid w:val="00287595"/>
    <w:rsid w:val="00287D6F"/>
    <w:rsid w:val="00287F06"/>
    <w:rsid w:val="002919B8"/>
    <w:rsid w:val="00291C98"/>
    <w:rsid w:val="002929E2"/>
    <w:rsid w:val="00294163"/>
    <w:rsid w:val="00294BC2"/>
    <w:rsid w:val="002956A4"/>
    <w:rsid w:val="0029580F"/>
    <w:rsid w:val="00295BB3"/>
    <w:rsid w:val="00295FCF"/>
    <w:rsid w:val="0029718A"/>
    <w:rsid w:val="002A0053"/>
    <w:rsid w:val="002A06EE"/>
    <w:rsid w:val="002A1DFF"/>
    <w:rsid w:val="002A3784"/>
    <w:rsid w:val="002A387D"/>
    <w:rsid w:val="002A392C"/>
    <w:rsid w:val="002A3B3B"/>
    <w:rsid w:val="002A41F5"/>
    <w:rsid w:val="002A491B"/>
    <w:rsid w:val="002A631B"/>
    <w:rsid w:val="002A6569"/>
    <w:rsid w:val="002A6B88"/>
    <w:rsid w:val="002B0287"/>
    <w:rsid w:val="002B03BF"/>
    <w:rsid w:val="002B0748"/>
    <w:rsid w:val="002B0C7F"/>
    <w:rsid w:val="002B20EB"/>
    <w:rsid w:val="002B20F5"/>
    <w:rsid w:val="002B26A6"/>
    <w:rsid w:val="002B296B"/>
    <w:rsid w:val="002B3377"/>
    <w:rsid w:val="002B3DC8"/>
    <w:rsid w:val="002B4C7A"/>
    <w:rsid w:val="002B4E89"/>
    <w:rsid w:val="002B71CE"/>
    <w:rsid w:val="002B79E1"/>
    <w:rsid w:val="002C0268"/>
    <w:rsid w:val="002C0314"/>
    <w:rsid w:val="002C0FDD"/>
    <w:rsid w:val="002C2599"/>
    <w:rsid w:val="002C3302"/>
    <w:rsid w:val="002C3FF4"/>
    <w:rsid w:val="002C4954"/>
    <w:rsid w:val="002C4B38"/>
    <w:rsid w:val="002C693A"/>
    <w:rsid w:val="002C7FDD"/>
    <w:rsid w:val="002D0198"/>
    <w:rsid w:val="002D0CF0"/>
    <w:rsid w:val="002D0FE7"/>
    <w:rsid w:val="002D2C6A"/>
    <w:rsid w:val="002D2F07"/>
    <w:rsid w:val="002D3898"/>
    <w:rsid w:val="002D472A"/>
    <w:rsid w:val="002D5F2E"/>
    <w:rsid w:val="002D79DF"/>
    <w:rsid w:val="002D7B12"/>
    <w:rsid w:val="002E0402"/>
    <w:rsid w:val="002E1313"/>
    <w:rsid w:val="002E1ED7"/>
    <w:rsid w:val="002E2936"/>
    <w:rsid w:val="002E2ACE"/>
    <w:rsid w:val="002E2F9B"/>
    <w:rsid w:val="002E35F2"/>
    <w:rsid w:val="002E3C52"/>
    <w:rsid w:val="002E52AC"/>
    <w:rsid w:val="002E5677"/>
    <w:rsid w:val="002E6112"/>
    <w:rsid w:val="002E6FA2"/>
    <w:rsid w:val="002E7036"/>
    <w:rsid w:val="002E71AD"/>
    <w:rsid w:val="002E7493"/>
    <w:rsid w:val="002E7DCC"/>
    <w:rsid w:val="002F03AC"/>
    <w:rsid w:val="002F1DDE"/>
    <w:rsid w:val="002F2A35"/>
    <w:rsid w:val="002F3315"/>
    <w:rsid w:val="002F393F"/>
    <w:rsid w:val="002F5DCA"/>
    <w:rsid w:val="002F60F4"/>
    <w:rsid w:val="002F6E5D"/>
    <w:rsid w:val="002F7B6E"/>
    <w:rsid w:val="0030159E"/>
    <w:rsid w:val="00301DEC"/>
    <w:rsid w:val="00302812"/>
    <w:rsid w:val="00302990"/>
    <w:rsid w:val="00303F7B"/>
    <w:rsid w:val="00304068"/>
    <w:rsid w:val="003040B8"/>
    <w:rsid w:val="00304394"/>
    <w:rsid w:val="00304926"/>
    <w:rsid w:val="00304DEC"/>
    <w:rsid w:val="00305A9B"/>
    <w:rsid w:val="003064EE"/>
    <w:rsid w:val="003074F0"/>
    <w:rsid w:val="00307880"/>
    <w:rsid w:val="00310AAA"/>
    <w:rsid w:val="00312801"/>
    <w:rsid w:val="003132F4"/>
    <w:rsid w:val="00313FED"/>
    <w:rsid w:val="00316B3D"/>
    <w:rsid w:val="00316B43"/>
    <w:rsid w:val="003211F9"/>
    <w:rsid w:val="003220F8"/>
    <w:rsid w:val="00324155"/>
    <w:rsid w:val="0032435C"/>
    <w:rsid w:val="00324F63"/>
    <w:rsid w:val="00325E94"/>
    <w:rsid w:val="003262F7"/>
    <w:rsid w:val="00326B0E"/>
    <w:rsid w:val="00327312"/>
    <w:rsid w:val="0032746C"/>
    <w:rsid w:val="00327BF1"/>
    <w:rsid w:val="00327EB6"/>
    <w:rsid w:val="003305FD"/>
    <w:rsid w:val="00330E54"/>
    <w:rsid w:val="003312FD"/>
    <w:rsid w:val="003320A3"/>
    <w:rsid w:val="003345B2"/>
    <w:rsid w:val="003345BF"/>
    <w:rsid w:val="00334DC8"/>
    <w:rsid w:val="00335792"/>
    <w:rsid w:val="0033623A"/>
    <w:rsid w:val="003403F2"/>
    <w:rsid w:val="00340722"/>
    <w:rsid w:val="00340A59"/>
    <w:rsid w:val="0034104E"/>
    <w:rsid w:val="00341071"/>
    <w:rsid w:val="00341FCA"/>
    <w:rsid w:val="003421E1"/>
    <w:rsid w:val="00343A1E"/>
    <w:rsid w:val="00344313"/>
    <w:rsid w:val="00344C71"/>
    <w:rsid w:val="00345018"/>
    <w:rsid w:val="00350225"/>
    <w:rsid w:val="00350F72"/>
    <w:rsid w:val="003510CD"/>
    <w:rsid w:val="003523DB"/>
    <w:rsid w:val="00352B00"/>
    <w:rsid w:val="00352E0A"/>
    <w:rsid w:val="00352E88"/>
    <w:rsid w:val="00352F83"/>
    <w:rsid w:val="00355897"/>
    <w:rsid w:val="0035756F"/>
    <w:rsid w:val="00357799"/>
    <w:rsid w:val="00357D4D"/>
    <w:rsid w:val="00360B11"/>
    <w:rsid w:val="0036180B"/>
    <w:rsid w:val="00361B06"/>
    <w:rsid w:val="00362892"/>
    <w:rsid w:val="00364E16"/>
    <w:rsid w:val="00365C9D"/>
    <w:rsid w:val="003672F6"/>
    <w:rsid w:val="0037114D"/>
    <w:rsid w:val="00371C1F"/>
    <w:rsid w:val="00371EC5"/>
    <w:rsid w:val="00372AC1"/>
    <w:rsid w:val="00372C55"/>
    <w:rsid w:val="0037540E"/>
    <w:rsid w:val="00375651"/>
    <w:rsid w:val="003768B7"/>
    <w:rsid w:val="00380A0A"/>
    <w:rsid w:val="00380A72"/>
    <w:rsid w:val="00380BD0"/>
    <w:rsid w:val="00381084"/>
    <w:rsid w:val="00381396"/>
    <w:rsid w:val="00382320"/>
    <w:rsid w:val="00382DE6"/>
    <w:rsid w:val="00383860"/>
    <w:rsid w:val="003852EE"/>
    <w:rsid w:val="003869BB"/>
    <w:rsid w:val="00386B81"/>
    <w:rsid w:val="00386FE9"/>
    <w:rsid w:val="00387CEB"/>
    <w:rsid w:val="00392C39"/>
    <w:rsid w:val="0039391F"/>
    <w:rsid w:val="00394EAD"/>
    <w:rsid w:val="003956E2"/>
    <w:rsid w:val="003959B7"/>
    <w:rsid w:val="003A0F6F"/>
    <w:rsid w:val="003A10BA"/>
    <w:rsid w:val="003A1D4F"/>
    <w:rsid w:val="003A2AC8"/>
    <w:rsid w:val="003A2BDD"/>
    <w:rsid w:val="003A5085"/>
    <w:rsid w:val="003A59A1"/>
    <w:rsid w:val="003A7C72"/>
    <w:rsid w:val="003B061D"/>
    <w:rsid w:val="003B0CAE"/>
    <w:rsid w:val="003B1045"/>
    <w:rsid w:val="003B1329"/>
    <w:rsid w:val="003B296A"/>
    <w:rsid w:val="003B2B19"/>
    <w:rsid w:val="003B5074"/>
    <w:rsid w:val="003C21B0"/>
    <w:rsid w:val="003C3239"/>
    <w:rsid w:val="003C3559"/>
    <w:rsid w:val="003C3AB9"/>
    <w:rsid w:val="003C41CA"/>
    <w:rsid w:val="003C44FF"/>
    <w:rsid w:val="003C46C5"/>
    <w:rsid w:val="003C5991"/>
    <w:rsid w:val="003C7775"/>
    <w:rsid w:val="003C7BA4"/>
    <w:rsid w:val="003D21EC"/>
    <w:rsid w:val="003D239B"/>
    <w:rsid w:val="003D3189"/>
    <w:rsid w:val="003D32DF"/>
    <w:rsid w:val="003D4356"/>
    <w:rsid w:val="003D4A67"/>
    <w:rsid w:val="003D4C96"/>
    <w:rsid w:val="003D550D"/>
    <w:rsid w:val="003D6059"/>
    <w:rsid w:val="003D64ED"/>
    <w:rsid w:val="003D697B"/>
    <w:rsid w:val="003D796B"/>
    <w:rsid w:val="003D7AA1"/>
    <w:rsid w:val="003D7DA3"/>
    <w:rsid w:val="003E0342"/>
    <w:rsid w:val="003E0944"/>
    <w:rsid w:val="003E304A"/>
    <w:rsid w:val="003E3241"/>
    <w:rsid w:val="003E32CE"/>
    <w:rsid w:val="003E3C8C"/>
    <w:rsid w:val="003E3E5B"/>
    <w:rsid w:val="003E5374"/>
    <w:rsid w:val="003E5399"/>
    <w:rsid w:val="003E656D"/>
    <w:rsid w:val="003E6A6D"/>
    <w:rsid w:val="003E72F8"/>
    <w:rsid w:val="003E751C"/>
    <w:rsid w:val="003E7C47"/>
    <w:rsid w:val="003E7C8B"/>
    <w:rsid w:val="003F0545"/>
    <w:rsid w:val="003F0CC8"/>
    <w:rsid w:val="003F0ECB"/>
    <w:rsid w:val="003F13CE"/>
    <w:rsid w:val="003F1F97"/>
    <w:rsid w:val="003F2DC6"/>
    <w:rsid w:val="003F2E32"/>
    <w:rsid w:val="003F2E84"/>
    <w:rsid w:val="003F4C4F"/>
    <w:rsid w:val="003F5CEC"/>
    <w:rsid w:val="003F6E1F"/>
    <w:rsid w:val="003F6FE1"/>
    <w:rsid w:val="003F796E"/>
    <w:rsid w:val="00400189"/>
    <w:rsid w:val="00401350"/>
    <w:rsid w:val="0040468F"/>
    <w:rsid w:val="00404B8F"/>
    <w:rsid w:val="0040624F"/>
    <w:rsid w:val="004066DD"/>
    <w:rsid w:val="004071DF"/>
    <w:rsid w:val="00410630"/>
    <w:rsid w:val="00411525"/>
    <w:rsid w:val="0041190F"/>
    <w:rsid w:val="00411D20"/>
    <w:rsid w:val="004127EB"/>
    <w:rsid w:val="00412E17"/>
    <w:rsid w:val="00413639"/>
    <w:rsid w:val="004138C9"/>
    <w:rsid w:val="00414650"/>
    <w:rsid w:val="00414F32"/>
    <w:rsid w:val="004152B5"/>
    <w:rsid w:val="00415879"/>
    <w:rsid w:val="004162F7"/>
    <w:rsid w:val="00421081"/>
    <w:rsid w:val="004213DA"/>
    <w:rsid w:val="00421704"/>
    <w:rsid w:val="0042225A"/>
    <w:rsid w:val="00423BFE"/>
    <w:rsid w:val="0042410A"/>
    <w:rsid w:val="004241C1"/>
    <w:rsid w:val="00426367"/>
    <w:rsid w:val="004264B0"/>
    <w:rsid w:val="00431986"/>
    <w:rsid w:val="0043513B"/>
    <w:rsid w:val="0043531D"/>
    <w:rsid w:val="004368D3"/>
    <w:rsid w:val="004400EC"/>
    <w:rsid w:val="004418A4"/>
    <w:rsid w:val="00441EE6"/>
    <w:rsid w:val="004422D7"/>
    <w:rsid w:val="00443125"/>
    <w:rsid w:val="00443E57"/>
    <w:rsid w:val="00444FF6"/>
    <w:rsid w:val="00446B29"/>
    <w:rsid w:val="00446D8E"/>
    <w:rsid w:val="00451A3E"/>
    <w:rsid w:val="004528B5"/>
    <w:rsid w:val="00453AAA"/>
    <w:rsid w:val="0045405C"/>
    <w:rsid w:val="00454755"/>
    <w:rsid w:val="00455F95"/>
    <w:rsid w:val="00460F42"/>
    <w:rsid w:val="00462674"/>
    <w:rsid w:val="00462E33"/>
    <w:rsid w:val="004630AC"/>
    <w:rsid w:val="00463497"/>
    <w:rsid w:val="004645B1"/>
    <w:rsid w:val="0047001B"/>
    <w:rsid w:val="004714F6"/>
    <w:rsid w:val="00471719"/>
    <w:rsid w:val="00471C63"/>
    <w:rsid w:val="0047239D"/>
    <w:rsid w:val="00472594"/>
    <w:rsid w:val="00472B84"/>
    <w:rsid w:val="00473606"/>
    <w:rsid w:val="00474BCB"/>
    <w:rsid w:val="004755F3"/>
    <w:rsid w:val="00480BA4"/>
    <w:rsid w:val="00480BA7"/>
    <w:rsid w:val="004812E5"/>
    <w:rsid w:val="004814AF"/>
    <w:rsid w:val="004821CD"/>
    <w:rsid w:val="00482D3B"/>
    <w:rsid w:val="00485FA7"/>
    <w:rsid w:val="004863C5"/>
    <w:rsid w:val="00487772"/>
    <w:rsid w:val="0048782A"/>
    <w:rsid w:val="004878D0"/>
    <w:rsid w:val="00490F7F"/>
    <w:rsid w:val="00491265"/>
    <w:rsid w:val="0049167E"/>
    <w:rsid w:val="00493521"/>
    <w:rsid w:val="00493E88"/>
    <w:rsid w:val="00493ED1"/>
    <w:rsid w:val="004940E4"/>
    <w:rsid w:val="00494A29"/>
    <w:rsid w:val="004954BC"/>
    <w:rsid w:val="00495644"/>
    <w:rsid w:val="004956DC"/>
    <w:rsid w:val="00495CB6"/>
    <w:rsid w:val="004975EA"/>
    <w:rsid w:val="0049773B"/>
    <w:rsid w:val="004A1B0B"/>
    <w:rsid w:val="004A212E"/>
    <w:rsid w:val="004A42F3"/>
    <w:rsid w:val="004A5115"/>
    <w:rsid w:val="004A65FC"/>
    <w:rsid w:val="004A77A9"/>
    <w:rsid w:val="004A7B22"/>
    <w:rsid w:val="004A7D66"/>
    <w:rsid w:val="004A7D73"/>
    <w:rsid w:val="004B1A33"/>
    <w:rsid w:val="004B3653"/>
    <w:rsid w:val="004B3A13"/>
    <w:rsid w:val="004B3D68"/>
    <w:rsid w:val="004B492B"/>
    <w:rsid w:val="004B61A0"/>
    <w:rsid w:val="004B6752"/>
    <w:rsid w:val="004C0262"/>
    <w:rsid w:val="004C0347"/>
    <w:rsid w:val="004C0509"/>
    <w:rsid w:val="004C12AB"/>
    <w:rsid w:val="004C1933"/>
    <w:rsid w:val="004C1AEB"/>
    <w:rsid w:val="004C2AB7"/>
    <w:rsid w:val="004C4514"/>
    <w:rsid w:val="004C5F28"/>
    <w:rsid w:val="004C647A"/>
    <w:rsid w:val="004C6EA7"/>
    <w:rsid w:val="004D0E71"/>
    <w:rsid w:val="004D0F4A"/>
    <w:rsid w:val="004D31A8"/>
    <w:rsid w:val="004D5E75"/>
    <w:rsid w:val="004D6720"/>
    <w:rsid w:val="004E0983"/>
    <w:rsid w:val="004E0CA2"/>
    <w:rsid w:val="004E19FB"/>
    <w:rsid w:val="004E4722"/>
    <w:rsid w:val="004E4740"/>
    <w:rsid w:val="004E4855"/>
    <w:rsid w:val="004E502C"/>
    <w:rsid w:val="004E50FD"/>
    <w:rsid w:val="004E52B8"/>
    <w:rsid w:val="004E66E0"/>
    <w:rsid w:val="004E7086"/>
    <w:rsid w:val="004E7187"/>
    <w:rsid w:val="004E71E0"/>
    <w:rsid w:val="004F03AA"/>
    <w:rsid w:val="004F074D"/>
    <w:rsid w:val="004F136A"/>
    <w:rsid w:val="004F16B5"/>
    <w:rsid w:val="004F19C7"/>
    <w:rsid w:val="004F27B2"/>
    <w:rsid w:val="004F32B8"/>
    <w:rsid w:val="004F39F4"/>
    <w:rsid w:val="004F3BBF"/>
    <w:rsid w:val="004F3FE9"/>
    <w:rsid w:val="004F589E"/>
    <w:rsid w:val="004F5A5E"/>
    <w:rsid w:val="004F5D85"/>
    <w:rsid w:val="004F6210"/>
    <w:rsid w:val="004F6455"/>
    <w:rsid w:val="004F72D1"/>
    <w:rsid w:val="00501220"/>
    <w:rsid w:val="005028EB"/>
    <w:rsid w:val="00502A99"/>
    <w:rsid w:val="00503107"/>
    <w:rsid w:val="005037FC"/>
    <w:rsid w:val="0050389B"/>
    <w:rsid w:val="00503C44"/>
    <w:rsid w:val="00503EC4"/>
    <w:rsid w:val="005059F3"/>
    <w:rsid w:val="0050654E"/>
    <w:rsid w:val="005068C2"/>
    <w:rsid w:val="005070D6"/>
    <w:rsid w:val="00507286"/>
    <w:rsid w:val="00507C40"/>
    <w:rsid w:val="0051007E"/>
    <w:rsid w:val="005108B0"/>
    <w:rsid w:val="00512402"/>
    <w:rsid w:val="00513752"/>
    <w:rsid w:val="00513FCD"/>
    <w:rsid w:val="00515211"/>
    <w:rsid w:val="00515B67"/>
    <w:rsid w:val="005161F4"/>
    <w:rsid w:val="00516AB0"/>
    <w:rsid w:val="00516CD3"/>
    <w:rsid w:val="00516E5D"/>
    <w:rsid w:val="005200AA"/>
    <w:rsid w:val="00520E64"/>
    <w:rsid w:val="00523259"/>
    <w:rsid w:val="00523CB1"/>
    <w:rsid w:val="00523EFE"/>
    <w:rsid w:val="00524455"/>
    <w:rsid w:val="00526528"/>
    <w:rsid w:val="00527257"/>
    <w:rsid w:val="00527772"/>
    <w:rsid w:val="00527E54"/>
    <w:rsid w:val="005307E9"/>
    <w:rsid w:val="005317A9"/>
    <w:rsid w:val="00531A54"/>
    <w:rsid w:val="00531E29"/>
    <w:rsid w:val="00532030"/>
    <w:rsid w:val="00532D34"/>
    <w:rsid w:val="00533126"/>
    <w:rsid w:val="005344D3"/>
    <w:rsid w:val="0053451D"/>
    <w:rsid w:val="00535604"/>
    <w:rsid w:val="005359DE"/>
    <w:rsid w:val="00535FBB"/>
    <w:rsid w:val="00535FFF"/>
    <w:rsid w:val="0053776A"/>
    <w:rsid w:val="00537FFA"/>
    <w:rsid w:val="005407D0"/>
    <w:rsid w:val="005408CE"/>
    <w:rsid w:val="005423BE"/>
    <w:rsid w:val="00542A2F"/>
    <w:rsid w:val="00543438"/>
    <w:rsid w:val="0054455B"/>
    <w:rsid w:val="00544673"/>
    <w:rsid w:val="005446A1"/>
    <w:rsid w:val="005450A2"/>
    <w:rsid w:val="005455AE"/>
    <w:rsid w:val="00546842"/>
    <w:rsid w:val="00546D97"/>
    <w:rsid w:val="005479AE"/>
    <w:rsid w:val="0055026A"/>
    <w:rsid w:val="00550B94"/>
    <w:rsid w:val="005515BD"/>
    <w:rsid w:val="00553270"/>
    <w:rsid w:val="00553E5F"/>
    <w:rsid w:val="00554C5F"/>
    <w:rsid w:val="00554D2D"/>
    <w:rsid w:val="00555D9E"/>
    <w:rsid w:val="00556189"/>
    <w:rsid w:val="005566EF"/>
    <w:rsid w:val="00556711"/>
    <w:rsid w:val="005567C4"/>
    <w:rsid w:val="00560CCB"/>
    <w:rsid w:val="005627CC"/>
    <w:rsid w:val="00562999"/>
    <w:rsid w:val="00562E08"/>
    <w:rsid w:val="00563449"/>
    <w:rsid w:val="00563A57"/>
    <w:rsid w:val="00566953"/>
    <w:rsid w:val="005674E9"/>
    <w:rsid w:val="0057046B"/>
    <w:rsid w:val="00571028"/>
    <w:rsid w:val="00571BCB"/>
    <w:rsid w:val="00572736"/>
    <w:rsid w:val="005734F9"/>
    <w:rsid w:val="00573BFA"/>
    <w:rsid w:val="0057532D"/>
    <w:rsid w:val="00576BE9"/>
    <w:rsid w:val="00582882"/>
    <w:rsid w:val="005837F7"/>
    <w:rsid w:val="00584031"/>
    <w:rsid w:val="00585961"/>
    <w:rsid w:val="005859D4"/>
    <w:rsid w:val="005864F3"/>
    <w:rsid w:val="00586D55"/>
    <w:rsid w:val="00587B3A"/>
    <w:rsid w:val="00587BF7"/>
    <w:rsid w:val="00590282"/>
    <w:rsid w:val="005906A5"/>
    <w:rsid w:val="00593464"/>
    <w:rsid w:val="005956CA"/>
    <w:rsid w:val="005963B8"/>
    <w:rsid w:val="00596B06"/>
    <w:rsid w:val="00596B46"/>
    <w:rsid w:val="00597672"/>
    <w:rsid w:val="00597FB8"/>
    <w:rsid w:val="005A2452"/>
    <w:rsid w:val="005A3046"/>
    <w:rsid w:val="005A31BC"/>
    <w:rsid w:val="005A6C0D"/>
    <w:rsid w:val="005A76FD"/>
    <w:rsid w:val="005B08F1"/>
    <w:rsid w:val="005B0AFA"/>
    <w:rsid w:val="005B0DA6"/>
    <w:rsid w:val="005B0E27"/>
    <w:rsid w:val="005B16CE"/>
    <w:rsid w:val="005B3A13"/>
    <w:rsid w:val="005B3FC7"/>
    <w:rsid w:val="005B4039"/>
    <w:rsid w:val="005B4273"/>
    <w:rsid w:val="005B4D40"/>
    <w:rsid w:val="005B7AB8"/>
    <w:rsid w:val="005B7B38"/>
    <w:rsid w:val="005C07DE"/>
    <w:rsid w:val="005C40BB"/>
    <w:rsid w:val="005C4A19"/>
    <w:rsid w:val="005C6A84"/>
    <w:rsid w:val="005C6DEB"/>
    <w:rsid w:val="005C73C3"/>
    <w:rsid w:val="005C7EF3"/>
    <w:rsid w:val="005D2637"/>
    <w:rsid w:val="005D2788"/>
    <w:rsid w:val="005D2D59"/>
    <w:rsid w:val="005D32CF"/>
    <w:rsid w:val="005D4577"/>
    <w:rsid w:val="005D4718"/>
    <w:rsid w:val="005D5416"/>
    <w:rsid w:val="005D61FB"/>
    <w:rsid w:val="005D6F8D"/>
    <w:rsid w:val="005D7AC0"/>
    <w:rsid w:val="005D7C70"/>
    <w:rsid w:val="005E014A"/>
    <w:rsid w:val="005E0177"/>
    <w:rsid w:val="005E0D67"/>
    <w:rsid w:val="005E1D1D"/>
    <w:rsid w:val="005E2885"/>
    <w:rsid w:val="005E2EDE"/>
    <w:rsid w:val="005E38F8"/>
    <w:rsid w:val="005E3F3B"/>
    <w:rsid w:val="005E4C60"/>
    <w:rsid w:val="005E4E8E"/>
    <w:rsid w:val="005E5DAA"/>
    <w:rsid w:val="005E7A34"/>
    <w:rsid w:val="005E7C6C"/>
    <w:rsid w:val="005F0175"/>
    <w:rsid w:val="005F097E"/>
    <w:rsid w:val="005F09DC"/>
    <w:rsid w:val="005F1FF3"/>
    <w:rsid w:val="005F48F7"/>
    <w:rsid w:val="005F49FB"/>
    <w:rsid w:val="005F6917"/>
    <w:rsid w:val="005F7611"/>
    <w:rsid w:val="0060094F"/>
    <w:rsid w:val="00601348"/>
    <w:rsid w:val="00603D7A"/>
    <w:rsid w:val="0060481D"/>
    <w:rsid w:val="0060596F"/>
    <w:rsid w:val="00607415"/>
    <w:rsid w:val="00607BC8"/>
    <w:rsid w:val="0061193D"/>
    <w:rsid w:val="00611B71"/>
    <w:rsid w:val="0061260C"/>
    <w:rsid w:val="0061277F"/>
    <w:rsid w:val="00613217"/>
    <w:rsid w:val="00614438"/>
    <w:rsid w:val="00614CEC"/>
    <w:rsid w:val="00615C30"/>
    <w:rsid w:val="0061632D"/>
    <w:rsid w:val="00616C93"/>
    <w:rsid w:val="00617A00"/>
    <w:rsid w:val="0062055A"/>
    <w:rsid w:val="00620E6A"/>
    <w:rsid w:val="00621D3B"/>
    <w:rsid w:val="00621F8C"/>
    <w:rsid w:val="006228A7"/>
    <w:rsid w:val="00623A29"/>
    <w:rsid w:val="00625274"/>
    <w:rsid w:val="006255EC"/>
    <w:rsid w:val="00625E47"/>
    <w:rsid w:val="00630493"/>
    <w:rsid w:val="00631105"/>
    <w:rsid w:val="006312E5"/>
    <w:rsid w:val="00631EE8"/>
    <w:rsid w:val="006333E5"/>
    <w:rsid w:val="00634360"/>
    <w:rsid w:val="00634434"/>
    <w:rsid w:val="00635136"/>
    <w:rsid w:val="00635D57"/>
    <w:rsid w:val="006362D1"/>
    <w:rsid w:val="006377FF"/>
    <w:rsid w:val="00640664"/>
    <w:rsid w:val="00640875"/>
    <w:rsid w:val="006422C4"/>
    <w:rsid w:val="00643924"/>
    <w:rsid w:val="0064394A"/>
    <w:rsid w:val="00643BB3"/>
    <w:rsid w:val="00643FE3"/>
    <w:rsid w:val="00645D76"/>
    <w:rsid w:val="00646414"/>
    <w:rsid w:val="00646C8A"/>
    <w:rsid w:val="00647AD1"/>
    <w:rsid w:val="00647BAD"/>
    <w:rsid w:val="00647FC2"/>
    <w:rsid w:val="0065377A"/>
    <w:rsid w:val="00653948"/>
    <w:rsid w:val="00653A42"/>
    <w:rsid w:val="00655279"/>
    <w:rsid w:val="0065567A"/>
    <w:rsid w:val="006558A4"/>
    <w:rsid w:val="0065659D"/>
    <w:rsid w:val="00656C82"/>
    <w:rsid w:val="0065718C"/>
    <w:rsid w:val="006630F4"/>
    <w:rsid w:val="006633B6"/>
    <w:rsid w:val="00663C63"/>
    <w:rsid w:val="006653CC"/>
    <w:rsid w:val="00665C22"/>
    <w:rsid w:val="00665E1B"/>
    <w:rsid w:val="0066663B"/>
    <w:rsid w:val="006670E8"/>
    <w:rsid w:val="0066733F"/>
    <w:rsid w:val="00671A2E"/>
    <w:rsid w:val="006736DF"/>
    <w:rsid w:val="006753A2"/>
    <w:rsid w:val="00677164"/>
    <w:rsid w:val="00680019"/>
    <w:rsid w:val="0068080C"/>
    <w:rsid w:val="00680CB2"/>
    <w:rsid w:val="00681FAD"/>
    <w:rsid w:val="006823D7"/>
    <w:rsid w:val="006833F0"/>
    <w:rsid w:val="00683BD3"/>
    <w:rsid w:val="0068401F"/>
    <w:rsid w:val="00684535"/>
    <w:rsid w:val="00684928"/>
    <w:rsid w:val="00684E0D"/>
    <w:rsid w:val="0068519F"/>
    <w:rsid w:val="00685B19"/>
    <w:rsid w:val="00685CDA"/>
    <w:rsid w:val="00686A19"/>
    <w:rsid w:val="00687080"/>
    <w:rsid w:val="006872C9"/>
    <w:rsid w:val="00687A80"/>
    <w:rsid w:val="00687BA6"/>
    <w:rsid w:val="00690252"/>
    <w:rsid w:val="00690323"/>
    <w:rsid w:val="00690854"/>
    <w:rsid w:val="00690AD2"/>
    <w:rsid w:val="0069299D"/>
    <w:rsid w:val="006934A5"/>
    <w:rsid w:val="00693CF7"/>
    <w:rsid w:val="00693E64"/>
    <w:rsid w:val="006946C1"/>
    <w:rsid w:val="00694803"/>
    <w:rsid w:val="00694FBF"/>
    <w:rsid w:val="0069563A"/>
    <w:rsid w:val="00695820"/>
    <w:rsid w:val="00695D5C"/>
    <w:rsid w:val="00696006"/>
    <w:rsid w:val="006967F0"/>
    <w:rsid w:val="006A0179"/>
    <w:rsid w:val="006A074E"/>
    <w:rsid w:val="006A2011"/>
    <w:rsid w:val="006A414C"/>
    <w:rsid w:val="006A41EE"/>
    <w:rsid w:val="006A4986"/>
    <w:rsid w:val="006A4D0A"/>
    <w:rsid w:val="006A5237"/>
    <w:rsid w:val="006B1159"/>
    <w:rsid w:val="006B18D0"/>
    <w:rsid w:val="006B2004"/>
    <w:rsid w:val="006B2BFB"/>
    <w:rsid w:val="006B30C4"/>
    <w:rsid w:val="006B373E"/>
    <w:rsid w:val="006B584F"/>
    <w:rsid w:val="006B6993"/>
    <w:rsid w:val="006C022A"/>
    <w:rsid w:val="006C2853"/>
    <w:rsid w:val="006C410E"/>
    <w:rsid w:val="006C64C4"/>
    <w:rsid w:val="006C6B59"/>
    <w:rsid w:val="006C70A9"/>
    <w:rsid w:val="006D0FD0"/>
    <w:rsid w:val="006D1AFD"/>
    <w:rsid w:val="006D1FF6"/>
    <w:rsid w:val="006D3509"/>
    <w:rsid w:val="006D396C"/>
    <w:rsid w:val="006D4147"/>
    <w:rsid w:val="006D4550"/>
    <w:rsid w:val="006D4595"/>
    <w:rsid w:val="006D58DB"/>
    <w:rsid w:val="006D5A5F"/>
    <w:rsid w:val="006E0482"/>
    <w:rsid w:val="006E202D"/>
    <w:rsid w:val="006E21D9"/>
    <w:rsid w:val="006E3612"/>
    <w:rsid w:val="006E4242"/>
    <w:rsid w:val="006E4BA9"/>
    <w:rsid w:val="006E4F36"/>
    <w:rsid w:val="006E54B2"/>
    <w:rsid w:val="006E59AD"/>
    <w:rsid w:val="006E6F88"/>
    <w:rsid w:val="006F0A50"/>
    <w:rsid w:val="006F1A9A"/>
    <w:rsid w:val="006F3D5C"/>
    <w:rsid w:val="006F4100"/>
    <w:rsid w:val="006F58ED"/>
    <w:rsid w:val="006F5D8F"/>
    <w:rsid w:val="006F7CB6"/>
    <w:rsid w:val="00700F76"/>
    <w:rsid w:val="00701385"/>
    <w:rsid w:val="00701F16"/>
    <w:rsid w:val="00702A6F"/>
    <w:rsid w:val="00702B49"/>
    <w:rsid w:val="007035A8"/>
    <w:rsid w:val="00703FA2"/>
    <w:rsid w:val="0070414F"/>
    <w:rsid w:val="007047B3"/>
    <w:rsid w:val="00705954"/>
    <w:rsid w:val="00706580"/>
    <w:rsid w:val="00706977"/>
    <w:rsid w:val="007076A6"/>
    <w:rsid w:val="00707ACA"/>
    <w:rsid w:val="00707E2B"/>
    <w:rsid w:val="00713D50"/>
    <w:rsid w:val="00714116"/>
    <w:rsid w:val="00717224"/>
    <w:rsid w:val="00717A86"/>
    <w:rsid w:val="007201BC"/>
    <w:rsid w:val="00720573"/>
    <w:rsid w:val="0072075A"/>
    <w:rsid w:val="00720B93"/>
    <w:rsid w:val="00723388"/>
    <w:rsid w:val="00723BEA"/>
    <w:rsid w:val="00723C42"/>
    <w:rsid w:val="007242C3"/>
    <w:rsid w:val="00726DBA"/>
    <w:rsid w:val="00727DD6"/>
    <w:rsid w:val="00731463"/>
    <w:rsid w:val="00731E77"/>
    <w:rsid w:val="00732DC4"/>
    <w:rsid w:val="007345C1"/>
    <w:rsid w:val="0073485B"/>
    <w:rsid w:val="007362FD"/>
    <w:rsid w:val="007368A0"/>
    <w:rsid w:val="00736CBE"/>
    <w:rsid w:val="00736ED9"/>
    <w:rsid w:val="00737029"/>
    <w:rsid w:val="00740585"/>
    <w:rsid w:val="00741BD1"/>
    <w:rsid w:val="007472B0"/>
    <w:rsid w:val="0075086B"/>
    <w:rsid w:val="0075359B"/>
    <w:rsid w:val="00754196"/>
    <w:rsid w:val="00754A92"/>
    <w:rsid w:val="00755E01"/>
    <w:rsid w:val="0075602B"/>
    <w:rsid w:val="00756144"/>
    <w:rsid w:val="0075692C"/>
    <w:rsid w:val="00760A6D"/>
    <w:rsid w:val="007611ED"/>
    <w:rsid w:val="00761E37"/>
    <w:rsid w:val="007627DC"/>
    <w:rsid w:val="007632BA"/>
    <w:rsid w:val="007654EC"/>
    <w:rsid w:val="007657C8"/>
    <w:rsid w:val="00766240"/>
    <w:rsid w:val="0076665E"/>
    <w:rsid w:val="00766732"/>
    <w:rsid w:val="00766882"/>
    <w:rsid w:val="00766D06"/>
    <w:rsid w:val="00767136"/>
    <w:rsid w:val="00767F27"/>
    <w:rsid w:val="0077151F"/>
    <w:rsid w:val="007726C4"/>
    <w:rsid w:val="007738A6"/>
    <w:rsid w:val="00773B24"/>
    <w:rsid w:val="00774062"/>
    <w:rsid w:val="0077434A"/>
    <w:rsid w:val="007743AB"/>
    <w:rsid w:val="00774914"/>
    <w:rsid w:val="00774973"/>
    <w:rsid w:val="007764E9"/>
    <w:rsid w:val="007779DF"/>
    <w:rsid w:val="00780361"/>
    <w:rsid w:val="00780C61"/>
    <w:rsid w:val="00781253"/>
    <w:rsid w:val="007812E6"/>
    <w:rsid w:val="007830BB"/>
    <w:rsid w:val="007849E0"/>
    <w:rsid w:val="00784C8D"/>
    <w:rsid w:val="00785767"/>
    <w:rsid w:val="00786A3B"/>
    <w:rsid w:val="00786E07"/>
    <w:rsid w:val="007879DF"/>
    <w:rsid w:val="00787EF3"/>
    <w:rsid w:val="007904FE"/>
    <w:rsid w:val="00790AA1"/>
    <w:rsid w:val="00790AB1"/>
    <w:rsid w:val="00790CA6"/>
    <w:rsid w:val="00791602"/>
    <w:rsid w:val="00791641"/>
    <w:rsid w:val="00792C75"/>
    <w:rsid w:val="00792E23"/>
    <w:rsid w:val="00794945"/>
    <w:rsid w:val="00796578"/>
    <w:rsid w:val="007965C2"/>
    <w:rsid w:val="00796B67"/>
    <w:rsid w:val="00797419"/>
    <w:rsid w:val="007A0A2E"/>
    <w:rsid w:val="007A286B"/>
    <w:rsid w:val="007A2E4E"/>
    <w:rsid w:val="007A36EC"/>
    <w:rsid w:val="007A4076"/>
    <w:rsid w:val="007A43E3"/>
    <w:rsid w:val="007A4D1C"/>
    <w:rsid w:val="007A5B5F"/>
    <w:rsid w:val="007A66CF"/>
    <w:rsid w:val="007A68FA"/>
    <w:rsid w:val="007A7036"/>
    <w:rsid w:val="007A740E"/>
    <w:rsid w:val="007A752A"/>
    <w:rsid w:val="007B0896"/>
    <w:rsid w:val="007B0B51"/>
    <w:rsid w:val="007B12AF"/>
    <w:rsid w:val="007B2617"/>
    <w:rsid w:val="007B2C78"/>
    <w:rsid w:val="007B359A"/>
    <w:rsid w:val="007B6A2E"/>
    <w:rsid w:val="007C038B"/>
    <w:rsid w:val="007C07D8"/>
    <w:rsid w:val="007C1152"/>
    <w:rsid w:val="007C1BF9"/>
    <w:rsid w:val="007C20B7"/>
    <w:rsid w:val="007C2237"/>
    <w:rsid w:val="007C2BEA"/>
    <w:rsid w:val="007C3EBE"/>
    <w:rsid w:val="007C4516"/>
    <w:rsid w:val="007C4844"/>
    <w:rsid w:val="007C48DC"/>
    <w:rsid w:val="007C4D6C"/>
    <w:rsid w:val="007C5016"/>
    <w:rsid w:val="007C60C9"/>
    <w:rsid w:val="007C7D18"/>
    <w:rsid w:val="007D3382"/>
    <w:rsid w:val="007D36ED"/>
    <w:rsid w:val="007D497A"/>
    <w:rsid w:val="007D4D3B"/>
    <w:rsid w:val="007D56DA"/>
    <w:rsid w:val="007D5A71"/>
    <w:rsid w:val="007D6473"/>
    <w:rsid w:val="007D6A55"/>
    <w:rsid w:val="007D73F1"/>
    <w:rsid w:val="007D7D69"/>
    <w:rsid w:val="007E0B01"/>
    <w:rsid w:val="007E194E"/>
    <w:rsid w:val="007E1A33"/>
    <w:rsid w:val="007E1CCC"/>
    <w:rsid w:val="007E2010"/>
    <w:rsid w:val="007E30FF"/>
    <w:rsid w:val="007E318C"/>
    <w:rsid w:val="007E44BF"/>
    <w:rsid w:val="007E4982"/>
    <w:rsid w:val="007E5614"/>
    <w:rsid w:val="007E59BC"/>
    <w:rsid w:val="007E5B6D"/>
    <w:rsid w:val="007E5C58"/>
    <w:rsid w:val="007E6740"/>
    <w:rsid w:val="007E6AB2"/>
    <w:rsid w:val="007F04C1"/>
    <w:rsid w:val="007F11CC"/>
    <w:rsid w:val="007F158D"/>
    <w:rsid w:val="007F20C7"/>
    <w:rsid w:val="007F226B"/>
    <w:rsid w:val="007F27C0"/>
    <w:rsid w:val="007F2CF0"/>
    <w:rsid w:val="007F42E6"/>
    <w:rsid w:val="007F4460"/>
    <w:rsid w:val="007F5795"/>
    <w:rsid w:val="007F5F33"/>
    <w:rsid w:val="007F7099"/>
    <w:rsid w:val="007F7C4D"/>
    <w:rsid w:val="008007B4"/>
    <w:rsid w:val="00800CDD"/>
    <w:rsid w:val="00801152"/>
    <w:rsid w:val="0080182E"/>
    <w:rsid w:val="008028A2"/>
    <w:rsid w:val="00803067"/>
    <w:rsid w:val="0080333D"/>
    <w:rsid w:val="00803456"/>
    <w:rsid w:val="00804199"/>
    <w:rsid w:val="008043D0"/>
    <w:rsid w:val="00805AD9"/>
    <w:rsid w:val="00806DB2"/>
    <w:rsid w:val="00810D86"/>
    <w:rsid w:val="008120AC"/>
    <w:rsid w:val="0081275A"/>
    <w:rsid w:val="00812CAF"/>
    <w:rsid w:val="00813113"/>
    <w:rsid w:val="00814399"/>
    <w:rsid w:val="008143DD"/>
    <w:rsid w:val="00815136"/>
    <w:rsid w:val="00815B3B"/>
    <w:rsid w:val="0081655A"/>
    <w:rsid w:val="00817B06"/>
    <w:rsid w:val="00817C5C"/>
    <w:rsid w:val="00820540"/>
    <w:rsid w:val="00820991"/>
    <w:rsid w:val="008209F5"/>
    <w:rsid w:val="00820C31"/>
    <w:rsid w:val="0082162B"/>
    <w:rsid w:val="008229F6"/>
    <w:rsid w:val="008243ED"/>
    <w:rsid w:val="008262B5"/>
    <w:rsid w:val="008265AA"/>
    <w:rsid w:val="00827BEA"/>
    <w:rsid w:val="00830236"/>
    <w:rsid w:val="0083157B"/>
    <w:rsid w:val="008323A8"/>
    <w:rsid w:val="00832CA7"/>
    <w:rsid w:val="00833843"/>
    <w:rsid w:val="00833E96"/>
    <w:rsid w:val="008341BD"/>
    <w:rsid w:val="008359EB"/>
    <w:rsid w:val="00836E8C"/>
    <w:rsid w:val="00837008"/>
    <w:rsid w:val="00837B8C"/>
    <w:rsid w:val="00840617"/>
    <w:rsid w:val="008411A8"/>
    <w:rsid w:val="00842B75"/>
    <w:rsid w:val="00842C60"/>
    <w:rsid w:val="0084302C"/>
    <w:rsid w:val="0084386C"/>
    <w:rsid w:val="00843D7A"/>
    <w:rsid w:val="0084435A"/>
    <w:rsid w:val="00844544"/>
    <w:rsid w:val="00844A84"/>
    <w:rsid w:val="0084516A"/>
    <w:rsid w:val="00847F19"/>
    <w:rsid w:val="008507EC"/>
    <w:rsid w:val="00850A67"/>
    <w:rsid w:val="008525F2"/>
    <w:rsid w:val="0085331A"/>
    <w:rsid w:val="008536A5"/>
    <w:rsid w:val="008552FF"/>
    <w:rsid w:val="008557E8"/>
    <w:rsid w:val="0086013B"/>
    <w:rsid w:val="008601D5"/>
    <w:rsid w:val="008608BF"/>
    <w:rsid w:val="00860DD5"/>
    <w:rsid w:val="00860E5D"/>
    <w:rsid w:val="00861095"/>
    <w:rsid w:val="008648A2"/>
    <w:rsid w:val="00864A8E"/>
    <w:rsid w:val="00864AA8"/>
    <w:rsid w:val="0086691B"/>
    <w:rsid w:val="00867D61"/>
    <w:rsid w:val="008703B0"/>
    <w:rsid w:val="00871761"/>
    <w:rsid w:val="00871D83"/>
    <w:rsid w:val="0087286B"/>
    <w:rsid w:val="00874592"/>
    <w:rsid w:val="008752DA"/>
    <w:rsid w:val="008755C0"/>
    <w:rsid w:val="00875FDD"/>
    <w:rsid w:val="0087704A"/>
    <w:rsid w:val="00877CAF"/>
    <w:rsid w:val="00880628"/>
    <w:rsid w:val="00880781"/>
    <w:rsid w:val="00880BF9"/>
    <w:rsid w:val="00881783"/>
    <w:rsid w:val="00881904"/>
    <w:rsid w:val="00881CBA"/>
    <w:rsid w:val="00882F6B"/>
    <w:rsid w:val="008839FE"/>
    <w:rsid w:val="00884195"/>
    <w:rsid w:val="00885067"/>
    <w:rsid w:val="008852DD"/>
    <w:rsid w:val="0088594B"/>
    <w:rsid w:val="0088688E"/>
    <w:rsid w:val="00886B17"/>
    <w:rsid w:val="00886D5F"/>
    <w:rsid w:val="00887076"/>
    <w:rsid w:val="008902BD"/>
    <w:rsid w:val="00891566"/>
    <w:rsid w:val="00892F13"/>
    <w:rsid w:val="00893795"/>
    <w:rsid w:val="00893AC8"/>
    <w:rsid w:val="008948E3"/>
    <w:rsid w:val="00895334"/>
    <w:rsid w:val="008958B6"/>
    <w:rsid w:val="00895BD2"/>
    <w:rsid w:val="008961A5"/>
    <w:rsid w:val="00896848"/>
    <w:rsid w:val="00896AD0"/>
    <w:rsid w:val="00897586"/>
    <w:rsid w:val="00897DE5"/>
    <w:rsid w:val="008A0ED8"/>
    <w:rsid w:val="008A1100"/>
    <w:rsid w:val="008A1B87"/>
    <w:rsid w:val="008A2462"/>
    <w:rsid w:val="008A2471"/>
    <w:rsid w:val="008A58C6"/>
    <w:rsid w:val="008A5BFA"/>
    <w:rsid w:val="008A67D9"/>
    <w:rsid w:val="008A73F8"/>
    <w:rsid w:val="008A7DE2"/>
    <w:rsid w:val="008B068D"/>
    <w:rsid w:val="008B0DD8"/>
    <w:rsid w:val="008B22CB"/>
    <w:rsid w:val="008B2444"/>
    <w:rsid w:val="008B2D23"/>
    <w:rsid w:val="008B4EC4"/>
    <w:rsid w:val="008B60DB"/>
    <w:rsid w:val="008B763F"/>
    <w:rsid w:val="008C195B"/>
    <w:rsid w:val="008C20CA"/>
    <w:rsid w:val="008C2610"/>
    <w:rsid w:val="008C3889"/>
    <w:rsid w:val="008C3BEC"/>
    <w:rsid w:val="008C43AC"/>
    <w:rsid w:val="008C4856"/>
    <w:rsid w:val="008C492F"/>
    <w:rsid w:val="008C548A"/>
    <w:rsid w:val="008C5DF6"/>
    <w:rsid w:val="008C67B1"/>
    <w:rsid w:val="008C7D14"/>
    <w:rsid w:val="008C7FE7"/>
    <w:rsid w:val="008D030D"/>
    <w:rsid w:val="008D06CF"/>
    <w:rsid w:val="008D0B04"/>
    <w:rsid w:val="008D0B4B"/>
    <w:rsid w:val="008D0DF5"/>
    <w:rsid w:val="008D108B"/>
    <w:rsid w:val="008D1727"/>
    <w:rsid w:val="008D1D88"/>
    <w:rsid w:val="008D34EE"/>
    <w:rsid w:val="008D3830"/>
    <w:rsid w:val="008D3B2B"/>
    <w:rsid w:val="008D4062"/>
    <w:rsid w:val="008D48DA"/>
    <w:rsid w:val="008D557E"/>
    <w:rsid w:val="008D5689"/>
    <w:rsid w:val="008D5734"/>
    <w:rsid w:val="008D667E"/>
    <w:rsid w:val="008D66B5"/>
    <w:rsid w:val="008E087D"/>
    <w:rsid w:val="008E0A29"/>
    <w:rsid w:val="008E11F0"/>
    <w:rsid w:val="008E2B6B"/>
    <w:rsid w:val="008E31F0"/>
    <w:rsid w:val="008E4092"/>
    <w:rsid w:val="008E55F5"/>
    <w:rsid w:val="008E66DB"/>
    <w:rsid w:val="008F1FCF"/>
    <w:rsid w:val="008F214A"/>
    <w:rsid w:val="008F34EA"/>
    <w:rsid w:val="008F3761"/>
    <w:rsid w:val="008F4925"/>
    <w:rsid w:val="008F4B08"/>
    <w:rsid w:val="008F68ED"/>
    <w:rsid w:val="008F6BD4"/>
    <w:rsid w:val="008F7399"/>
    <w:rsid w:val="008F75A0"/>
    <w:rsid w:val="0090018D"/>
    <w:rsid w:val="00901507"/>
    <w:rsid w:val="00901A37"/>
    <w:rsid w:val="00904280"/>
    <w:rsid w:val="00904794"/>
    <w:rsid w:val="00906786"/>
    <w:rsid w:val="009111FF"/>
    <w:rsid w:val="009119E2"/>
    <w:rsid w:val="00913769"/>
    <w:rsid w:val="009139F5"/>
    <w:rsid w:val="00914150"/>
    <w:rsid w:val="009144A0"/>
    <w:rsid w:val="00914D00"/>
    <w:rsid w:val="0091625E"/>
    <w:rsid w:val="00917706"/>
    <w:rsid w:val="00917812"/>
    <w:rsid w:val="009215F4"/>
    <w:rsid w:val="00921F3B"/>
    <w:rsid w:val="009221E7"/>
    <w:rsid w:val="009236F6"/>
    <w:rsid w:val="00923764"/>
    <w:rsid w:val="00923906"/>
    <w:rsid w:val="00924CCF"/>
    <w:rsid w:val="00925660"/>
    <w:rsid w:val="00925767"/>
    <w:rsid w:val="00926DB3"/>
    <w:rsid w:val="009304E8"/>
    <w:rsid w:val="00930B15"/>
    <w:rsid w:val="00930FC0"/>
    <w:rsid w:val="00930FDB"/>
    <w:rsid w:val="009312A1"/>
    <w:rsid w:val="00931638"/>
    <w:rsid w:val="009316DD"/>
    <w:rsid w:val="00931D11"/>
    <w:rsid w:val="00931FEF"/>
    <w:rsid w:val="009324C3"/>
    <w:rsid w:val="0093407C"/>
    <w:rsid w:val="00934937"/>
    <w:rsid w:val="009358B0"/>
    <w:rsid w:val="0093623E"/>
    <w:rsid w:val="009364A9"/>
    <w:rsid w:val="00936DFB"/>
    <w:rsid w:val="00937C43"/>
    <w:rsid w:val="00937D8C"/>
    <w:rsid w:val="00937FB8"/>
    <w:rsid w:val="009406B6"/>
    <w:rsid w:val="00940A9E"/>
    <w:rsid w:val="009423DB"/>
    <w:rsid w:val="00942B26"/>
    <w:rsid w:val="00943692"/>
    <w:rsid w:val="00943EE9"/>
    <w:rsid w:val="0094400A"/>
    <w:rsid w:val="00945447"/>
    <w:rsid w:val="00945D0A"/>
    <w:rsid w:val="00946DEE"/>
    <w:rsid w:val="00947002"/>
    <w:rsid w:val="00947C8E"/>
    <w:rsid w:val="00950D26"/>
    <w:rsid w:val="009555D5"/>
    <w:rsid w:val="00957DF7"/>
    <w:rsid w:val="00960668"/>
    <w:rsid w:val="009618D5"/>
    <w:rsid w:val="00962486"/>
    <w:rsid w:val="00962CC8"/>
    <w:rsid w:val="00963ADD"/>
    <w:rsid w:val="009649E1"/>
    <w:rsid w:val="00964E8A"/>
    <w:rsid w:val="00965016"/>
    <w:rsid w:val="009652EB"/>
    <w:rsid w:val="009678F0"/>
    <w:rsid w:val="00967DEA"/>
    <w:rsid w:val="00967EBE"/>
    <w:rsid w:val="00970E13"/>
    <w:rsid w:val="0097108D"/>
    <w:rsid w:val="00972169"/>
    <w:rsid w:val="009722B3"/>
    <w:rsid w:val="009737E1"/>
    <w:rsid w:val="00973B6B"/>
    <w:rsid w:val="00973E92"/>
    <w:rsid w:val="009755A5"/>
    <w:rsid w:val="009768A8"/>
    <w:rsid w:val="00977421"/>
    <w:rsid w:val="00980371"/>
    <w:rsid w:val="009805F3"/>
    <w:rsid w:val="0098092E"/>
    <w:rsid w:val="00981701"/>
    <w:rsid w:val="00982013"/>
    <w:rsid w:val="0098235D"/>
    <w:rsid w:val="00983535"/>
    <w:rsid w:val="00983DAC"/>
    <w:rsid w:val="00987491"/>
    <w:rsid w:val="00991A39"/>
    <w:rsid w:val="0099297C"/>
    <w:rsid w:val="00992BA7"/>
    <w:rsid w:val="00992CBE"/>
    <w:rsid w:val="00994915"/>
    <w:rsid w:val="00994DAF"/>
    <w:rsid w:val="00995026"/>
    <w:rsid w:val="009A05EE"/>
    <w:rsid w:val="009A20DB"/>
    <w:rsid w:val="009A257C"/>
    <w:rsid w:val="009A63C9"/>
    <w:rsid w:val="009A67C5"/>
    <w:rsid w:val="009A6E12"/>
    <w:rsid w:val="009A6FD4"/>
    <w:rsid w:val="009A743E"/>
    <w:rsid w:val="009B2817"/>
    <w:rsid w:val="009B2B59"/>
    <w:rsid w:val="009B2D3B"/>
    <w:rsid w:val="009B2FC1"/>
    <w:rsid w:val="009B3A4F"/>
    <w:rsid w:val="009B41E5"/>
    <w:rsid w:val="009B4ACB"/>
    <w:rsid w:val="009B5179"/>
    <w:rsid w:val="009B57B4"/>
    <w:rsid w:val="009B6C0B"/>
    <w:rsid w:val="009B7889"/>
    <w:rsid w:val="009C02F9"/>
    <w:rsid w:val="009C15C0"/>
    <w:rsid w:val="009C30B7"/>
    <w:rsid w:val="009C5253"/>
    <w:rsid w:val="009C5256"/>
    <w:rsid w:val="009C75CE"/>
    <w:rsid w:val="009D148B"/>
    <w:rsid w:val="009D24BF"/>
    <w:rsid w:val="009D25E4"/>
    <w:rsid w:val="009D25FB"/>
    <w:rsid w:val="009D48CB"/>
    <w:rsid w:val="009D5157"/>
    <w:rsid w:val="009D5446"/>
    <w:rsid w:val="009D643E"/>
    <w:rsid w:val="009D6BE7"/>
    <w:rsid w:val="009D741C"/>
    <w:rsid w:val="009D7DE3"/>
    <w:rsid w:val="009E080D"/>
    <w:rsid w:val="009E0C38"/>
    <w:rsid w:val="009E2E8D"/>
    <w:rsid w:val="009E32FA"/>
    <w:rsid w:val="009E33B9"/>
    <w:rsid w:val="009E3C3A"/>
    <w:rsid w:val="009E434C"/>
    <w:rsid w:val="009E5CD4"/>
    <w:rsid w:val="009E63EC"/>
    <w:rsid w:val="009E6A86"/>
    <w:rsid w:val="009E717E"/>
    <w:rsid w:val="009F0654"/>
    <w:rsid w:val="009F24FE"/>
    <w:rsid w:val="009F2D71"/>
    <w:rsid w:val="009F3215"/>
    <w:rsid w:val="009F62E5"/>
    <w:rsid w:val="00A00C13"/>
    <w:rsid w:val="00A011B6"/>
    <w:rsid w:val="00A0124A"/>
    <w:rsid w:val="00A017B4"/>
    <w:rsid w:val="00A01BB7"/>
    <w:rsid w:val="00A02615"/>
    <w:rsid w:val="00A03579"/>
    <w:rsid w:val="00A04140"/>
    <w:rsid w:val="00A04222"/>
    <w:rsid w:val="00A065B7"/>
    <w:rsid w:val="00A06B0D"/>
    <w:rsid w:val="00A06B6D"/>
    <w:rsid w:val="00A072AC"/>
    <w:rsid w:val="00A07379"/>
    <w:rsid w:val="00A0766F"/>
    <w:rsid w:val="00A10F02"/>
    <w:rsid w:val="00A10F0D"/>
    <w:rsid w:val="00A12588"/>
    <w:rsid w:val="00A13937"/>
    <w:rsid w:val="00A175FB"/>
    <w:rsid w:val="00A203DC"/>
    <w:rsid w:val="00A20D0E"/>
    <w:rsid w:val="00A2326C"/>
    <w:rsid w:val="00A23350"/>
    <w:rsid w:val="00A245A3"/>
    <w:rsid w:val="00A247AB"/>
    <w:rsid w:val="00A2523F"/>
    <w:rsid w:val="00A255DF"/>
    <w:rsid w:val="00A25B05"/>
    <w:rsid w:val="00A26623"/>
    <w:rsid w:val="00A26E28"/>
    <w:rsid w:val="00A27404"/>
    <w:rsid w:val="00A2742C"/>
    <w:rsid w:val="00A27B4A"/>
    <w:rsid w:val="00A307BD"/>
    <w:rsid w:val="00A32826"/>
    <w:rsid w:val="00A33735"/>
    <w:rsid w:val="00A338A3"/>
    <w:rsid w:val="00A33F3F"/>
    <w:rsid w:val="00A33F6D"/>
    <w:rsid w:val="00A34AC5"/>
    <w:rsid w:val="00A3587F"/>
    <w:rsid w:val="00A3619B"/>
    <w:rsid w:val="00A36BEB"/>
    <w:rsid w:val="00A4020E"/>
    <w:rsid w:val="00A40EE9"/>
    <w:rsid w:val="00A42225"/>
    <w:rsid w:val="00A42BCA"/>
    <w:rsid w:val="00A43B48"/>
    <w:rsid w:val="00A45466"/>
    <w:rsid w:val="00A46417"/>
    <w:rsid w:val="00A4684D"/>
    <w:rsid w:val="00A47057"/>
    <w:rsid w:val="00A47A8A"/>
    <w:rsid w:val="00A503E0"/>
    <w:rsid w:val="00A52335"/>
    <w:rsid w:val="00A53DC1"/>
    <w:rsid w:val="00A55B0D"/>
    <w:rsid w:val="00A5719B"/>
    <w:rsid w:val="00A57672"/>
    <w:rsid w:val="00A57848"/>
    <w:rsid w:val="00A579E9"/>
    <w:rsid w:val="00A57AA1"/>
    <w:rsid w:val="00A6230A"/>
    <w:rsid w:val="00A62382"/>
    <w:rsid w:val="00A624B7"/>
    <w:rsid w:val="00A62EA6"/>
    <w:rsid w:val="00A62F78"/>
    <w:rsid w:val="00A634F8"/>
    <w:rsid w:val="00A6559E"/>
    <w:rsid w:val="00A65E07"/>
    <w:rsid w:val="00A66C99"/>
    <w:rsid w:val="00A67EF7"/>
    <w:rsid w:val="00A719A7"/>
    <w:rsid w:val="00A71A8A"/>
    <w:rsid w:val="00A720E4"/>
    <w:rsid w:val="00A72CD3"/>
    <w:rsid w:val="00A733D7"/>
    <w:rsid w:val="00A741CE"/>
    <w:rsid w:val="00A742CF"/>
    <w:rsid w:val="00A74CD7"/>
    <w:rsid w:val="00A75962"/>
    <w:rsid w:val="00A75C37"/>
    <w:rsid w:val="00A762AD"/>
    <w:rsid w:val="00A779CF"/>
    <w:rsid w:val="00A77F6F"/>
    <w:rsid w:val="00A81273"/>
    <w:rsid w:val="00A82299"/>
    <w:rsid w:val="00A823CE"/>
    <w:rsid w:val="00A85971"/>
    <w:rsid w:val="00A85FA6"/>
    <w:rsid w:val="00A87729"/>
    <w:rsid w:val="00A90F63"/>
    <w:rsid w:val="00A9428D"/>
    <w:rsid w:val="00A94457"/>
    <w:rsid w:val="00A94A3A"/>
    <w:rsid w:val="00A96454"/>
    <w:rsid w:val="00A96F5E"/>
    <w:rsid w:val="00A97568"/>
    <w:rsid w:val="00AA06C1"/>
    <w:rsid w:val="00AA1870"/>
    <w:rsid w:val="00AA22E6"/>
    <w:rsid w:val="00AA24E1"/>
    <w:rsid w:val="00AA2F14"/>
    <w:rsid w:val="00AA3519"/>
    <w:rsid w:val="00AA3B94"/>
    <w:rsid w:val="00AA75B3"/>
    <w:rsid w:val="00AB0630"/>
    <w:rsid w:val="00AB3186"/>
    <w:rsid w:val="00AB45C4"/>
    <w:rsid w:val="00AB4663"/>
    <w:rsid w:val="00AB5097"/>
    <w:rsid w:val="00AB5468"/>
    <w:rsid w:val="00AC025D"/>
    <w:rsid w:val="00AC06AC"/>
    <w:rsid w:val="00AC106C"/>
    <w:rsid w:val="00AC1CBE"/>
    <w:rsid w:val="00AC328E"/>
    <w:rsid w:val="00AC5130"/>
    <w:rsid w:val="00AC546B"/>
    <w:rsid w:val="00AC581D"/>
    <w:rsid w:val="00AC7E20"/>
    <w:rsid w:val="00AD0299"/>
    <w:rsid w:val="00AD0887"/>
    <w:rsid w:val="00AD13A5"/>
    <w:rsid w:val="00AD1F7A"/>
    <w:rsid w:val="00AD40EC"/>
    <w:rsid w:val="00AD420A"/>
    <w:rsid w:val="00AD436A"/>
    <w:rsid w:val="00AD4D48"/>
    <w:rsid w:val="00AD5C50"/>
    <w:rsid w:val="00AD62C0"/>
    <w:rsid w:val="00AD6448"/>
    <w:rsid w:val="00AD6614"/>
    <w:rsid w:val="00AD6681"/>
    <w:rsid w:val="00AD686A"/>
    <w:rsid w:val="00AD7426"/>
    <w:rsid w:val="00AD74C0"/>
    <w:rsid w:val="00AD7CD4"/>
    <w:rsid w:val="00AE08B4"/>
    <w:rsid w:val="00AE0C4E"/>
    <w:rsid w:val="00AE1008"/>
    <w:rsid w:val="00AE1944"/>
    <w:rsid w:val="00AE2A95"/>
    <w:rsid w:val="00AE2B71"/>
    <w:rsid w:val="00AE2DDF"/>
    <w:rsid w:val="00AE4FC4"/>
    <w:rsid w:val="00AE538E"/>
    <w:rsid w:val="00AE5442"/>
    <w:rsid w:val="00AE5EF2"/>
    <w:rsid w:val="00AE7578"/>
    <w:rsid w:val="00AF10B9"/>
    <w:rsid w:val="00AF346E"/>
    <w:rsid w:val="00AF411C"/>
    <w:rsid w:val="00AF4AD2"/>
    <w:rsid w:val="00AF5389"/>
    <w:rsid w:val="00AF57BC"/>
    <w:rsid w:val="00AF69B9"/>
    <w:rsid w:val="00AF6B8F"/>
    <w:rsid w:val="00AF75FC"/>
    <w:rsid w:val="00B00498"/>
    <w:rsid w:val="00B013CB"/>
    <w:rsid w:val="00B014BB"/>
    <w:rsid w:val="00B01C2A"/>
    <w:rsid w:val="00B022B8"/>
    <w:rsid w:val="00B02C9F"/>
    <w:rsid w:val="00B0445B"/>
    <w:rsid w:val="00B047A1"/>
    <w:rsid w:val="00B04834"/>
    <w:rsid w:val="00B064CE"/>
    <w:rsid w:val="00B0689A"/>
    <w:rsid w:val="00B06C1E"/>
    <w:rsid w:val="00B0727F"/>
    <w:rsid w:val="00B07531"/>
    <w:rsid w:val="00B07DBC"/>
    <w:rsid w:val="00B11C32"/>
    <w:rsid w:val="00B11D55"/>
    <w:rsid w:val="00B13BF3"/>
    <w:rsid w:val="00B14A1B"/>
    <w:rsid w:val="00B1558F"/>
    <w:rsid w:val="00B15A4B"/>
    <w:rsid w:val="00B1600E"/>
    <w:rsid w:val="00B1748A"/>
    <w:rsid w:val="00B22A6B"/>
    <w:rsid w:val="00B23082"/>
    <w:rsid w:val="00B2329A"/>
    <w:rsid w:val="00B2509E"/>
    <w:rsid w:val="00B25569"/>
    <w:rsid w:val="00B27A18"/>
    <w:rsid w:val="00B30647"/>
    <w:rsid w:val="00B30D16"/>
    <w:rsid w:val="00B31648"/>
    <w:rsid w:val="00B32551"/>
    <w:rsid w:val="00B32901"/>
    <w:rsid w:val="00B335BC"/>
    <w:rsid w:val="00B33F06"/>
    <w:rsid w:val="00B34817"/>
    <w:rsid w:val="00B3586E"/>
    <w:rsid w:val="00B35E8D"/>
    <w:rsid w:val="00B363D2"/>
    <w:rsid w:val="00B36EA8"/>
    <w:rsid w:val="00B37A10"/>
    <w:rsid w:val="00B40225"/>
    <w:rsid w:val="00B4091B"/>
    <w:rsid w:val="00B40E63"/>
    <w:rsid w:val="00B40FBC"/>
    <w:rsid w:val="00B41CCA"/>
    <w:rsid w:val="00B43A97"/>
    <w:rsid w:val="00B43D6E"/>
    <w:rsid w:val="00B4456C"/>
    <w:rsid w:val="00B45A1F"/>
    <w:rsid w:val="00B46077"/>
    <w:rsid w:val="00B46E5D"/>
    <w:rsid w:val="00B47313"/>
    <w:rsid w:val="00B4763C"/>
    <w:rsid w:val="00B47CEA"/>
    <w:rsid w:val="00B47EA8"/>
    <w:rsid w:val="00B51161"/>
    <w:rsid w:val="00B51FF4"/>
    <w:rsid w:val="00B5312A"/>
    <w:rsid w:val="00B5321D"/>
    <w:rsid w:val="00B53D5E"/>
    <w:rsid w:val="00B54072"/>
    <w:rsid w:val="00B54E90"/>
    <w:rsid w:val="00B55C69"/>
    <w:rsid w:val="00B57C53"/>
    <w:rsid w:val="00B60878"/>
    <w:rsid w:val="00B615E0"/>
    <w:rsid w:val="00B62818"/>
    <w:rsid w:val="00B628C4"/>
    <w:rsid w:val="00B62935"/>
    <w:rsid w:val="00B63C4C"/>
    <w:rsid w:val="00B643DD"/>
    <w:rsid w:val="00B64932"/>
    <w:rsid w:val="00B6524B"/>
    <w:rsid w:val="00B666F0"/>
    <w:rsid w:val="00B66725"/>
    <w:rsid w:val="00B66E1A"/>
    <w:rsid w:val="00B6775F"/>
    <w:rsid w:val="00B67A52"/>
    <w:rsid w:val="00B67F4F"/>
    <w:rsid w:val="00B70907"/>
    <w:rsid w:val="00B70951"/>
    <w:rsid w:val="00B70AD8"/>
    <w:rsid w:val="00B70C24"/>
    <w:rsid w:val="00B72F90"/>
    <w:rsid w:val="00B74C77"/>
    <w:rsid w:val="00B77F26"/>
    <w:rsid w:val="00B803C2"/>
    <w:rsid w:val="00B80735"/>
    <w:rsid w:val="00B820C2"/>
    <w:rsid w:val="00B823FE"/>
    <w:rsid w:val="00B8251C"/>
    <w:rsid w:val="00B833E6"/>
    <w:rsid w:val="00B83FDD"/>
    <w:rsid w:val="00B84B50"/>
    <w:rsid w:val="00B85FBE"/>
    <w:rsid w:val="00B8683F"/>
    <w:rsid w:val="00B87032"/>
    <w:rsid w:val="00B87A6D"/>
    <w:rsid w:val="00B90090"/>
    <w:rsid w:val="00B907A2"/>
    <w:rsid w:val="00B91A15"/>
    <w:rsid w:val="00B91B18"/>
    <w:rsid w:val="00B91C24"/>
    <w:rsid w:val="00B927E2"/>
    <w:rsid w:val="00B93F3A"/>
    <w:rsid w:val="00B9464A"/>
    <w:rsid w:val="00B95038"/>
    <w:rsid w:val="00B96EC4"/>
    <w:rsid w:val="00B97AFA"/>
    <w:rsid w:val="00BA01CD"/>
    <w:rsid w:val="00BA0E03"/>
    <w:rsid w:val="00BA138A"/>
    <w:rsid w:val="00BA14E9"/>
    <w:rsid w:val="00BA198D"/>
    <w:rsid w:val="00BA24C3"/>
    <w:rsid w:val="00BA2D79"/>
    <w:rsid w:val="00BA2F93"/>
    <w:rsid w:val="00BA411B"/>
    <w:rsid w:val="00BA43CB"/>
    <w:rsid w:val="00BA592F"/>
    <w:rsid w:val="00BA5BF6"/>
    <w:rsid w:val="00BA72D1"/>
    <w:rsid w:val="00BA7818"/>
    <w:rsid w:val="00BB057E"/>
    <w:rsid w:val="00BB0F05"/>
    <w:rsid w:val="00BB3925"/>
    <w:rsid w:val="00BB3A5C"/>
    <w:rsid w:val="00BB3B6B"/>
    <w:rsid w:val="00BB46E4"/>
    <w:rsid w:val="00BB623F"/>
    <w:rsid w:val="00BB63B9"/>
    <w:rsid w:val="00BB77EA"/>
    <w:rsid w:val="00BC0A85"/>
    <w:rsid w:val="00BC0E01"/>
    <w:rsid w:val="00BC0F5A"/>
    <w:rsid w:val="00BC12E7"/>
    <w:rsid w:val="00BC3429"/>
    <w:rsid w:val="00BC4EC1"/>
    <w:rsid w:val="00BC4EDC"/>
    <w:rsid w:val="00BC4FD1"/>
    <w:rsid w:val="00BC5C18"/>
    <w:rsid w:val="00BC6140"/>
    <w:rsid w:val="00BC6821"/>
    <w:rsid w:val="00BC7D39"/>
    <w:rsid w:val="00BD0CDA"/>
    <w:rsid w:val="00BD112B"/>
    <w:rsid w:val="00BD17C1"/>
    <w:rsid w:val="00BD2331"/>
    <w:rsid w:val="00BD24A2"/>
    <w:rsid w:val="00BD3445"/>
    <w:rsid w:val="00BD50FF"/>
    <w:rsid w:val="00BD541E"/>
    <w:rsid w:val="00BD7211"/>
    <w:rsid w:val="00BD76B5"/>
    <w:rsid w:val="00BE0197"/>
    <w:rsid w:val="00BE03B1"/>
    <w:rsid w:val="00BE0E74"/>
    <w:rsid w:val="00BE15D6"/>
    <w:rsid w:val="00BE1A25"/>
    <w:rsid w:val="00BE2F00"/>
    <w:rsid w:val="00BE35B7"/>
    <w:rsid w:val="00BE53C2"/>
    <w:rsid w:val="00BE5496"/>
    <w:rsid w:val="00BE6086"/>
    <w:rsid w:val="00BE64D2"/>
    <w:rsid w:val="00BE6EE0"/>
    <w:rsid w:val="00BF07F1"/>
    <w:rsid w:val="00BF08EF"/>
    <w:rsid w:val="00BF0DA4"/>
    <w:rsid w:val="00BF2638"/>
    <w:rsid w:val="00BF33B3"/>
    <w:rsid w:val="00BF4605"/>
    <w:rsid w:val="00BF4E7C"/>
    <w:rsid w:val="00BF4EDB"/>
    <w:rsid w:val="00BF6AE0"/>
    <w:rsid w:val="00C00767"/>
    <w:rsid w:val="00C01AB8"/>
    <w:rsid w:val="00C02951"/>
    <w:rsid w:val="00C02C1C"/>
    <w:rsid w:val="00C02E85"/>
    <w:rsid w:val="00C030D4"/>
    <w:rsid w:val="00C036BF"/>
    <w:rsid w:val="00C040C7"/>
    <w:rsid w:val="00C04501"/>
    <w:rsid w:val="00C04549"/>
    <w:rsid w:val="00C0463D"/>
    <w:rsid w:val="00C059A3"/>
    <w:rsid w:val="00C05BDA"/>
    <w:rsid w:val="00C06BC8"/>
    <w:rsid w:val="00C07032"/>
    <w:rsid w:val="00C10B75"/>
    <w:rsid w:val="00C10B97"/>
    <w:rsid w:val="00C114FD"/>
    <w:rsid w:val="00C128DF"/>
    <w:rsid w:val="00C12978"/>
    <w:rsid w:val="00C151E7"/>
    <w:rsid w:val="00C1543D"/>
    <w:rsid w:val="00C1554D"/>
    <w:rsid w:val="00C16B91"/>
    <w:rsid w:val="00C174F6"/>
    <w:rsid w:val="00C220D2"/>
    <w:rsid w:val="00C224F1"/>
    <w:rsid w:val="00C22759"/>
    <w:rsid w:val="00C23953"/>
    <w:rsid w:val="00C241DF"/>
    <w:rsid w:val="00C24A61"/>
    <w:rsid w:val="00C24E6E"/>
    <w:rsid w:val="00C25682"/>
    <w:rsid w:val="00C2586F"/>
    <w:rsid w:val="00C2597C"/>
    <w:rsid w:val="00C25993"/>
    <w:rsid w:val="00C30A92"/>
    <w:rsid w:val="00C30C64"/>
    <w:rsid w:val="00C3204A"/>
    <w:rsid w:val="00C321C5"/>
    <w:rsid w:val="00C337F0"/>
    <w:rsid w:val="00C33C47"/>
    <w:rsid w:val="00C33EF9"/>
    <w:rsid w:val="00C349A8"/>
    <w:rsid w:val="00C3545F"/>
    <w:rsid w:val="00C35770"/>
    <w:rsid w:val="00C35A15"/>
    <w:rsid w:val="00C35A2B"/>
    <w:rsid w:val="00C3666D"/>
    <w:rsid w:val="00C375DD"/>
    <w:rsid w:val="00C40DD6"/>
    <w:rsid w:val="00C41C74"/>
    <w:rsid w:val="00C44552"/>
    <w:rsid w:val="00C44E19"/>
    <w:rsid w:val="00C45CD7"/>
    <w:rsid w:val="00C4617E"/>
    <w:rsid w:val="00C46329"/>
    <w:rsid w:val="00C47856"/>
    <w:rsid w:val="00C47C2E"/>
    <w:rsid w:val="00C5035F"/>
    <w:rsid w:val="00C50D01"/>
    <w:rsid w:val="00C523D8"/>
    <w:rsid w:val="00C52C14"/>
    <w:rsid w:val="00C53531"/>
    <w:rsid w:val="00C554DF"/>
    <w:rsid w:val="00C55E8E"/>
    <w:rsid w:val="00C567E6"/>
    <w:rsid w:val="00C57099"/>
    <w:rsid w:val="00C6003A"/>
    <w:rsid w:val="00C6058E"/>
    <w:rsid w:val="00C60D50"/>
    <w:rsid w:val="00C622A4"/>
    <w:rsid w:val="00C63138"/>
    <w:rsid w:val="00C6384E"/>
    <w:rsid w:val="00C63B0C"/>
    <w:rsid w:val="00C63F18"/>
    <w:rsid w:val="00C6589D"/>
    <w:rsid w:val="00C65E95"/>
    <w:rsid w:val="00C7120A"/>
    <w:rsid w:val="00C723FE"/>
    <w:rsid w:val="00C731C2"/>
    <w:rsid w:val="00C735B4"/>
    <w:rsid w:val="00C736CF"/>
    <w:rsid w:val="00C73ECE"/>
    <w:rsid w:val="00C73FF4"/>
    <w:rsid w:val="00C743A9"/>
    <w:rsid w:val="00C74ED8"/>
    <w:rsid w:val="00C75A95"/>
    <w:rsid w:val="00C76228"/>
    <w:rsid w:val="00C76910"/>
    <w:rsid w:val="00C77F70"/>
    <w:rsid w:val="00C80B05"/>
    <w:rsid w:val="00C80CD2"/>
    <w:rsid w:val="00C80F38"/>
    <w:rsid w:val="00C821DB"/>
    <w:rsid w:val="00C829AC"/>
    <w:rsid w:val="00C82E64"/>
    <w:rsid w:val="00C83123"/>
    <w:rsid w:val="00C83272"/>
    <w:rsid w:val="00C83582"/>
    <w:rsid w:val="00C839A6"/>
    <w:rsid w:val="00C84615"/>
    <w:rsid w:val="00C84B4D"/>
    <w:rsid w:val="00C87F7A"/>
    <w:rsid w:val="00C90019"/>
    <w:rsid w:val="00C905E8"/>
    <w:rsid w:val="00C90EF2"/>
    <w:rsid w:val="00C913CC"/>
    <w:rsid w:val="00C91A6A"/>
    <w:rsid w:val="00C942BB"/>
    <w:rsid w:val="00C9555A"/>
    <w:rsid w:val="00C9593F"/>
    <w:rsid w:val="00C962B3"/>
    <w:rsid w:val="00C964F2"/>
    <w:rsid w:val="00C97F32"/>
    <w:rsid w:val="00C97FC0"/>
    <w:rsid w:val="00CA0DB2"/>
    <w:rsid w:val="00CA2E5C"/>
    <w:rsid w:val="00CA3529"/>
    <w:rsid w:val="00CA58B7"/>
    <w:rsid w:val="00CA771B"/>
    <w:rsid w:val="00CB15D4"/>
    <w:rsid w:val="00CB1FC1"/>
    <w:rsid w:val="00CB2425"/>
    <w:rsid w:val="00CB281F"/>
    <w:rsid w:val="00CB3224"/>
    <w:rsid w:val="00CB45A4"/>
    <w:rsid w:val="00CB503F"/>
    <w:rsid w:val="00CB6567"/>
    <w:rsid w:val="00CB6FB6"/>
    <w:rsid w:val="00CB7E55"/>
    <w:rsid w:val="00CC1FC3"/>
    <w:rsid w:val="00CC3892"/>
    <w:rsid w:val="00CC3BCE"/>
    <w:rsid w:val="00CC46C3"/>
    <w:rsid w:val="00CC56F8"/>
    <w:rsid w:val="00CC5CCB"/>
    <w:rsid w:val="00CD0328"/>
    <w:rsid w:val="00CD034A"/>
    <w:rsid w:val="00CD0E50"/>
    <w:rsid w:val="00CD10A3"/>
    <w:rsid w:val="00CD2992"/>
    <w:rsid w:val="00CD2AF3"/>
    <w:rsid w:val="00CD377D"/>
    <w:rsid w:val="00CD4005"/>
    <w:rsid w:val="00CD4FE0"/>
    <w:rsid w:val="00CD51A8"/>
    <w:rsid w:val="00CD5442"/>
    <w:rsid w:val="00CD57BD"/>
    <w:rsid w:val="00CD649A"/>
    <w:rsid w:val="00CD72C2"/>
    <w:rsid w:val="00CD7EF7"/>
    <w:rsid w:val="00CE02E0"/>
    <w:rsid w:val="00CE09B0"/>
    <w:rsid w:val="00CE1E97"/>
    <w:rsid w:val="00CE25CA"/>
    <w:rsid w:val="00CE36B7"/>
    <w:rsid w:val="00CE3A41"/>
    <w:rsid w:val="00CE452D"/>
    <w:rsid w:val="00CE472C"/>
    <w:rsid w:val="00CE579F"/>
    <w:rsid w:val="00CE6CAC"/>
    <w:rsid w:val="00CE6FF9"/>
    <w:rsid w:val="00CF1734"/>
    <w:rsid w:val="00CF3779"/>
    <w:rsid w:val="00CF38B9"/>
    <w:rsid w:val="00CF3AA0"/>
    <w:rsid w:val="00CF4462"/>
    <w:rsid w:val="00CF587F"/>
    <w:rsid w:val="00CF7905"/>
    <w:rsid w:val="00CF7ADB"/>
    <w:rsid w:val="00D0399A"/>
    <w:rsid w:val="00D045CC"/>
    <w:rsid w:val="00D05D93"/>
    <w:rsid w:val="00D06AFF"/>
    <w:rsid w:val="00D076F8"/>
    <w:rsid w:val="00D101B1"/>
    <w:rsid w:val="00D102FB"/>
    <w:rsid w:val="00D10D23"/>
    <w:rsid w:val="00D10F44"/>
    <w:rsid w:val="00D114EB"/>
    <w:rsid w:val="00D11C03"/>
    <w:rsid w:val="00D128AD"/>
    <w:rsid w:val="00D1324D"/>
    <w:rsid w:val="00D136A0"/>
    <w:rsid w:val="00D145C2"/>
    <w:rsid w:val="00D1489C"/>
    <w:rsid w:val="00D1565A"/>
    <w:rsid w:val="00D17833"/>
    <w:rsid w:val="00D2014C"/>
    <w:rsid w:val="00D209B9"/>
    <w:rsid w:val="00D209F9"/>
    <w:rsid w:val="00D21660"/>
    <w:rsid w:val="00D216B6"/>
    <w:rsid w:val="00D24530"/>
    <w:rsid w:val="00D24605"/>
    <w:rsid w:val="00D26825"/>
    <w:rsid w:val="00D301D1"/>
    <w:rsid w:val="00D3107D"/>
    <w:rsid w:val="00D312C0"/>
    <w:rsid w:val="00D322A0"/>
    <w:rsid w:val="00D328C2"/>
    <w:rsid w:val="00D32B96"/>
    <w:rsid w:val="00D33B00"/>
    <w:rsid w:val="00D343A8"/>
    <w:rsid w:val="00D345D3"/>
    <w:rsid w:val="00D35595"/>
    <w:rsid w:val="00D35DEA"/>
    <w:rsid w:val="00D36AA5"/>
    <w:rsid w:val="00D37011"/>
    <w:rsid w:val="00D37556"/>
    <w:rsid w:val="00D41B69"/>
    <w:rsid w:val="00D42718"/>
    <w:rsid w:val="00D43CBF"/>
    <w:rsid w:val="00D44583"/>
    <w:rsid w:val="00D44DF5"/>
    <w:rsid w:val="00D456EA"/>
    <w:rsid w:val="00D479C3"/>
    <w:rsid w:val="00D50E29"/>
    <w:rsid w:val="00D53E07"/>
    <w:rsid w:val="00D54C48"/>
    <w:rsid w:val="00D554AC"/>
    <w:rsid w:val="00D55BEE"/>
    <w:rsid w:val="00D57299"/>
    <w:rsid w:val="00D579BC"/>
    <w:rsid w:val="00D61B5E"/>
    <w:rsid w:val="00D6246F"/>
    <w:rsid w:val="00D625F5"/>
    <w:rsid w:val="00D62A11"/>
    <w:rsid w:val="00D65892"/>
    <w:rsid w:val="00D65996"/>
    <w:rsid w:val="00D65FE9"/>
    <w:rsid w:val="00D663A4"/>
    <w:rsid w:val="00D67C67"/>
    <w:rsid w:val="00D701AC"/>
    <w:rsid w:val="00D71586"/>
    <w:rsid w:val="00D729C2"/>
    <w:rsid w:val="00D736CD"/>
    <w:rsid w:val="00D7433F"/>
    <w:rsid w:val="00D744FD"/>
    <w:rsid w:val="00D7655C"/>
    <w:rsid w:val="00D76FBF"/>
    <w:rsid w:val="00D77974"/>
    <w:rsid w:val="00D80159"/>
    <w:rsid w:val="00D8267A"/>
    <w:rsid w:val="00D82CCF"/>
    <w:rsid w:val="00D83DE3"/>
    <w:rsid w:val="00D85132"/>
    <w:rsid w:val="00D861D4"/>
    <w:rsid w:val="00D8687E"/>
    <w:rsid w:val="00D86D88"/>
    <w:rsid w:val="00D90231"/>
    <w:rsid w:val="00D91634"/>
    <w:rsid w:val="00D91E68"/>
    <w:rsid w:val="00D92283"/>
    <w:rsid w:val="00D929EF"/>
    <w:rsid w:val="00D9303D"/>
    <w:rsid w:val="00D93E56"/>
    <w:rsid w:val="00D93FCC"/>
    <w:rsid w:val="00D942F4"/>
    <w:rsid w:val="00D96881"/>
    <w:rsid w:val="00D97CA1"/>
    <w:rsid w:val="00DA08F7"/>
    <w:rsid w:val="00DA3A18"/>
    <w:rsid w:val="00DA3C3F"/>
    <w:rsid w:val="00DA4A00"/>
    <w:rsid w:val="00DA4DCF"/>
    <w:rsid w:val="00DA4E3D"/>
    <w:rsid w:val="00DA59B6"/>
    <w:rsid w:val="00DB289A"/>
    <w:rsid w:val="00DB2CBD"/>
    <w:rsid w:val="00DB30C6"/>
    <w:rsid w:val="00DB3D93"/>
    <w:rsid w:val="00DB45EB"/>
    <w:rsid w:val="00DB54FA"/>
    <w:rsid w:val="00DB63DC"/>
    <w:rsid w:val="00DB6494"/>
    <w:rsid w:val="00DB6AFB"/>
    <w:rsid w:val="00DB6F0B"/>
    <w:rsid w:val="00DB71DB"/>
    <w:rsid w:val="00DC0354"/>
    <w:rsid w:val="00DC1023"/>
    <w:rsid w:val="00DC202C"/>
    <w:rsid w:val="00DC2402"/>
    <w:rsid w:val="00DC2EF0"/>
    <w:rsid w:val="00DC306A"/>
    <w:rsid w:val="00DC337D"/>
    <w:rsid w:val="00DC424A"/>
    <w:rsid w:val="00DC5487"/>
    <w:rsid w:val="00DC6DF5"/>
    <w:rsid w:val="00DC79A1"/>
    <w:rsid w:val="00DC7A07"/>
    <w:rsid w:val="00DD05D7"/>
    <w:rsid w:val="00DD30DC"/>
    <w:rsid w:val="00DD341A"/>
    <w:rsid w:val="00DD5CFA"/>
    <w:rsid w:val="00DD69B6"/>
    <w:rsid w:val="00DE03AF"/>
    <w:rsid w:val="00DE0464"/>
    <w:rsid w:val="00DE2B6F"/>
    <w:rsid w:val="00DE6294"/>
    <w:rsid w:val="00DE6F3C"/>
    <w:rsid w:val="00DE6FFB"/>
    <w:rsid w:val="00DE7572"/>
    <w:rsid w:val="00DE7E12"/>
    <w:rsid w:val="00DE7F2D"/>
    <w:rsid w:val="00DF02AE"/>
    <w:rsid w:val="00DF05BA"/>
    <w:rsid w:val="00DF05CE"/>
    <w:rsid w:val="00DF27ED"/>
    <w:rsid w:val="00DF316B"/>
    <w:rsid w:val="00DF3CA8"/>
    <w:rsid w:val="00DF5119"/>
    <w:rsid w:val="00DF5767"/>
    <w:rsid w:val="00DF5774"/>
    <w:rsid w:val="00DF5D5E"/>
    <w:rsid w:val="00DF5D98"/>
    <w:rsid w:val="00DF62F9"/>
    <w:rsid w:val="00DF6BD8"/>
    <w:rsid w:val="00DF7348"/>
    <w:rsid w:val="00DF73EF"/>
    <w:rsid w:val="00DF7D80"/>
    <w:rsid w:val="00E006EB"/>
    <w:rsid w:val="00E0290F"/>
    <w:rsid w:val="00E04355"/>
    <w:rsid w:val="00E059EF"/>
    <w:rsid w:val="00E06077"/>
    <w:rsid w:val="00E06D2C"/>
    <w:rsid w:val="00E11765"/>
    <w:rsid w:val="00E1238E"/>
    <w:rsid w:val="00E13251"/>
    <w:rsid w:val="00E136F4"/>
    <w:rsid w:val="00E138BF"/>
    <w:rsid w:val="00E15CA7"/>
    <w:rsid w:val="00E16F9D"/>
    <w:rsid w:val="00E17F79"/>
    <w:rsid w:val="00E20BA5"/>
    <w:rsid w:val="00E22F00"/>
    <w:rsid w:val="00E23680"/>
    <w:rsid w:val="00E23987"/>
    <w:rsid w:val="00E245E2"/>
    <w:rsid w:val="00E24C51"/>
    <w:rsid w:val="00E2652B"/>
    <w:rsid w:val="00E266B2"/>
    <w:rsid w:val="00E270E7"/>
    <w:rsid w:val="00E30C69"/>
    <w:rsid w:val="00E31434"/>
    <w:rsid w:val="00E32E56"/>
    <w:rsid w:val="00E3359C"/>
    <w:rsid w:val="00E3375B"/>
    <w:rsid w:val="00E33CE7"/>
    <w:rsid w:val="00E345A6"/>
    <w:rsid w:val="00E35619"/>
    <w:rsid w:val="00E35F8A"/>
    <w:rsid w:val="00E3649F"/>
    <w:rsid w:val="00E40A28"/>
    <w:rsid w:val="00E40DE2"/>
    <w:rsid w:val="00E41899"/>
    <w:rsid w:val="00E41CB5"/>
    <w:rsid w:val="00E42064"/>
    <w:rsid w:val="00E44006"/>
    <w:rsid w:val="00E443F6"/>
    <w:rsid w:val="00E44F34"/>
    <w:rsid w:val="00E45009"/>
    <w:rsid w:val="00E461C9"/>
    <w:rsid w:val="00E5075E"/>
    <w:rsid w:val="00E51426"/>
    <w:rsid w:val="00E51565"/>
    <w:rsid w:val="00E52434"/>
    <w:rsid w:val="00E52C37"/>
    <w:rsid w:val="00E5477C"/>
    <w:rsid w:val="00E55192"/>
    <w:rsid w:val="00E557CB"/>
    <w:rsid w:val="00E5606B"/>
    <w:rsid w:val="00E62712"/>
    <w:rsid w:val="00E6272B"/>
    <w:rsid w:val="00E62A1A"/>
    <w:rsid w:val="00E63861"/>
    <w:rsid w:val="00E66B80"/>
    <w:rsid w:val="00E67AB5"/>
    <w:rsid w:val="00E67B77"/>
    <w:rsid w:val="00E7295E"/>
    <w:rsid w:val="00E72C5D"/>
    <w:rsid w:val="00E74972"/>
    <w:rsid w:val="00E74A2F"/>
    <w:rsid w:val="00E74CBF"/>
    <w:rsid w:val="00E75C4A"/>
    <w:rsid w:val="00E75FB0"/>
    <w:rsid w:val="00E802D9"/>
    <w:rsid w:val="00E81992"/>
    <w:rsid w:val="00E82829"/>
    <w:rsid w:val="00E82A29"/>
    <w:rsid w:val="00E84832"/>
    <w:rsid w:val="00E84FB4"/>
    <w:rsid w:val="00E854A2"/>
    <w:rsid w:val="00E863CE"/>
    <w:rsid w:val="00E86A9E"/>
    <w:rsid w:val="00E86E77"/>
    <w:rsid w:val="00E86F21"/>
    <w:rsid w:val="00E87BF4"/>
    <w:rsid w:val="00E921FC"/>
    <w:rsid w:val="00E92395"/>
    <w:rsid w:val="00E92B4F"/>
    <w:rsid w:val="00E93AA5"/>
    <w:rsid w:val="00E93E7C"/>
    <w:rsid w:val="00E948E3"/>
    <w:rsid w:val="00E95F5A"/>
    <w:rsid w:val="00E9613A"/>
    <w:rsid w:val="00E97057"/>
    <w:rsid w:val="00E9722B"/>
    <w:rsid w:val="00EA0D4C"/>
    <w:rsid w:val="00EA14E9"/>
    <w:rsid w:val="00EA367A"/>
    <w:rsid w:val="00EA36D2"/>
    <w:rsid w:val="00EA55D8"/>
    <w:rsid w:val="00EA6038"/>
    <w:rsid w:val="00EA607E"/>
    <w:rsid w:val="00EB1631"/>
    <w:rsid w:val="00EB22C8"/>
    <w:rsid w:val="00EB2B5B"/>
    <w:rsid w:val="00EB3713"/>
    <w:rsid w:val="00EB6177"/>
    <w:rsid w:val="00EB6468"/>
    <w:rsid w:val="00EB735E"/>
    <w:rsid w:val="00EC0ACE"/>
    <w:rsid w:val="00EC0BD2"/>
    <w:rsid w:val="00EC1D20"/>
    <w:rsid w:val="00EC21DB"/>
    <w:rsid w:val="00EC2606"/>
    <w:rsid w:val="00EC28DC"/>
    <w:rsid w:val="00EC364D"/>
    <w:rsid w:val="00EC364E"/>
    <w:rsid w:val="00EC36A1"/>
    <w:rsid w:val="00EC3975"/>
    <w:rsid w:val="00EC4452"/>
    <w:rsid w:val="00EC47E6"/>
    <w:rsid w:val="00EC4BB0"/>
    <w:rsid w:val="00EC5618"/>
    <w:rsid w:val="00EC6D4B"/>
    <w:rsid w:val="00EC6DCC"/>
    <w:rsid w:val="00EC78C6"/>
    <w:rsid w:val="00EC7AA7"/>
    <w:rsid w:val="00EC7D90"/>
    <w:rsid w:val="00ED05C0"/>
    <w:rsid w:val="00ED108F"/>
    <w:rsid w:val="00ED23DC"/>
    <w:rsid w:val="00ED27D4"/>
    <w:rsid w:val="00ED4835"/>
    <w:rsid w:val="00ED5F31"/>
    <w:rsid w:val="00ED6243"/>
    <w:rsid w:val="00ED6DEE"/>
    <w:rsid w:val="00ED7935"/>
    <w:rsid w:val="00EE0AB0"/>
    <w:rsid w:val="00EE104F"/>
    <w:rsid w:val="00EE1C91"/>
    <w:rsid w:val="00EE2906"/>
    <w:rsid w:val="00EE3137"/>
    <w:rsid w:val="00EE450D"/>
    <w:rsid w:val="00EE5055"/>
    <w:rsid w:val="00EE64A8"/>
    <w:rsid w:val="00EE6659"/>
    <w:rsid w:val="00EE6CA8"/>
    <w:rsid w:val="00EE7A64"/>
    <w:rsid w:val="00EF1141"/>
    <w:rsid w:val="00EF142E"/>
    <w:rsid w:val="00EF1BA0"/>
    <w:rsid w:val="00EF1D24"/>
    <w:rsid w:val="00EF20CC"/>
    <w:rsid w:val="00EF5AD8"/>
    <w:rsid w:val="00EF6B46"/>
    <w:rsid w:val="00EF7578"/>
    <w:rsid w:val="00F01412"/>
    <w:rsid w:val="00F019F6"/>
    <w:rsid w:val="00F0232B"/>
    <w:rsid w:val="00F02CDC"/>
    <w:rsid w:val="00F0317B"/>
    <w:rsid w:val="00F03222"/>
    <w:rsid w:val="00F03615"/>
    <w:rsid w:val="00F0370C"/>
    <w:rsid w:val="00F03764"/>
    <w:rsid w:val="00F038F2"/>
    <w:rsid w:val="00F05BB7"/>
    <w:rsid w:val="00F06751"/>
    <w:rsid w:val="00F0750F"/>
    <w:rsid w:val="00F07B9F"/>
    <w:rsid w:val="00F07FCF"/>
    <w:rsid w:val="00F10AF3"/>
    <w:rsid w:val="00F11BD0"/>
    <w:rsid w:val="00F1348B"/>
    <w:rsid w:val="00F15BCD"/>
    <w:rsid w:val="00F214DC"/>
    <w:rsid w:val="00F22560"/>
    <w:rsid w:val="00F22672"/>
    <w:rsid w:val="00F2282E"/>
    <w:rsid w:val="00F228D6"/>
    <w:rsid w:val="00F23E95"/>
    <w:rsid w:val="00F24D29"/>
    <w:rsid w:val="00F257BC"/>
    <w:rsid w:val="00F25A2E"/>
    <w:rsid w:val="00F25E4B"/>
    <w:rsid w:val="00F26268"/>
    <w:rsid w:val="00F26BD0"/>
    <w:rsid w:val="00F2750F"/>
    <w:rsid w:val="00F27C91"/>
    <w:rsid w:val="00F3082B"/>
    <w:rsid w:val="00F34384"/>
    <w:rsid w:val="00F34825"/>
    <w:rsid w:val="00F34D16"/>
    <w:rsid w:val="00F35F5E"/>
    <w:rsid w:val="00F3695F"/>
    <w:rsid w:val="00F42967"/>
    <w:rsid w:val="00F43521"/>
    <w:rsid w:val="00F44A1F"/>
    <w:rsid w:val="00F458CF"/>
    <w:rsid w:val="00F46191"/>
    <w:rsid w:val="00F4663C"/>
    <w:rsid w:val="00F466EB"/>
    <w:rsid w:val="00F46DBC"/>
    <w:rsid w:val="00F50B49"/>
    <w:rsid w:val="00F51857"/>
    <w:rsid w:val="00F52894"/>
    <w:rsid w:val="00F52ACA"/>
    <w:rsid w:val="00F53C80"/>
    <w:rsid w:val="00F54163"/>
    <w:rsid w:val="00F555E3"/>
    <w:rsid w:val="00F602C8"/>
    <w:rsid w:val="00F60D5A"/>
    <w:rsid w:val="00F61530"/>
    <w:rsid w:val="00F62499"/>
    <w:rsid w:val="00F625C0"/>
    <w:rsid w:val="00F630E0"/>
    <w:rsid w:val="00F63DDC"/>
    <w:rsid w:val="00F63F1F"/>
    <w:rsid w:val="00F64141"/>
    <w:rsid w:val="00F64A77"/>
    <w:rsid w:val="00F656A9"/>
    <w:rsid w:val="00F66FDC"/>
    <w:rsid w:val="00F70D05"/>
    <w:rsid w:val="00F7193E"/>
    <w:rsid w:val="00F71BDA"/>
    <w:rsid w:val="00F72275"/>
    <w:rsid w:val="00F723B0"/>
    <w:rsid w:val="00F72D5B"/>
    <w:rsid w:val="00F73191"/>
    <w:rsid w:val="00F73AFC"/>
    <w:rsid w:val="00F73D5B"/>
    <w:rsid w:val="00F75EC4"/>
    <w:rsid w:val="00F764F3"/>
    <w:rsid w:val="00F8045B"/>
    <w:rsid w:val="00F81DCD"/>
    <w:rsid w:val="00F83CC2"/>
    <w:rsid w:val="00F84971"/>
    <w:rsid w:val="00F85283"/>
    <w:rsid w:val="00F86D59"/>
    <w:rsid w:val="00F90700"/>
    <w:rsid w:val="00F9086B"/>
    <w:rsid w:val="00F909B1"/>
    <w:rsid w:val="00F9205D"/>
    <w:rsid w:val="00F930A8"/>
    <w:rsid w:val="00F93199"/>
    <w:rsid w:val="00F93247"/>
    <w:rsid w:val="00F93492"/>
    <w:rsid w:val="00F93A11"/>
    <w:rsid w:val="00F955B8"/>
    <w:rsid w:val="00F9588B"/>
    <w:rsid w:val="00F96664"/>
    <w:rsid w:val="00F96676"/>
    <w:rsid w:val="00F977E8"/>
    <w:rsid w:val="00F97EB4"/>
    <w:rsid w:val="00FA1331"/>
    <w:rsid w:val="00FA221C"/>
    <w:rsid w:val="00FA2D09"/>
    <w:rsid w:val="00FA4FEC"/>
    <w:rsid w:val="00FA552E"/>
    <w:rsid w:val="00FA7185"/>
    <w:rsid w:val="00FB0638"/>
    <w:rsid w:val="00FB4718"/>
    <w:rsid w:val="00FB4D4A"/>
    <w:rsid w:val="00FB5656"/>
    <w:rsid w:val="00FB6E19"/>
    <w:rsid w:val="00FB7652"/>
    <w:rsid w:val="00FB7DFE"/>
    <w:rsid w:val="00FC0C2C"/>
    <w:rsid w:val="00FC0DA9"/>
    <w:rsid w:val="00FC0FD6"/>
    <w:rsid w:val="00FC1B34"/>
    <w:rsid w:val="00FC2121"/>
    <w:rsid w:val="00FC2C48"/>
    <w:rsid w:val="00FC31DF"/>
    <w:rsid w:val="00FC395C"/>
    <w:rsid w:val="00FC5685"/>
    <w:rsid w:val="00FC67FB"/>
    <w:rsid w:val="00FC7F07"/>
    <w:rsid w:val="00FD0D48"/>
    <w:rsid w:val="00FD1825"/>
    <w:rsid w:val="00FD2691"/>
    <w:rsid w:val="00FD2C94"/>
    <w:rsid w:val="00FD3CE3"/>
    <w:rsid w:val="00FD408C"/>
    <w:rsid w:val="00FD4FD8"/>
    <w:rsid w:val="00FD5373"/>
    <w:rsid w:val="00FD6092"/>
    <w:rsid w:val="00FD6362"/>
    <w:rsid w:val="00FD74B2"/>
    <w:rsid w:val="00FD7B6D"/>
    <w:rsid w:val="00FD7C4C"/>
    <w:rsid w:val="00FD7D66"/>
    <w:rsid w:val="00FD7F05"/>
    <w:rsid w:val="00FE0666"/>
    <w:rsid w:val="00FE0907"/>
    <w:rsid w:val="00FE0A85"/>
    <w:rsid w:val="00FE2611"/>
    <w:rsid w:val="00FE336E"/>
    <w:rsid w:val="00FE4B53"/>
    <w:rsid w:val="00FE59F8"/>
    <w:rsid w:val="00FE63E7"/>
    <w:rsid w:val="00FE7E13"/>
    <w:rsid w:val="00FF1877"/>
    <w:rsid w:val="00FF2CE1"/>
    <w:rsid w:val="00FF3D02"/>
    <w:rsid w:val="00FF6493"/>
    <w:rsid w:val="00FF6AC2"/>
    <w:rsid w:val="00FF77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EC8A0"/>
  <w15:chartTrackingRefBased/>
  <w15:docId w15:val="{2B611A9D-F464-A346-9C69-75AB37CE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fr-FR"/>
    </w:rPr>
  </w:style>
  <w:style w:type="paragraph" w:styleId="Titre1">
    <w:name w:val="heading 1"/>
    <w:basedOn w:val="Normal"/>
    <w:next w:val="Normal"/>
    <w:autoRedefine/>
    <w:qFormat/>
    <w:rsid w:val="000240B8"/>
    <w:pPr>
      <w:keepNext/>
      <w:spacing w:before="240" w:after="60"/>
      <w:outlineLvl w:val="0"/>
    </w:pPr>
    <w:rPr>
      <w:b/>
      <w:kern w:val="28"/>
      <w:u w:val="single"/>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numPr>
        <w:numId w:val="6"/>
      </w:numPr>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pPr>
      <w:numPr>
        <w:numId w:val="1"/>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basedOn w:val="Policepardfaut"/>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uiPriority w:val="99"/>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pPr>
      <w:ind w:left="70"/>
    </w:pPr>
  </w:style>
  <w:style w:type="paragraph" w:customStyle="1" w:styleId="zSoquijdatGreffe">
    <w:name w:val="zSoquij_datGreffe"/>
    <w:basedOn w:val="Normal"/>
    <w:pPr>
      <w:ind w:left="29"/>
    </w:p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pPr>
      <w:ind w:left="70"/>
    </w:pPr>
    <w:rPr>
      <w:b/>
    </w:rPr>
  </w:style>
  <w:style w:type="paragraph" w:customStyle="1" w:styleId="zSoquijdatQteJuge">
    <w:name w:val="zSoquij_datQteJuge"/>
    <w:basedOn w:val="Normal"/>
    <w:pPr>
      <w:ind w:left="29"/>
    </w:pPr>
    <w:rPr>
      <w:b/>
    </w:rPr>
  </w:style>
  <w:style w:type="paragraph" w:customStyle="1" w:styleId="zSoquijdatJuge">
    <w:name w:val="zSoquij_datJuge"/>
    <w:basedOn w:val="Normal"/>
    <w:pPr>
      <w:ind w:left="52"/>
    </w:pPr>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basedOn w:val="Policepardfaut"/>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aphe"/>
    <w:pPr>
      <w:numPr>
        <w:numId w:val="0"/>
      </w:numPr>
      <w:ind w:firstLine="734"/>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pPr>
      <w:widowControl w:val="0"/>
      <w:numPr>
        <w:ilvl w:val="1"/>
        <w:numId w:val="1"/>
      </w:numPr>
      <w:spacing w:after="120"/>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pPr>
      <w:ind w:firstLine="0"/>
    </w:pPr>
  </w:style>
  <w:style w:type="paragraph" w:customStyle="1" w:styleId="zSoquijlblAssesseurs">
    <w:name w:val="zSoquij_lblAssesseurs"/>
    <w:basedOn w:val="Normal"/>
    <w:pPr>
      <w:ind w:left="14" w:right="-67"/>
    </w:pPr>
  </w:style>
  <w:style w:type="paragraph" w:customStyle="1" w:styleId="zSoquijdatAssesseurs">
    <w:name w:val="zSoquij_datAssesseurs"/>
    <w:basedOn w:val="Normal"/>
    <w:pPr>
      <w:ind w:left="14" w:right="-67"/>
    </w:p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paragraph" w:styleId="En-tte">
    <w:name w:val="header"/>
    <w:basedOn w:val="Normal"/>
    <w:link w:val="En-tteCar"/>
    <w:uiPriority w:val="99"/>
    <w:unhideWhenUsed/>
    <w:rsid w:val="00DB45EB"/>
    <w:pPr>
      <w:tabs>
        <w:tab w:val="center" w:pos="4320"/>
        <w:tab w:val="right" w:pos="8640"/>
      </w:tabs>
    </w:pPr>
  </w:style>
  <w:style w:type="character" w:customStyle="1" w:styleId="En-tteCar">
    <w:name w:val="En-tête Car"/>
    <w:basedOn w:val="Policepardfaut"/>
    <w:link w:val="En-tte"/>
    <w:uiPriority w:val="99"/>
    <w:rsid w:val="00DB45EB"/>
    <w:rPr>
      <w:rFonts w:ascii="Arial" w:hAnsi="Arial"/>
      <w:sz w:val="24"/>
      <w:lang w:eastAsia="fr-FR"/>
    </w:rPr>
  </w:style>
  <w:style w:type="paragraph" w:styleId="Pieddepage">
    <w:name w:val="footer"/>
    <w:basedOn w:val="Normal"/>
    <w:link w:val="PieddepageCar"/>
    <w:uiPriority w:val="99"/>
    <w:unhideWhenUsed/>
    <w:rsid w:val="00DB45EB"/>
    <w:pPr>
      <w:tabs>
        <w:tab w:val="center" w:pos="4320"/>
        <w:tab w:val="right" w:pos="8640"/>
      </w:tabs>
    </w:pPr>
  </w:style>
  <w:style w:type="character" w:customStyle="1" w:styleId="PieddepageCar">
    <w:name w:val="Pied de page Car"/>
    <w:basedOn w:val="Policepardfaut"/>
    <w:link w:val="Pieddepage"/>
    <w:uiPriority w:val="99"/>
    <w:rsid w:val="00DB45EB"/>
    <w:rPr>
      <w:rFonts w:ascii="Arial" w:hAnsi="Arial"/>
      <w:sz w:val="24"/>
      <w:lang w:eastAsia="fr-FR"/>
    </w:rPr>
  </w:style>
  <w:style w:type="character" w:styleId="Hyperlien">
    <w:name w:val="Hyperlink"/>
    <w:basedOn w:val="Policepardfaut"/>
    <w:uiPriority w:val="99"/>
    <w:unhideWhenUsed/>
    <w:rsid w:val="006C70A9"/>
    <w:rPr>
      <w:color w:val="0563C1" w:themeColor="hyperlink"/>
      <w:u w:val="single"/>
    </w:rPr>
  </w:style>
  <w:style w:type="character" w:customStyle="1" w:styleId="Mentionnonrsolue1">
    <w:name w:val="Mention non résolue1"/>
    <w:basedOn w:val="Policepardfaut"/>
    <w:uiPriority w:val="99"/>
    <w:semiHidden/>
    <w:unhideWhenUsed/>
    <w:rsid w:val="006C70A9"/>
    <w:rPr>
      <w:color w:val="605E5C"/>
      <w:shd w:val="clear" w:color="auto" w:fill="E1DFDD"/>
    </w:rPr>
  </w:style>
  <w:style w:type="character" w:styleId="Appelnotedebasdep">
    <w:name w:val="footnote reference"/>
    <w:basedOn w:val="Policepardfaut"/>
    <w:unhideWhenUsed/>
    <w:rsid w:val="006C70A9"/>
    <w:rPr>
      <w:vertAlign w:val="superscript"/>
    </w:rPr>
  </w:style>
  <w:style w:type="paragraph" w:customStyle="1" w:styleId="paragraphe0">
    <w:name w:val="paragraphe"/>
    <w:basedOn w:val="Normal"/>
    <w:rsid w:val="006C70A9"/>
    <w:pPr>
      <w:spacing w:before="100" w:beforeAutospacing="1" w:after="100" w:afterAutospacing="1"/>
    </w:pPr>
    <w:rPr>
      <w:rFonts w:ascii="Times New Roman" w:hAnsi="Times New Roman"/>
      <w:szCs w:val="24"/>
      <w:lang w:eastAsia="fr-CA"/>
    </w:rPr>
  </w:style>
  <w:style w:type="character" w:customStyle="1" w:styleId="solexhl">
    <w:name w:val="solexhl"/>
    <w:basedOn w:val="Policepardfaut"/>
    <w:rsid w:val="006C70A9"/>
  </w:style>
  <w:style w:type="paragraph" w:customStyle="1" w:styleId="citationenretrait0">
    <w:name w:val="citationenretrait"/>
    <w:basedOn w:val="Normal"/>
    <w:rsid w:val="006C70A9"/>
    <w:pPr>
      <w:spacing w:before="100" w:beforeAutospacing="1" w:after="100" w:afterAutospacing="1"/>
    </w:pPr>
    <w:rPr>
      <w:rFonts w:ascii="Times New Roman" w:hAnsi="Times New Roman"/>
      <w:szCs w:val="24"/>
      <w:lang w:eastAsia="fr-CA"/>
    </w:rPr>
  </w:style>
  <w:style w:type="character" w:customStyle="1" w:styleId="reflex">
    <w:name w:val="reflex"/>
    <w:basedOn w:val="Policepardfaut"/>
    <w:rsid w:val="006C70A9"/>
  </w:style>
  <w:style w:type="paragraph" w:customStyle="1" w:styleId="paranondepar-altn">
    <w:name w:val="paranondepar-altn"/>
    <w:basedOn w:val="Normal"/>
    <w:rsid w:val="006C70A9"/>
    <w:pPr>
      <w:spacing w:before="100" w:beforeAutospacing="1" w:after="100" w:afterAutospacing="1"/>
    </w:pPr>
    <w:rPr>
      <w:rFonts w:ascii="Times New Roman" w:hAnsi="Times New Roman"/>
      <w:szCs w:val="24"/>
      <w:lang w:eastAsia="fr-CA"/>
    </w:rPr>
  </w:style>
  <w:style w:type="character" w:customStyle="1" w:styleId="reflex3-missing">
    <w:name w:val="reflex3-missing"/>
    <w:basedOn w:val="Policepardfaut"/>
    <w:rsid w:val="006C70A9"/>
  </w:style>
  <w:style w:type="paragraph" w:customStyle="1" w:styleId="scjnumber">
    <w:name w:val="scjnumber"/>
    <w:basedOn w:val="Normal"/>
    <w:rsid w:val="006C70A9"/>
    <w:pPr>
      <w:spacing w:before="100" w:beforeAutospacing="1" w:after="100" w:afterAutospacing="1"/>
    </w:pPr>
    <w:rPr>
      <w:rFonts w:ascii="Times New Roman" w:hAnsi="Times New Roman"/>
      <w:szCs w:val="24"/>
      <w:lang w:eastAsia="fr-CA"/>
    </w:rPr>
  </w:style>
  <w:style w:type="paragraph" w:customStyle="1" w:styleId="scjquote">
    <w:name w:val="scjquote"/>
    <w:basedOn w:val="Normal"/>
    <w:rsid w:val="006C70A9"/>
    <w:pPr>
      <w:spacing w:before="100" w:beforeAutospacing="1" w:after="100" w:afterAutospacing="1"/>
    </w:pPr>
    <w:rPr>
      <w:rFonts w:ascii="Times New Roman" w:hAnsi="Times New Roman"/>
      <w:szCs w:val="24"/>
      <w:lang w:eastAsia="fr-CA"/>
    </w:rPr>
  </w:style>
  <w:style w:type="character" w:customStyle="1" w:styleId="reflex2-link">
    <w:name w:val="reflex2-link"/>
    <w:basedOn w:val="Policepardfaut"/>
    <w:rsid w:val="006C70A9"/>
  </w:style>
  <w:style w:type="paragraph" w:styleId="Paragraphedeliste">
    <w:name w:val="List Paragraph"/>
    <w:basedOn w:val="Normal"/>
    <w:uiPriority w:val="34"/>
    <w:qFormat/>
    <w:rsid w:val="006C70A9"/>
    <w:pPr>
      <w:ind w:left="720"/>
      <w:contextualSpacing/>
    </w:pPr>
  </w:style>
  <w:style w:type="numbering" w:customStyle="1" w:styleId="Aucuneliste1">
    <w:name w:val="Aucune liste1"/>
    <w:next w:val="Aucuneliste"/>
    <w:uiPriority w:val="99"/>
    <w:semiHidden/>
    <w:unhideWhenUsed/>
    <w:rsid w:val="006C70A9"/>
  </w:style>
  <w:style w:type="paragraph" w:customStyle="1" w:styleId="msonormal0">
    <w:name w:val="msonormal"/>
    <w:basedOn w:val="Normal"/>
    <w:rsid w:val="006C70A9"/>
    <w:pPr>
      <w:spacing w:before="100" w:beforeAutospacing="1" w:after="100" w:afterAutospacing="1"/>
    </w:pPr>
    <w:rPr>
      <w:rFonts w:ascii="Times New Roman" w:hAnsi="Times New Roman"/>
      <w:szCs w:val="24"/>
      <w:lang w:eastAsia="fr-CA"/>
    </w:rPr>
  </w:style>
  <w:style w:type="character" w:styleId="Lienvisit">
    <w:name w:val="FollowedHyperlink"/>
    <w:basedOn w:val="Policepardfaut"/>
    <w:uiPriority w:val="99"/>
    <w:semiHidden/>
    <w:unhideWhenUsed/>
    <w:rsid w:val="006C70A9"/>
    <w:rPr>
      <w:color w:val="800080"/>
      <w:u w:val="single"/>
    </w:rPr>
  </w:style>
  <w:style w:type="character" w:customStyle="1" w:styleId="reflex3-block">
    <w:name w:val="reflex3-block"/>
    <w:basedOn w:val="Policepardfaut"/>
    <w:rsid w:val="006C70A9"/>
  </w:style>
  <w:style w:type="character" w:styleId="Accentuation">
    <w:name w:val="Emphasis"/>
    <w:basedOn w:val="Policepardfaut"/>
    <w:uiPriority w:val="20"/>
    <w:qFormat/>
    <w:rsid w:val="006C70A9"/>
    <w:rPr>
      <w:i/>
      <w:iCs/>
    </w:rPr>
  </w:style>
  <w:style w:type="character" w:customStyle="1" w:styleId="NotedebasdepageCar">
    <w:name w:val="Note de bas de page Car"/>
    <w:basedOn w:val="Policepardfaut"/>
    <w:link w:val="Notedebasdepage"/>
    <w:uiPriority w:val="99"/>
    <w:rsid w:val="006C70A9"/>
    <w:rPr>
      <w:rFonts w:ascii="Arial" w:hAnsi="Arial"/>
      <w:lang w:eastAsia="fr-FR"/>
    </w:rPr>
  </w:style>
  <w:style w:type="paragraph" w:styleId="Listepuces">
    <w:name w:val="List Bullet"/>
    <w:basedOn w:val="Normal"/>
    <w:uiPriority w:val="99"/>
    <w:unhideWhenUsed/>
    <w:rsid w:val="009C5256"/>
    <w:pPr>
      <w:numPr>
        <w:numId w:val="4"/>
      </w:numPr>
      <w:contextualSpacing/>
    </w:pPr>
  </w:style>
  <w:style w:type="character" w:customStyle="1" w:styleId="label-section">
    <w:name w:val="label-section"/>
    <w:basedOn w:val="Policepardfaut"/>
    <w:rsid w:val="006E4242"/>
  </w:style>
  <w:style w:type="character" w:customStyle="1" w:styleId="label-p">
    <w:name w:val="label-p"/>
    <w:basedOn w:val="Policepardfaut"/>
    <w:rsid w:val="006E4242"/>
  </w:style>
  <w:style w:type="character" w:customStyle="1" w:styleId="widthfixforlabel">
    <w:name w:val="widthfixforlabel"/>
    <w:basedOn w:val="Policepardfaut"/>
    <w:rsid w:val="006E4242"/>
  </w:style>
  <w:style w:type="character" w:customStyle="1" w:styleId="paragraph">
    <w:name w:val="paragraph"/>
    <w:basedOn w:val="Policepardfaut"/>
    <w:rsid w:val="006E4242"/>
  </w:style>
  <w:style w:type="character" w:customStyle="1" w:styleId="label-l">
    <w:name w:val="label-l"/>
    <w:basedOn w:val="Policepardfaut"/>
    <w:rsid w:val="006E4242"/>
  </w:style>
  <w:style w:type="character" w:customStyle="1" w:styleId="Normal1">
    <w:name w:val="Normal1"/>
    <w:basedOn w:val="Policepardfaut"/>
    <w:rsid w:val="006E4242"/>
  </w:style>
  <w:style w:type="character" w:customStyle="1" w:styleId="subparagraph">
    <w:name w:val="subparagraph"/>
    <w:basedOn w:val="Policepardfaut"/>
    <w:rsid w:val="006E4242"/>
  </w:style>
  <w:style w:type="character" w:customStyle="1" w:styleId="label-z">
    <w:name w:val="label-z"/>
    <w:basedOn w:val="Policepardfaut"/>
    <w:rsid w:val="006E4242"/>
  </w:style>
  <w:style w:type="character" w:customStyle="1" w:styleId="clause">
    <w:name w:val="clause"/>
    <w:basedOn w:val="Policepardfaut"/>
    <w:rsid w:val="006E4242"/>
  </w:style>
  <w:style w:type="character" w:customStyle="1" w:styleId="italic">
    <w:name w:val="italic"/>
    <w:basedOn w:val="Policepardfaut"/>
    <w:rsid w:val="006E4242"/>
  </w:style>
  <w:style w:type="paragraph" w:styleId="En-ttedetabledesmatires">
    <w:name w:val="TOC Heading"/>
    <w:basedOn w:val="Titre1"/>
    <w:next w:val="Normal"/>
    <w:uiPriority w:val="39"/>
    <w:unhideWhenUsed/>
    <w:qFormat/>
    <w:rsid w:val="006E4242"/>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lang w:eastAsia="fr-CA"/>
    </w:rPr>
  </w:style>
  <w:style w:type="paragraph" w:styleId="TM1">
    <w:name w:val="toc 1"/>
    <w:basedOn w:val="Normal"/>
    <w:next w:val="Normal"/>
    <w:autoRedefine/>
    <w:uiPriority w:val="39"/>
    <w:unhideWhenUsed/>
    <w:rsid w:val="006E4242"/>
    <w:pPr>
      <w:spacing w:after="100"/>
    </w:pPr>
  </w:style>
  <w:style w:type="paragraph" w:styleId="TM2">
    <w:name w:val="toc 2"/>
    <w:basedOn w:val="Normal"/>
    <w:next w:val="Normal"/>
    <w:autoRedefine/>
    <w:uiPriority w:val="39"/>
    <w:unhideWhenUsed/>
    <w:rsid w:val="00917812"/>
    <w:pPr>
      <w:tabs>
        <w:tab w:val="left" w:pos="720"/>
        <w:tab w:val="right" w:leader="dot" w:pos="9352"/>
      </w:tabs>
      <w:spacing w:after="100"/>
      <w:ind w:left="240"/>
    </w:pPr>
    <w:rPr>
      <w:b/>
      <w:bCs/>
      <w:noProof/>
    </w:rPr>
  </w:style>
  <w:style w:type="paragraph" w:styleId="TM3">
    <w:name w:val="toc 3"/>
    <w:basedOn w:val="Normal"/>
    <w:next w:val="Normal"/>
    <w:autoRedefine/>
    <w:uiPriority w:val="39"/>
    <w:unhideWhenUsed/>
    <w:rsid w:val="00917812"/>
    <w:pPr>
      <w:tabs>
        <w:tab w:val="left" w:pos="1200"/>
        <w:tab w:val="right" w:leader="dot" w:pos="9352"/>
      </w:tabs>
      <w:spacing w:after="100"/>
      <w:ind w:left="480"/>
    </w:pPr>
    <w:rPr>
      <w:b/>
      <w:bCs/>
      <w:noProof/>
    </w:rPr>
  </w:style>
  <w:style w:type="character" w:customStyle="1" w:styleId="Corpsdutexte3">
    <w:name w:val="Corps du texte (3)_"/>
    <w:basedOn w:val="Policepardfaut"/>
    <w:link w:val="Corpsdutexte30"/>
    <w:rsid w:val="006E4242"/>
    <w:rPr>
      <w:rFonts w:ascii="Arial" w:eastAsia="Arial" w:hAnsi="Arial" w:cs="Arial"/>
      <w:sz w:val="22"/>
      <w:szCs w:val="22"/>
      <w:shd w:val="clear" w:color="auto" w:fill="FFFFFF"/>
    </w:rPr>
  </w:style>
  <w:style w:type="paragraph" w:customStyle="1" w:styleId="Corpsdutexte30">
    <w:name w:val="Corps du texte (3)"/>
    <w:basedOn w:val="Normal"/>
    <w:link w:val="Corpsdutexte3"/>
    <w:rsid w:val="006E4242"/>
    <w:pPr>
      <w:widowControl w:val="0"/>
      <w:shd w:val="clear" w:color="auto" w:fill="FFFFFF"/>
      <w:spacing w:after="300" w:line="246" w:lineRule="exact"/>
      <w:ind w:hanging="380"/>
      <w:jc w:val="both"/>
    </w:pPr>
    <w:rPr>
      <w:rFonts w:eastAsia="Arial" w:cs="Arial"/>
      <w:sz w:val="22"/>
      <w:szCs w:val="22"/>
      <w:lang w:eastAsia="fr-CA"/>
    </w:rPr>
  </w:style>
  <w:style w:type="character" w:customStyle="1" w:styleId="corpsdutexte6nongrasnonitalique">
    <w:name w:val="corpsdutexte6nongrasnonitalique"/>
    <w:basedOn w:val="Policepardfaut"/>
    <w:rsid w:val="006E4242"/>
  </w:style>
  <w:style w:type="table" w:styleId="Grilledutableau">
    <w:name w:val="Table Grid"/>
    <w:basedOn w:val="TableauNormal"/>
    <w:uiPriority w:val="39"/>
    <w:rsid w:val="006E4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E4242"/>
    <w:rPr>
      <w:b/>
      <w:bCs/>
    </w:rPr>
  </w:style>
  <w:style w:type="character" w:customStyle="1" w:styleId="bold1">
    <w:name w:val="bold1"/>
    <w:basedOn w:val="Policepardfaut"/>
    <w:rsid w:val="00217A5B"/>
  </w:style>
  <w:style w:type="character" w:customStyle="1" w:styleId="Corpsdutexte5">
    <w:name w:val="Corps du texte (5)_"/>
    <w:basedOn w:val="Policepardfaut"/>
    <w:link w:val="Corpsdutexte50"/>
    <w:rsid w:val="004C2AB7"/>
    <w:rPr>
      <w:rFonts w:ascii="Arial" w:eastAsia="Arial" w:hAnsi="Arial" w:cs="Arial"/>
      <w:sz w:val="19"/>
      <w:szCs w:val="19"/>
      <w:shd w:val="clear" w:color="auto" w:fill="FFFFFF"/>
    </w:rPr>
  </w:style>
  <w:style w:type="character" w:customStyle="1" w:styleId="Corpsdutexte5Italique">
    <w:name w:val="Corps du texte (5) + Italique"/>
    <w:basedOn w:val="Corpsdutexte5"/>
    <w:rsid w:val="004C2AB7"/>
    <w:rPr>
      <w:rFonts w:ascii="Arial" w:eastAsia="Arial" w:hAnsi="Arial" w:cs="Arial"/>
      <w:i/>
      <w:iCs/>
      <w:color w:val="000000"/>
      <w:spacing w:val="0"/>
      <w:w w:val="100"/>
      <w:position w:val="0"/>
      <w:sz w:val="19"/>
      <w:szCs w:val="19"/>
      <w:shd w:val="clear" w:color="auto" w:fill="FFFFFF"/>
      <w:lang w:val="fr-FR" w:eastAsia="fr-FR" w:bidi="fr-FR"/>
    </w:rPr>
  </w:style>
  <w:style w:type="character" w:customStyle="1" w:styleId="Corpsdutexte2NonItalique">
    <w:name w:val="Corps du texte (2) + Non Italique"/>
    <w:basedOn w:val="Policepardfaut"/>
    <w:rsid w:val="004C2AB7"/>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
    <w:name w:val="Corps du texte (2)"/>
    <w:basedOn w:val="Policepardfaut"/>
    <w:rsid w:val="004C2AB7"/>
    <w:rPr>
      <w:rFonts w:ascii="Arial" w:eastAsia="Arial" w:hAnsi="Arial" w:cs="Arial"/>
      <w:b w:val="0"/>
      <w:bCs w:val="0"/>
      <w:i/>
      <w:iCs/>
      <w:smallCaps w:val="0"/>
      <w:strike w:val="0"/>
      <w:color w:val="000000"/>
      <w:spacing w:val="0"/>
      <w:w w:val="100"/>
      <w:position w:val="0"/>
      <w:sz w:val="19"/>
      <w:szCs w:val="19"/>
      <w:u w:val="single"/>
      <w:lang w:val="fr-FR" w:eastAsia="fr-FR" w:bidi="fr-FR"/>
    </w:rPr>
  </w:style>
  <w:style w:type="character" w:customStyle="1" w:styleId="Corpsdutexte8">
    <w:name w:val="Corps du texte (8)_"/>
    <w:basedOn w:val="Policepardfaut"/>
    <w:link w:val="Corpsdutexte80"/>
    <w:rsid w:val="004C2AB7"/>
    <w:rPr>
      <w:rFonts w:ascii="Arial" w:eastAsia="Arial" w:hAnsi="Arial" w:cs="Arial"/>
      <w:i/>
      <w:iCs/>
      <w:sz w:val="22"/>
      <w:szCs w:val="22"/>
      <w:shd w:val="clear" w:color="auto" w:fill="FFFFFF"/>
    </w:rPr>
  </w:style>
  <w:style w:type="character" w:customStyle="1" w:styleId="Corpsdutexte8NonItalique">
    <w:name w:val="Corps du texte (8) + Non Italique"/>
    <w:basedOn w:val="Corpsdutexte8"/>
    <w:rsid w:val="004C2AB7"/>
    <w:rPr>
      <w:rFonts w:ascii="Arial" w:eastAsia="Arial" w:hAnsi="Arial" w:cs="Arial"/>
      <w:i/>
      <w:iCs/>
      <w:color w:val="000000"/>
      <w:spacing w:val="0"/>
      <w:w w:val="100"/>
      <w:position w:val="0"/>
      <w:sz w:val="22"/>
      <w:szCs w:val="22"/>
      <w:shd w:val="clear" w:color="auto" w:fill="FFFFFF"/>
      <w:lang w:val="fr-FR" w:eastAsia="fr-FR" w:bidi="fr-FR"/>
    </w:rPr>
  </w:style>
  <w:style w:type="character" w:customStyle="1" w:styleId="Corpsdutexte211ptNonItalique">
    <w:name w:val="Corps du texte (2) + 11 pt;Non Italique"/>
    <w:basedOn w:val="Policepardfaut"/>
    <w:rsid w:val="004C2AB7"/>
    <w:rPr>
      <w:rFonts w:ascii="Arial" w:eastAsia="Arial" w:hAnsi="Arial" w:cs="Arial"/>
      <w:b w:val="0"/>
      <w:bCs w:val="0"/>
      <w:i/>
      <w:iCs/>
      <w:smallCaps w:val="0"/>
      <w:strike w:val="0"/>
      <w:color w:val="000000"/>
      <w:spacing w:val="0"/>
      <w:w w:val="100"/>
      <w:position w:val="0"/>
      <w:sz w:val="22"/>
      <w:szCs w:val="22"/>
      <w:u w:val="none"/>
      <w:lang w:val="fr-FR" w:eastAsia="fr-FR" w:bidi="fr-FR"/>
    </w:rPr>
  </w:style>
  <w:style w:type="paragraph" w:customStyle="1" w:styleId="Corpsdutexte50">
    <w:name w:val="Corps du texte (5)"/>
    <w:basedOn w:val="Normal"/>
    <w:link w:val="Corpsdutexte5"/>
    <w:rsid w:val="004C2AB7"/>
    <w:pPr>
      <w:widowControl w:val="0"/>
      <w:shd w:val="clear" w:color="auto" w:fill="FFFFFF"/>
      <w:spacing w:line="542" w:lineRule="exact"/>
      <w:ind w:hanging="400"/>
    </w:pPr>
    <w:rPr>
      <w:rFonts w:eastAsia="Arial" w:cs="Arial"/>
      <w:sz w:val="19"/>
      <w:szCs w:val="19"/>
      <w:lang w:eastAsia="fr-CA"/>
    </w:rPr>
  </w:style>
  <w:style w:type="paragraph" w:customStyle="1" w:styleId="Corpsdutexte80">
    <w:name w:val="Corps du texte (8)"/>
    <w:basedOn w:val="Normal"/>
    <w:link w:val="Corpsdutexte8"/>
    <w:rsid w:val="004C2AB7"/>
    <w:pPr>
      <w:widowControl w:val="0"/>
      <w:shd w:val="clear" w:color="auto" w:fill="FFFFFF"/>
      <w:spacing w:before="260" w:after="260" w:line="246" w:lineRule="exact"/>
      <w:jc w:val="both"/>
    </w:pPr>
    <w:rPr>
      <w:rFonts w:eastAsia="Arial" w:cs="Arial"/>
      <w:i/>
      <w:iCs/>
      <w:sz w:val="22"/>
      <w:szCs w:val="22"/>
      <w:lang w:eastAsia="fr-CA"/>
    </w:rPr>
  </w:style>
  <w:style w:type="paragraph" w:customStyle="1" w:styleId="paragrdouble">
    <w:name w:val="paragrdouble"/>
    <w:basedOn w:val="Normal"/>
    <w:rsid w:val="00E40A28"/>
    <w:pPr>
      <w:spacing w:before="100" w:beforeAutospacing="1" w:after="100" w:afterAutospacing="1"/>
    </w:pPr>
    <w:rPr>
      <w:rFonts w:ascii="Times New Roman" w:eastAsiaTheme="minorEastAsia" w:hAnsi="Times New Roman"/>
      <w:szCs w:val="24"/>
      <w:lang w:val="en-CA" w:eastAsia="en-US"/>
    </w:rPr>
  </w:style>
  <w:style w:type="character" w:customStyle="1" w:styleId="apple-converted-space">
    <w:name w:val="apple-converted-space"/>
    <w:basedOn w:val="Policepardfaut"/>
    <w:rsid w:val="00E40A28"/>
  </w:style>
  <w:style w:type="paragraph" w:customStyle="1" w:styleId="Fincit">
    <w:name w:val="Fin cit."/>
    <w:basedOn w:val="Citation"/>
    <w:next w:val="Normal"/>
    <w:uiPriority w:val="29"/>
    <w:qFormat/>
    <w:rsid w:val="002C693A"/>
    <w:pPr>
      <w:spacing w:before="0" w:after="360"/>
      <w:ind w:left="567" w:right="590"/>
      <w:jc w:val="both"/>
    </w:pPr>
    <w:rPr>
      <w:rFonts w:ascii="Times New Roman" w:hAnsi="Times New Roman"/>
      <w:i w:val="0"/>
      <w:iCs w:val="0"/>
      <w:color w:val="auto"/>
      <w:sz w:val="22"/>
    </w:rPr>
  </w:style>
  <w:style w:type="paragraph" w:styleId="Citation">
    <w:name w:val="Quote"/>
    <w:basedOn w:val="Normal"/>
    <w:next w:val="Normal"/>
    <w:link w:val="CitationCar"/>
    <w:uiPriority w:val="29"/>
    <w:qFormat/>
    <w:rsid w:val="002C693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C693A"/>
    <w:rPr>
      <w:rFonts w:ascii="Arial" w:hAnsi="Arial"/>
      <w:i/>
      <w:iCs/>
      <w:color w:val="404040" w:themeColor="text1" w:themeTint="BF"/>
      <w:sz w:val="24"/>
      <w:lang w:eastAsia="fr-FR"/>
    </w:rPr>
  </w:style>
  <w:style w:type="paragraph" w:customStyle="1" w:styleId="1">
    <w:name w:val="1"/>
    <w:basedOn w:val="Normal"/>
    <w:rsid w:val="002D0FE7"/>
    <w:pPr>
      <w:spacing w:before="100" w:beforeAutospacing="1" w:after="100" w:afterAutospacing="1"/>
    </w:pPr>
    <w:rPr>
      <w:rFonts w:ascii="Times New Roman" w:hAnsi="Times New Roman"/>
      <w:szCs w:val="24"/>
      <w:lang w:eastAsia="fr-CA"/>
    </w:rPr>
  </w:style>
  <w:style w:type="paragraph" w:customStyle="1" w:styleId="Texte">
    <w:name w:val="Texte"/>
    <w:basedOn w:val="Normal"/>
    <w:link w:val="TexteCar"/>
    <w:qFormat/>
    <w:rsid w:val="002D0FE7"/>
    <w:pPr>
      <w:spacing w:after="240" w:line="360" w:lineRule="auto"/>
      <w:jc w:val="both"/>
    </w:pPr>
    <w:rPr>
      <w:rFonts w:ascii="Times New Roman" w:hAnsi="Times New Roman"/>
    </w:rPr>
  </w:style>
  <w:style w:type="character" w:customStyle="1" w:styleId="TexteCar">
    <w:name w:val="Texte Car"/>
    <w:link w:val="Texte"/>
    <w:rsid w:val="002D0FE7"/>
    <w:rPr>
      <w:sz w:val="24"/>
      <w:lang w:eastAsia="fr-FR"/>
    </w:rPr>
  </w:style>
  <w:style w:type="paragraph" w:customStyle="1" w:styleId="Default">
    <w:name w:val="Default"/>
    <w:rsid w:val="000057B8"/>
    <w:pPr>
      <w:autoSpaceDE w:val="0"/>
      <w:autoSpaceDN w:val="0"/>
      <w:adjustRightInd w:val="0"/>
    </w:pPr>
    <w:rPr>
      <w:rFonts w:ascii="Arial" w:hAnsi="Arial" w:cs="Arial"/>
      <w:color w:val="000000"/>
      <w:sz w:val="24"/>
      <w:szCs w:val="24"/>
    </w:rPr>
  </w:style>
  <w:style w:type="character" w:customStyle="1" w:styleId="s1">
    <w:name w:val="s1"/>
    <w:basedOn w:val="Policepardfaut"/>
    <w:rsid w:val="0035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4D2C-D7D7-1946-BFFC-05B2AF67B7E1}">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18914</Words>
  <Characters>104030</Characters>
  <Application>Microsoft Office Word</Application>
  <DocSecurity>0</DocSecurity>
  <Lines>866</Lines>
  <Paragraphs>245</Paragraphs>
  <ScaleCrop>false</ScaleCrop>
  <Company/>
  <LinksUpToDate>false</LinksUpToDate>
  <CharactersWithSpaces>122699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Deschênes, Gabrielle</cp:lastModifiedBy>
  <cp:revision>4</cp:revision>
  <dcterms:created xsi:type="dcterms:W3CDTF">2026-03-23T11:13:00Z</dcterms:created>
  <dcterms:modified xsi:type="dcterms:W3CDTF">2026-03-23T13:29:00Z</dcterms:modified>
</cp:coreProperties>
</file>