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"/>
        <w:gridCol w:w="69"/>
        <w:gridCol w:w="510"/>
        <w:gridCol w:w="5475"/>
        <w:gridCol w:w="2415"/>
      </w:tblGrid>
      <w:tr w:rsidR="008533B5" w14:paraId="6158547A" w14:textId="77777777">
        <w:trPr>
          <w:trHeight w:val="360"/>
        </w:trPr>
        <w:tc>
          <w:tcPr>
            <w:tcW w:w="7090" w:type="dxa"/>
            <w:gridSpan w:val="4"/>
          </w:tcPr>
          <w:p w14:paraId="60518716" w14:textId="58046FEA" w:rsidR="00121A72" w:rsidRPr="00B67DB9" w:rsidRDefault="00B67DB9" w:rsidP="00B67DB9">
            <w:pPr>
              <w:pStyle w:val="zSoquijdatRepertorie"/>
              <w:rPr>
                <w:rFonts w:cs="Arial"/>
              </w:rPr>
            </w:pPr>
            <w:r>
              <w:rPr>
                <w:rFonts w:cs="Arial"/>
                <w:lang w:eastAsia="fr-CA"/>
              </w:rPr>
              <w:t>Desnoyers c. Amazon.com inc.</w:t>
            </w:r>
          </w:p>
        </w:tc>
        <w:tc>
          <w:tcPr>
            <w:tcW w:w="2415" w:type="dxa"/>
          </w:tcPr>
          <w:p w14:paraId="32B83F12" w14:textId="4DDA366C" w:rsidR="00121A72" w:rsidRPr="00CE1C86" w:rsidRDefault="00CE1C86" w:rsidP="00CE1C86">
            <w:pPr>
              <w:pStyle w:val="zSoquijdatRefNeutre"/>
              <w:jc w:val="right"/>
              <w:rPr>
                <w:rFonts w:cs="Arial"/>
              </w:rPr>
            </w:pPr>
            <w:r w:rsidRPr="00CE1C86">
              <w:rPr>
                <w:rFonts w:cs="Arial"/>
              </w:rPr>
              <w:t>2026 QCCS 1680</w:t>
            </w:r>
          </w:p>
        </w:tc>
      </w:tr>
      <w:tr w:rsidR="008533B5" w14:paraId="0CD9B7B4" w14:textId="77777777">
        <w:trPr>
          <w:trHeight w:val="900"/>
        </w:trPr>
        <w:tc>
          <w:tcPr>
            <w:tcW w:w="9505" w:type="dxa"/>
            <w:gridSpan w:val="5"/>
            <w:vAlign w:val="bottom"/>
          </w:tcPr>
          <w:p w14:paraId="14ADBC57" w14:textId="77777777" w:rsidR="00121A72" w:rsidRDefault="00402023" w:rsidP="00D26929">
            <w:pPr>
              <w:pStyle w:val="zSoquijlblCour"/>
            </w:pPr>
            <w:r>
              <w:t>COUR SUPÉRIEURE</w:t>
            </w:r>
          </w:p>
          <w:p w14:paraId="681F1E49" w14:textId="77777777" w:rsidR="00302A12" w:rsidRPr="00B11D39" w:rsidRDefault="00402023" w:rsidP="00D26929">
            <w:pPr>
              <w:pStyle w:val="zSoquijlblCour"/>
            </w:pPr>
            <w:r w:rsidRPr="00B11D39">
              <w:rPr>
                <w:sz w:val="24"/>
                <w:szCs w:val="24"/>
              </w:rPr>
              <w:t>(Chambre des actions collectives)</w:t>
            </w:r>
          </w:p>
        </w:tc>
      </w:tr>
      <w:tr w:rsidR="008533B5" w14:paraId="3B8C7A65" w14:textId="77777777">
        <w:trPr>
          <w:trHeight w:val="540"/>
        </w:trPr>
        <w:tc>
          <w:tcPr>
            <w:tcW w:w="9505" w:type="dxa"/>
            <w:gridSpan w:val="5"/>
          </w:tcPr>
          <w:p w14:paraId="17693E6C" w14:textId="77777777" w:rsidR="00121A72" w:rsidRDefault="00121A72" w:rsidP="00D26929">
            <w:pPr>
              <w:pStyle w:val="zSoquijdatDivision"/>
            </w:pPr>
          </w:p>
        </w:tc>
      </w:tr>
      <w:tr w:rsidR="008533B5" w14:paraId="1714BFF9" w14:textId="77777777">
        <w:tc>
          <w:tcPr>
            <w:tcW w:w="9505" w:type="dxa"/>
            <w:gridSpan w:val="5"/>
          </w:tcPr>
          <w:p w14:paraId="17404145" w14:textId="77777777" w:rsidR="00121A72" w:rsidRPr="00C025FC" w:rsidRDefault="00402023" w:rsidP="00D26929">
            <w:pPr>
              <w:pStyle w:val="zSoquijlblPays"/>
            </w:pPr>
            <w:r w:rsidRPr="00C025FC">
              <w:t>CANADA</w:t>
            </w:r>
          </w:p>
        </w:tc>
      </w:tr>
      <w:tr w:rsidR="008533B5" w14:paraId="5A1D905E" w14:textId="77777777">
        <w:tc>
          <w:tcPr>
            <w:tcW w:w="9505" w:type="dxa"/>
            <w:gridSpan w:val="5"/>
          </w:tcPr>
          <w:p w14:paraId="12156703" w14:textId="77777777" w:rsidR="00121A72" w:rsidRDefault="00402023" w:rsidP="00D26929">
            <w:pPr>
              <w:pStyle w:val="zSoquijlblProvince"/>
            </w:pPr>
            <w:r>
              <w:t>PROVINCE DE QUÉBEC</w:t>
            </w:r>
          </w:p>
        </w:tc>
      </w:tr>
      <w:tr w:rsidR="008533B5" w14:paraId="44385830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615" w:type="dxa"/>
            <w:gridSpan w:val="3"/>
          </w:tcPr>
          <w:p w14:paraId="3B383B6B" w14:textId="77777777" w:rsidR="00121A72" w:rsidRDefault="00402023" w:rsidP="00D26929">
            <w:pPr>
              <w:pStyle w:val="zSoquijlblGreffe"/>
            </w:pPr>
            <w:r>
              <w:t>DISTRICT DE</w:t>
            </w:r>
          </w:p>
        </w:tc>
        <w:tc>
          <w:tcPr>
            <w:tcW w:w="7890" w:type="dxa"/>
            <w:gridSpan w:val="2"/>
          </w:tcPr>
          <w:p w14:paraId="774C4678" w14:textId="77777777" w:rsidR="00121A72" w:rsidRDefault="00402023" w:rsidP="00D26929">
            <w:pPr>
              <w:pStyle w:val="zSoquijdatGreffe"/>
            </w:pPr>
            <w:r>
              <w:t>MONTRÉAL</w:t>
            </w:r>
          </w:p>
        </w:tc>
      </w:tr>
      <w:tr w:rsidR="008533B5" w14:paraId="3CCC05BE" w14:textId="77777777">
        <w:trPr>
          <w:trHeight w:val="540"/>
        </w:trPr>
        <w:tc>
          <w:tcPr>
            <w:tcW w:w="9505" w:type="dxa"/>
            <w:gridSpan w:val="5"/>
          </w:tcPr>
          <w:p w14:paraId="409C072C" w14:textId="77777777" w:rsidR="00121A72" w:rsidRDefault="00121A72" w:rsidP="00D26929">
            <w:pPr>
              <w:pStyle w:val="zSoquijlblNomChambre"/>
            </w:pPr>
          </w:p>
        </w:tc>
      </w:tr>
      <w:tr w:rsidR="008533B5" w14:paraId="32104BDA" w14:textId="77777777">
        <w:tc>
          <w:tcPr>
            <w:tcW w:w="1105" w:type="dxa"/>
            <w:gridSpan w:val="2"/>
          </w:tcPr>
          <w:p w14:paraId="7A050CEE" w14:textId="77777777" w:rsidR="00121A72" w:rsidRDefault="00402023" w:rsidP="00D26929">
            <w:pPr>
              <w:pStyle w:val="zSoquijlblNoDossier"/>
            </w:pPr>
            <w:r>
              <w:t>N</w:t>
            </w:r>
            <w:r w:rsidR="008A7DDE">
              <w:rPr>
                <w:vertAlign w:val="superscript"/>
              </w:rPr>
              <w:t>o</w:t>
            </w:r>
            <w:r>
              <w:t> :</w:t>
            </w:r>
          </w:p>
        </w:tc>
        <w:tc>
          <w:tcPr>
            <w:tcW w:w="8400" w:type="dxa"/>
            <w:gridSpan w:val="3"/>
          </w:tcPr>
          <w:p w14:paraId="2ECE0E88" w14:textId="77777777" w:rsidR="00121A72" w:rsidRDefault="00402023" w:rsidP="009E7E11">
            <w:pPr>
              <w:pStyle w:val="zSoquijdatNoDossier"/>
              <w:ind w:left="-69"/>
            </w:pPr>
            <w:r>
              <w:t>500-06-001358-254</w:t>
            </w:r>
          </w:p>
        </w:tc>
      </w:tr>
      <w:tr w:rsidR="008533B5" w14:paraId="0D6E7B3C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05" w:type="dxa"/>
            <w:gridSpan w:val="2"/>
          </w:tcPr>
          <w:p w14:paraId="363AB8DF" w14:textId="77777777" w:rsidR="00121A72" w:rsidRDefault="00121A72" w:rsidP="00D26929">
            <w:pPr>
              <w:pStyle w:val="zSoquijlblGreffe"/>
            </w:pPr>
          </w:p>
        </w:tc>
        <w:tc>
          <w:tcPr>
            <w:tcW w:w="8400" w:type="dxa"/>
            <w:gridSpan w:val="3"/>
          </w:tcPr>
          <w:p w14:paraId="05D31237" w14:textId="77777777" w:rsidR="00121A72" w:rsidRDefault="00121A72" w:rsidP="00D26929">
            <w:pPr>
              <w:pStyle w:val="zSoquijdatNoDossierAnt"/>
            </w:pPr>
          </w:p>
        </w:tc>
      </w:tr>
      <w:tr w:rsidR="008533B5" w14:paraId="0D309F12" w14:textId="77777777">
        <w:trPr>
          <w:cantSplit/>
          <w:trHeight w:val="235"/>
        </w:trPr>
        <w:tc>
          <w:tcPr>
            <w:tcW w:w="9505" w:type="dxa"/>
            <w:gridSpan w:val="5"/>
          </w:tcPr>
          <w:p w14:paraId="627A6990" w14:textId="77777777" w:rsidR="00121A72" w:rsidRDefault="00121A72" w:rsidP="00D26929"/>
        </w:tc>
      </w:tr>
      <w:tr w:rsidR="008533B5" w14:paraId="34A1639A" w14:textId="77777777">
        <w:tc>
          <w:tcPr>
            <w:tcW w:w="1036" w:type="dxa"/>
          </w:tcPr>
          <w:p w14:paraId="1D531C48" w14:textId="77777777" w:rsidR="00121A72" w:rsidRDefault="00402023" w:rsidP="00D26929">
            <w:pPr>
              <w:pStyle w:val="zSoquijlblDateJugement"/>
            </w:pPr>
            <w:r>
              <w:t>DATE :</w:t>
            </w:r>
          </w:p>
        </w:tc>
        <w:tc>
          <w:tcPr>
            <w:tcW w:w="8469" w:type="dxa"/>
            <w:gridSpan w:val="4"/>
          </w:tcPr>
          <w:p w14:paraId="1870A61D" w14:textId="77777777" w:rsidR="00121A72" w:rsidRDefault="00402023" w:rsidP="00D26929">
            <w:pPr>
              <w:pStyle w:val="zSoquijdatDateJugement"/>
            </w:pPr>
            <w:r w:rsidRPr="007B6AB2">
              <w:t>Le</w:t>
            </w:r>
            <w:r w:rsidR="007B6AB2" w:rsidRPr="007B6AB2">
              <w:t xml:space="preserve"> </w:t>
            </w:r>
            <w:r w:rsidR="00985F22">
              <w:t>8</w:t>
            </w:r>
            <w:r w:rsidR="007B6AB2" w:rsidRPr="007B6AB2">
              <w:t xml:space="preserve"> mai </w:t>
            </w:r>
            <w:r w:rsidRPr="007B6AB2">
              <w:t>2026</w:t>
            </w:r>
          </w:p>
        </w:tc>
      </w:tr>
      <w:tr w:rsidR="008533B5" w14:paraId="226A623C" w14:textId="77777777">
        <w:tc>
          <w:tcPr>
            <w:tcW w:w="9505" w:type="dxa"/>
            <w:gridSpan w:val="5"/>
          </w:tcPr>
          <w:p w14:paraId="2E76E636" w14:textId="77777777" w:rsidR="00121A72" w:rsidRDefault="00402023" w:rsidP="00D26929">
            <w:pPr>
              <w:ind w:left="14" w:right="-67"/>
            </w:pPr>
            <w:r>
              <w:t>______________________________________________________________________</w:t>
            </w:r>
          </w:p>
        </w:tc>
      </w:tr>
      <w:tr w:rsidR="008533B5" w14:paraId="5D91AF61" w14:textId="77777777">
        <w:tc>
          <w:tcPr>
            <w:tcW w:w="9505" w:type="dxa"/>
            <w:gridSpan w:val="5"/>
          </w:tcPr>
          <w:p w14:paraId="66476F9C" w14:textId="77777777" w:rsidR="00121A72" w:rsidRDefault="00121A72" w:rsidP="00D26929"/>
        </w:tc>
      </w:tr>
      <w:tr w:rsidR="008533B5" w14:paraId="1AA65650" w14:textId="77777777" w:rsidTr="00B31FDC">
        <w:tblPrEx>
          <w:tblCellMar>
            <w:left w:w="0" w:type="dxa"/>
            <w:right w:w="0" w:type="dxa"/>
          </w:tblCellMar>
        </w:tblPrEx>
        <w:tc>
          <w:tcPr>
            <w:tcW w:w="9505" w:type="dxa"/>
            <w:gridSpan w:val="5"/>
          </w:tcPr>
          <w:p w14:paraId="3901F1CF" w14:textId="77777777" w:rsidR="00AC406B" w:rsidRDefault="00402023" w:rsidP="00AC406B">
            <w:pPr>
              <w:pStyle w:val="zSoquijlblJuge"/>
            </w:pPr>
            <w:r>
              <w:t>SOUS LA PRÉSIDENCE DE L’HONORABLE DOMINIQUE POULIN, J.C.S.</w:t>
            </w:r>
          </w:p>
        </w:tc>
      </w:tr>
      <w:tr w:rsidR="008533B5" w14:paraId="01F4CE70" w14:textId="77777777">
        <w:tc>
          <w:tcPr>
            <w:tcW w:w="9505" w:type="dxa"/>
            <w:gridSpan w:val="5"/>
          </w:tcPr>
          <w:p w14:paraId="7A49F2CE" w14:textId="77777777" w:rsidR="00121A72" w:rsidRDefault="00402023" w:rsidP="00D26929">
            <w:pPr>
              <w:ind w:left="14" w:right="-67"/>
            </w:pPr>
            <w:r>
              <w:t>______________________________________________________________________</w:t>
            </w:r>
          </w:p>
        </w:tc>
      </w:tr>
      <w:tr w:rsidR="008533B5" w14:paraId="4BB96FBA" w14:textId="77777777">
        <w:tc>
          <w:tcPr>
            <w:tcW w:w="9505" w:type="dxa"/>
            <w:gridSpan w:val="5"/>
          </w:tcPr>
          <w:p w14:paraId="27A04D12" w14:textId="77777777" w:rsidR="00121A72" w:rsidRDefault="00121A72" w:rsidP="00D26929">
            <w:pPr>
              <w:pStyle w:val="zSoquijlblTitrePartie"/>
            </w:pPr>
          </w:p>
        </w:tc>
      </w:tr>
      <w:tr w:rsidR="008533B5" w14:paraId="304AD0EE" w14:textId="77777777">
        <w:tc>
          <w:tcPr>
            <w:tcW w:w="9505" w:type="dxa"/>
            <w:gridSpan w:val="5"/>
          </w:tcPr>
          <w:p w14:paraId="2400084A" w14:textId="77777777" w:rsidR="00121A72" w:rsidRDefault="00121A72" w:rsidP="00D26929"/>
        </w:tc>
      </w:tr>
      <w:tr w:rsidR="008533B5" w14:paraId="05054681" w14:textId="77777777">
        <w:tc>
          <w:tcPr>
            <w:tcW w:w="9505" w:type="dxa"/>
            <w:gridSpan w:val="5"/>
          </w:tcPr>
          <w:p w14:paraId="413E1054" w14:textId="77777777" w:rsidR="00121A72" w:rsidRDefault="00402023" w:rsidP="00D26929">
            <w:pPr>
              <w:pStyle w:val="zSoquijdatNomPartieDem"/>
            </w:pPr>
            <w:r>
              <w:t>JEAN DESNOYERS</w:t>
            </w:r>
          </w:p>
        </w:tc>
      </w:tr>
      <w:tr w:rsidR="008533B5" w14:paraId="44EA2E5C" w14:textId="77777777">
        <w:tc>
          <w:tcPr>
            <w:tcW w:w="9505" w:type="dxa"/>
            <w:gridSpan w:val="5"/>
          </w:tcPr>
          <w:p w14:paraId="366E6A20" w14:textId="77777777" w:rsidR="00121A72" w:rsidRDefault="00402023" w:rsidP="00D26929">
            <w:pPr>
              <w:pStyle w:val="zSoquijdatQtePartieDem"/>
            </w:pPr>
            <w:r>
              <w:t>Demandeur</w:t>
            </w:r>
          </w:p>
        </w:tc>
      </w:tr>
      <w:tr w:rsidR="008533B5" w14:paraId="36E77240" w14:textId="77777777">
        <w:tc>
          <w:tcPr>
            <w:tcW w:w="9505" w:type="dxa"/>
            <w:gridSpan w:val="5"/>
          </w:tcPr>
          <w:p w14:paraId="67014601" w14:textId="77777777" w:rsidR="00121A72" w:rsidRDefault="00402023" w:rsidP="00D26929">
            <w:pPr>
              <w:pStyle w:val="zSoquijlblLienParties"/>
            </w:pPr>
            <w:r>
              <w:t>c.</w:t>
            </w:r>
          </w:p>
        </w:tc>
      </w:tr>
      <w:tr w:rsidR="008533B5" w14:paraId="4D8CCDCC" w14:textId="77777777">
        <w:tc>
          <w:tcPr>
            <w:tcW w:w="9505" w:type="dxa"/>
            <w:gridSpan w:val="5"/>
          </w:tcPr>
          <w:p w14:paraId="6816CB94" w14:textId="77777777" w:rsidR="00121A72" w:rsidRDefault="00402023" w:rsidP="00D26929">
            <w:pPr>
              <w:pStyle w:val="zSoquijdatNomPartieDef"/>
            </w:pPr>
            <w:r>
              <w:rPr>
                <w:rFonts w:cs="Arial"/>
                <w:noProof/>
              </w:rPr>
              <w:t>A</w:t>
            </w:r>
            <w:r w:rsidRPr="003A48BA">
              <w:rPr>
                <w:rFonts w:cs="Arial"/>
                <w:noProof/>
              </w:rPr>
              <w:t>MAZON.COM, INC.</w:t>
            </w:r>
          </w:p>
        </w:tc>
      </w:tr>
      <w:tr w:rsidR="008533B5" w14:paraId="3709A114" w14:textId="77777777">
        <w:tc>
          <w:tcPr>
            <w:tcW w:w="9505" w:type="dxa"/>
            <w:gridSpan w:val="5"/>
          </w:tcPr>
          <w:p w14:paraId="2DBFED91" w14:textId="77777777" w:rsidR="00121A72" w:rsidRDefault="00402023" w:rsidP="00A37D7A">
            <w:pPr>
              <w:pStyle w:val="zSoquijdatQtePartieDef"/>
              <w:ind w:left="0"/>
            </w:pPr>
            <w:r>
              <w:t>et</w:t>
            </w:r>
          </w:p>
        </w:tc>
      </w:tr>
      <w:tr w:rsidR="008533B5" w14:paraId="395B93AA" w14:textId="77777777">
        <w:tc>
          <w:tcPr>
            <w:tcW w:w="9505" w:type="dxa"/>
            <w:gridSpan w:val="5"/>
          </w:tcPr>
          <w:p w14:paraId="07754819" w14:textId="77777777" w:rsidR="00421894" w:rsidRPr="00A37D7A" w:rsidRDefault="00402023" w:rsidP="00A37D7A">
            <w:pPr>
              <w:pStyle w:val="zSoquijdatQtePartieDef"/>
              <w:ind w:left="0"/>
              <w:rPr>
                <w:b/>
                <w:bCs/>
                <w:lang w:val="en-CA"/>
              </w:rPr>
            </w:pPr>
            <w:bookmarkStart w:id="0" w:name="_Hlk228200759"/>
            <w:r w:rsidRPr="00A37D7A">
              <w:rPr>
                <w:rFonts w:cs="Arial"/>
                <w:b/>
                <w:bCs/>
                <w:noProof/>
                <w:lang w:val="en-CA"/>
              </w:rPr>
              <w:t>AMAZON CANADA FULFILLMENT SERVICES, ULC</w:t>
            </w:r>
            <w:bookmarkEnd w:id="0"/>
          </w:p>
        </w:tc>
      </w:tr>
      <w:tr w:rsidR="008533B5" w14:paraId="7A3F6C35" w14:textId="77777777">
        <w:tc>
          <w:tcPr>
            <w:tcW w:w="9505" w:type="dxa"/>
            <w:gridSpan w:val="5"/>
          </w:tcPr>
          <w:p w14:paraId="093CBD86" w14:textId="77777777" w:rsidR="00421894" w:rsidRPr="00A37D7A" w:rsidRDefault="00402023" w:rsidP="00A37D7A">
            <w:pPr>
              <w:pStyle w:val="zSoquijdatQtePartieDef"/>
              <w:ind w:left="0"/>
              <w:rPr>
                <w:lang w:val="en-CA"/>
              </w:rPr>
            </w:pPr>
            <w:r>
              <w:rPr>
                <w:lang w:val="en-CA"/>
              </w:rPr>
              <w:t>et</w:t>
            </w:r>
          </w:p>
        </w:tc>
      </w:tr>
      <w:tr w:rsidR="008533B5" w14:paraId="6EDFA07E" w14:textId="77777777">
        <w:tc>
          <w:tcPr>
            <w:tcW w:w="9505" w:type="dxa"/>
            <w:gridSpan w:val="5"/>
          </w:tcPr>
          <w:p w14:paraId="6E2725BC" w14:textId="77777777" w:rsidR="00421894" w:rsidRPr="00A37D7A" w:rsidRDefault="00402023" w:rsidP="00A37D7A">
            <w:pPr>
              <w:pStyle w:val="zSoquijdatQtePartieDef"/>
              <w:ind w:left="0"/>
              <w:rPr>
                <w:b/>
                <w:bCs/>
                <w:lang w:val="en-CA"/>
              </w:rPr>
            </w:pPr>
            <w:r w:rsidRPr="00A37D7A">
              <w:rPr>
                <w:rFonts w:cs="Arial"/>
                <w:b/>
                <w:bCs/>
                <w:noProof/>
                <w:lang w:val="en-CA"/>
              </w:rPr>
              <w:t>AMAZON.COM.CA, ULC</w:t>
            </w:r>
          </w:p>
        </w:tc>
      </w:tr>
      <w:tr w:rsidR="008533B5" w14:paraId="383221F2" w14:textId="77777777">
        <w:tc>
          <w:tcPr>
            <w:tcW w:w="9505" w:type="dxa"/>
            <w:gridSpan w:val="5"/>
          </w:tcPr>
          <w:p w14:paraId="141D0414" w14:textId="77777777" w:rsidR="00421894" w:rsidRPr="00A37D7A" w:rsidRDefault="00402023" w:rsidP="00D26929">
            <w:pPr>
              <w:pStyle w:val="zSoquijdatQtePartieDef"/>
              <w:rPr>
                <w:lang w:val="en-CA"/>
              </w:rPr>
            </w:pPr>
            <w:r>
              <w:rPr>
                <w:lang w:val="en-CA"/>
              </w:rPr>
              <w:t>Défenderesses</w:t>
            </w:r>
          </w:p>
        </w:tc>
      </w:tr>
      <w:tr w:rsidR="008533B5" w14:paraId="07F6C50E" w14:textId="77777777">
        <w:tc>
          <w:tcPr>
            <w:tcW w:w="9505" w:type="dxa"/>
            <w:gridSpan w:val="5"/>
          </w:tcPr>
          <w:p w14:paraId="764D20F8" w14:textId="77777777" w:rsidR="00121A72" w:rsidRPr="00A37D7A" w:rsidRDefault="00121A72" w:rsidP="00D26929">
            <w:pPr>
              <w:ind w:left="14" w:right="-95"/>
              <w:rPr>
                <w:lang w:val="en-CA"/>
              </w:rPr>
            </w:pPr>
          </w:p>
        </w:tc>
      </w:tr>
      <w:tr w:rsidR="008533B5" w14:paraId="0D696A13" w14:textId="77777777">
        <w:tc>
          <w:tcPr>
            <w:tcW w:w="9505" w:type="dxa"/>
            <w:gridSpan w:val="5"/>
          </w:tcPr>
          <w:p w14:paraId="20F26069" w14:textId="77777777" w:rsidR="00121A72" w:rsidRDefault="00402023" w:rsidP="00D26929">
            <w:pPr>
              <w:ind w:left="14" w:right="-95"/>
            </w:pPr>
            <w:r>
              <w:t>______________________________________________________________________</w:t>
            </w:r>
          </w:p>
        </w:tc>
      </w:tr>
      <w:tr w:rsidR="008533B5" w14:paraId="2F05771E" w14:textId="77777777">
        <w:tc>
          <w:tcPr>
            <w:tcW w:w="9505" w:type="dxa"/>
            <w:gridSpan w:val="5"/>
          </w:tcPr>
          <w:p w14:paraId="20170AC9" w14:textId="77777777" w:rsidR="00121A72" w:rsidRDefault="00121A72" w:rsidP="00D26929">
            <w:pPr>
              <w:jc w:val="center"/>
            </w:pPr>
          </w:p>
        </w:tc>
      </w:tr>
      <w:tr w:rsidR="008533B5" w14:paraId="7067B12D" w14:textId="77777777">
        <w:tc>
          <w:tcPr>
            <w:tcW w:w="9505" w:type="dxa"/>
            <w:gridSpan w:val="5"/>
          </w:tcPr>
          <w:p w14:paraId="7FB79947" w14:textId="77777777" w:rsidR="00121A72" w:rsidRDefault="00402023" w:rsidP="00D26929">
            <w:pPr>
              <w:pStyle w:val="zSoquijlblTypeDocument"/>
            </w:pPr>
            <w:r>
              <w:t>JUGEMENT</w:t>
            </w:r>
          </w:p>
          <w:p w14:paraId="418041C3" w14:textId="77777777" w:rsidR="005E3958" w:rsidRDefault="00402023" w:rsidP="00D26929">
            <w:pPr>
              <w:pStyle w:val="zSoquijlblTypeDocument"/>
            </w:pPr>
            <w:r>
              <w:t>(autorisation d’une action collective)</w:t>
            </w:r>
          </w:p>
        </w:tc>
      </w:tr>
      <w:tr w:rsidR="008533B5" w14:paraId="3A433874" w14:textId="77777777">
        <w:tc>
          <w:tcPr>
            <w:tcW w:w="9505" w:type="dxa"/>
            <w:gridSpan w:val="5"/>
          </w:tcPr>
          <w:p w14:paraId="5504F54C" w14:textId="77777777" w:rsidR="00121A72" w:rsidRDefault="00402023" w:rsidP="00D26929">
            <w:pPr>
              <w:ind w:left="14" w:right="-70"/>
            </w:pPr>
            <w:r>
              <w:t>______________________________________________________________________</w:t>
            </w:r>
          </w:p>
        </w:tc>
      </w:tr>
      <w:tr w:rsidR="008533B5" w14:paraId="1A8764EB" w14:textId="77777777">
        <w:tc>
          <w:tcPr>
            <w:tcW w:w="9505" w:type="dxa"/>
            <w:gridSpan w:val="5"/>
          </w:tcPr>
          <w:p w14:paraId="3FD99DCC" w14:textId="77777777" w:rsidR="00121A72" w:rsidRPr="00D47A26" w:rsidRDefault="00121A72" w:rsidP="00D26929"/>
        </w:tc>
      </w:tr>
    </w:tbl>
    <w:p w14:paraId="57373BA0" w14:textId="77777777" w:rsidR="00772542" w:rsidRPr="00772542" w:rsidRDefault="00402023" w:rsidP="00BC025F">
      <w:pPr>
        <w:pStyle w:val="Titre1"/>
        <w:spacing w:before="120" w:after="120"/>
        <w:ind w:left="0" w:firstLine="0"/>
      </w:pPr>
      <w:bookmarkStart w:id="1" w:name="_Toc45807135"/>
      <w:bookmarkStart w:id="2" w:name="_Toc56788859"/>
      <w:bookmarkStart w:id="3" w:name="_Toc430945543"/>
      <w:r w:rsidRPr="00772542">
        <w:t>APERÇU</w:t>
      </w:r>
      <w:bookmarkEnd w:id="1"/>
      <w:bookmarkEnd w:id="2"/>
    </w:p>
    <w:p w14:paraId="7CF74210" w14:textId="77777777" w:rsidR="00C60AFE" w:rsidRDefault="00402023" w:rsidP="003B5966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>En janvier 202</w:t>
      </w:r>
      <w:r w:rsidR="006D3F79">
        <w:rPr>
          <w:kern w:val="28"/>
        </w:rPr>
        <w:t>5</w:t>
      </w:r>
      <w:r>
        <w:rPr>
          <w:kern w:val="28"/>
        </w:rPr>
        <w:t xml:space="preserve">, </w:t>
      </w:r>
      <w:r w:rsidR="00CF36D0" w:rsidRPr="00CF36D0">
        <w:rPr>
          <w:kern w:val="28"/>
        </w:rPr>
        <w:t>l</w:t>
      </w:r>
      <w:r w:rsidRPr="00CF36D0">
        <w:rPr>
          <w:kern w:val="28"/>
        </w:rPr>
        <w:t>es défenderesse</w:t>
      </w:r>
      <w:r w:rsidR="00A37D7A" w:rsidRPr="00CF36D0">
        <w:rPr>
          <w:kern w:val="28"/>
        </w:rPr>
        <w:t>s</w:t>
      </w:r>
      <w:r>
        <w:rPr>
          <w:kern w:val="28"/>
        </w:rPr>
        <w:t xml:space="preserve"> </w:t>
      </w:r>
      <w:r w:rsidR="00CF36D0">
        <w:rPr>
          <w:kern w:val="28"/>
        </w:rPr>
        <w:t>(« </w:t>
      </w:r>
      <w:r w:rsidRPr="00C60AFE">
        <w:rPr>
          <w:b/>
          <w:bCs/>
          <w:kern w:val="28"/>
        </w:rPr>
        <w:t>Amazon</w:t>
      </w:r>
      <w:r w:rsidR="00CF36D0">
        <w:rPr>
          <w:b/>
          <w:bCs/>
          <w:kern w:val="28"/>
        </w:rPr>
        <w:t> </w:t>
      </w:r>
      <w:r w:rsidR="00CF36D0" w:rsidRPr="00CF36D0">
        <w:rPr>
          <w:kern w:val="28"/>
        </w:rPr>
        <w:t>»)</w:t>
      </w:r>
      <w:r>
        <w:rPr>
          <w:kern w:val="28"/>
        </w:rPr>
        <w:t xml:space="preserve"> ont décidé de fermer leurs entrepôts au Québec. Plusieurs s’en sont plaints, pour diverses raisons. </w:t>
      </w:r>
      <w:r w:rsidR="007B309C">
        <w:rPr>
          <w:kern w:val="28"/>
        </w:rPr>
        <w:t>M. Desnoyers est l’un de ceux-ci.</w:t>
      </w:r>
    </w:p>
    <w:p w14:paraId="34AE50F5" w14:textId="77777777" w:rsidR="003B5966" w:rsidRDefault="00402023" w:rsidP="003B5966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 xml:space="preserve">Il </w:t>
      </w:r>
      <w:r w:rsidR="00C60AFE">
        <w:rPr>
          <w:kern w:val="28"/>
        </w:rPr>
        <w:t>fait valoir qu</w:t>
      </w:r>
      <w:r>
        <w:rPr>
          <w:kern w:val="28"/>
        </w:rPr>
        <w:t>e le</w:t>
      </w:r>
      <w:r w:rsidR="006D3F79">
        <w:rPr>
          <w:kern w:val="28"/>
        </w:rPr>
        <w:t>s</w:t>
      </w:r>
      <w:r>
        <w:rPr>
          <w:kern w:val="28"/>
        </w:rPr>
        <w:t xml:space="preserve"> </w:t>
      </w:r>
      <w:r w:rsidR="007B309C">
        <w:rPr>
          <w:kern w:val="28"/>
        </w:rPr>
        <w:t xml:space="preserve">courts </w:t>
      </w:r>
      <w:r>
        <w:rPr>
          <w:kern w:val="28"/>
        </w:rPr>
        <w:t>délai</w:t>
      </w:r>
      <w:r w:rsidR="006D3F79">
        <w:rPr>
          <w:kern w:val="28"/>
        </w:rPr>
        <w:t>s</w:t>
      </w:r>
      <w:r>
        <w:rPr>
          <w:kern w:val="28"/>
        </w:rPr>
        <w:t xml:space="preserve"> de livraison promis aux clients qui dét</w:t>
      </w:r>
      <w:r w:rsidR="00EB10FD">
        <w:rPr>
          <w:kern w:val="28"/>
        </w:rPr>
        <w:t>enai</w:t>
      </w:r>
      <w:r>
        <w:rPr>
          <w:kern w:val="28"/>
        </w:rPr>
        <w:t xml:space="preserve">ent un abonnement </w:t>
      </w:r>
      <w:r w:rsidRPr="00863A15">
        <w:rPr>
          <w:b/>
          <w:bCs/>
          <w:i/>
          <w:iCs/>
          <w:kern w:val="28"/>
        </w:rPr>
        <w:t>Prime</w:t>
      </w:r>
      <w:r w:rsidR="00C60AFE">
        <w:rPr>
          <w:kern w:val="28"/>
        </w:rPr>
        <w:t xml:space="preserve"> </w:t>
      </w:r>
      <w:r w:rsidR="00E13B97">
        <w:rPr>
          <w:kern w:val="28"/>
        </w:rPr>
        <w:t>n</w:t>
      </w:r>
      <w:r w:rsidR="006D3F79">
        <w:rPr>
          <w:kern w:val="28"/>
        </w:rPr>
        <w:t>’</w:t>
      </w:r>
      <w:r>
        <w:rPr>
          <w:kern w:val="28"/>
        </w:rPr>
        <w:t xml:space="preserve">ont pu être </w:t>
      </w:r>
      <w:r w:rsidR="006D3F79">
        <w:rPr>
          <w:kern w:val="28"/>
        </w:rPr>
        <w:t>respectés</w:t>
      </w:r>
      <w:r>
        <w:rPr>
          <w:kern w:val="28"/>
        </w:rPr>
        <w:t xml:space="preserve"> en conséquence de ces fermetures</w:t>
      </w:r>
      <w:r w:rsidR="006D3F79">
        <w:rPr>
          <w:kern w:val="28"/>
        </w:rPr>
        <w:t>.</w:t>
      </w:r>
      <w:r w:rsidR="00E13B97" w:rsidRPr="00E13B97">
        <w:rPr>
          <w:kern w:val="28"/>
        </w:rPr>
        <w:t xml:space="preserve"> </w:t>
      </w:r>
      <w:r w:rsidR="00E13B97">
        <w:rPr>
          <w:kern w:val="28"/>
        </w:rPr>
        <w:t xml:space="preserve">Il </w:t>
      </w:r>
      <w:r w:rsidR="00E13B97">
        <w:rPr>
          <w:kern w:val="28"/>
        </w:rPr>
        <w:lastRenderedPageBreak/>
        <w:t xml:space="preserve">demande l’autorisation d’entreprendre une action collective contre </w:t>
      </w:r>
      <w:r w:rsidR="00E13B97" w:rsidRPr="005E3958">
        <w:rPr>
          <w:b/>
          <w:bCs/>
          <w:kern w:val="28"/>
        </w:rPr>
        <w:t>Amazon</w:t>
      </w:r>
      <w:r w:rsidR="00E13B97">
        <w:rPr>
          <w:kern w:val="28"/>
        </w:rPr>
        <w:t> pour ces manquements.</w:t>
      </w:r>
    </w:p>
    <w:p w14:paraId="1E648546" w14:textId="77777777" w:rsidR="00772542" w:rsidRDefault="00402023" w:rsidP="00D713AF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 xml:space="preserve">Son recours vise à obtenir le remboursement du coût de l’abonnement </w:t>
      </w:r>
      <w:r w:rsidRPr="00E8714B">
        <w:rPr>
          <w:i/>
          <w:iCs/>
          <w:kern w:val="28"/>
        </w:rPr>
        <w:t>Prime</w:t>
      </w:r>
      <w:r>
        <w:rPr>
          <w:kern w:val="28"/>
        </w:rPr>
        <w:t xml:space="preserve"> ou encore une réduction</w:t>
      </w:r>
      <w:r w:rsidR="006C258C">
        <w:rPr>
          <w:kern w:val="28"/>
        </w:rPr>
        <w:t xml:space="preserve"> </w:t>
      </w:r>
      <w:r w:rsidR="007B309C">
        <w:rPr>
          <w:kern w:val="28"/>
        </w:rPr>
        <w:t xml:space="preserve">du prix de l’abonnement </w:t>
      </w:r>
      <w:r w:rsidR="007B467A">
        <w:rPr>
          <w:kern w:val="28"/>
        </w:rPr>
        <w:t>pour compenser</w:t>
      </w:r>
      <w:r>
        <w:rPr>
          <w:kern w:val="28"/>
        </w:rPr>
        <w:t xml:space="preserve"> la dégradation du service offert. Des dommages punitifs sont aussi réclamés.</w:t>
      </w:r>
    </w:p>
    <w:p w14:paraId="11597FBC" w14:textId="77777777" w:rsidR="006C258C" w:rsidRPr="00772542" w:rsidRDefault="00402023" w:rsidP="00D713AF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 xml:space="preserve">Pour les motifs qui suivent, le Tribunal autorise M. Desnoyers </w:t>
      </w:r>
      <w:r w:rsidR="006E085F">
        <w:rPr>
          <w:kern w:val="28"/>
        </w:rPr>
        <w:t xml:space="preserve">à </w:t>
      </w:r>
      <w:r>
        <w:rPr>
          <w:kern w:val="28"/>
        </w:rPr>
        <w:t>entreprendre cette action colle</w:t>
      </w:r>
      <w:r w:rsidR="003133EC">
        <w:rPr>
          <w:kern w:val="28"/>
        </w:rPr>
        <w:t>c</w:t>
      </w:r>
      <w:r>
        <w:rPr>
          <w:kern w:val="28"/>
        </w:rPr>
        <w:t>tive, mais seulement pour la période entre le 22 janvier 2025 et le 31 mars 2025.</w:t>
      </w:r>
    </w:p>
    <w:p w14:paraId="318616B4" w14:textId="77777777" w:rsidR="002054AF" w:rsidRDefault="00402023" w:rsidP="002054AF">
      <w:pPr>
        <w:pStyle w:val="Titre1"/>
      </w:pPr>
      <w:r>
        <w:t>ANALYSE</w:t>
      </w:r>
    </w:p>
    <w:p w14:paraId="0021D534" w14:textId="77777777" w:rsidR="00772542" w:rsidRDefault="00402023" w:rsidP="006E085F">
      <w:pPr>
        <w:pStyle w:val="Titre2"/>
      </w:pPr>
      <w:r>
        <w:t>La demande d’autorisation</w:t>
      </w:r>
    </w:p>
    <w:p w14:paraId="2CFCEF41" w14:textId="77777777" w:rsidR="003B5966" w:rsidRPr="003B5966" w:rsidRDefault="00402023" w:rsidP="002054AF">
      <w:pPr>
        <w:pStyle w:val="Titre3"/>
      </w:pPr>
      <w:r>
        <w:t>Le fondement du recours</w:t>
      </w:r>
    </w:p>
    <w:p w14:paraId="7E734F67" w14:textId="77777777" w:rsidR="00BA370D" w:rsidRDefault="00402023" w:rsidP="00BC025F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kern w:val="28"/>
        </w:rPr>
      </w:pPr>
      <w:r>
        <w:rPr>
          <w:kern w:val="28"/>
        </w:rPr>
        <w:t>M. Desnoyers reproche à Amazon d’avoir manqué à ses obligations contractuelles envers lui et les membres du groupe. Ces manquements reposent sur:</w:t>
      </w:r>
    </w:p>
    <w:p w14:paraId="28BA12E3" w14:textId="77777777" w:rsidR="00BA370D" w:rsidRDefault="00402023" w:rsidP="00BC025F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kern w:val="28"/>
        </w:rPr>
      </w:pPr>
      <w:r>
        <w:rPr>
          <w:kern w:val="28"/>
        </w:rPr>
        <w:t xml:space="preserve">Les représentations trompeuses d’Amazon dans le cadre de la vente et du renouvellement des abonnements </w:t>
      </w:r>
      <w:r w:rsidRPr="00E8714B">
        <w:rPr>
          <w:i/>
          <w:iCs/>
          <w:kern w:val="28"/>
        </w:rPr>
        <w:t>Prime</w:t>
      </w:r>
      <w:r w:rsidR="007D5847">
        <w:rPr>
          <w:kern w:val="28"/>
        </w:rPr>
        <w:t xml:space="preserve">, sachant qu’elle ne serait pas en mesure d’honorer ses promesses de livraison </w:t>
      </w:r>
      <w:r w:rsidR="00744CCA">
        <w:rPr>
          <w:kern w:val="28"/>
        </w:rPr>
        <w:t xml:space="preserve">des </w:t>
      </w:r>
      <w:r w:rsidR="00744CCA" w:rsidRPr="0008748F">
        <w:rPr>
          <w:i/>
          <w:iCs/>
          <w:kern w:val="28"/>
        </w:rPr>
        <w:t>Items éligibles</w:t>
      </w:r>
      <w:r w:rsidR="00744CCA">
        <w:rPr>
          <w:kern w:val="28"/>
        </w:rPr>
        <w:t xml:space="preserve"> </w:t>
      </w:r>
      <w:r w:rsidR="007D5847">
        <w:rPr>
          <w:kern w:val="28"/>
        </w:rPr>
        <w:t>dans les délais</w:t>
      </w:r>
      <w:r>
        <w:rPr>
          <w:rStyle w:val="Appelnotedebasdep"/>
          <w:kern w:val="28"/>
        </w:rPr>
        <w:footnoteReference w:id="1"/>
      </w:r>
      <w:r w:rsidR="003B5966">
        <w:rPr>
          <w:kern w:val="28"/>
        </w:rPr>
        <w:t>.</w:t>
      </w:r>
    </w:p>
    <w:p w14:paraId="05735AAC" w14:textId="77777777" w:rsidR="00BA370D" w:rsidRDefault="00402023" w:rsidP="00121188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kern w:val="28"/>
        </w:rPr>
      </w:pPr>
      <w:r>
        <w:rPr>
          <w:kern w:val="28"/>
        </w:rPr>
        <w:t>Les représentations trompeuses d’Amazon dans le cadre de la vente d’</w:t>
      </w:r>
      <w:r w:rsidR="005C5E9D" w:rsidRPr="0008748F">
        <w:rPr>
          <w:i/>
          <w:iCs/>
          <w:kern w:val="28"/>
        </w:rPr>
        <w:t>I</w:t>
      </w:r>
      <w:r w:rsidRPr="0008748F">
        <w:rPr>
          <w:i/>
          <w:iCs/>
          <w:kern w:val="28"/>
        </w:rPr>
        <w:t>tems</w:t>
      </w:r>
      <w:r>
        <w:rPr>
          <w:kern w:val="28"/>
        </w:rPr>
        <w:t xml:space="preserve"> </w:t>
      </w:r>
      <w:r w:rsidRPr="0008748F">
        <w:rPr>
          <w:i/>
          <w:iCs/>
          <w:kern w:val="28"/>
        </w:rPr>
        <w:t>éligibles</w:t>
      </w:r>
      <w:r>
        <w:rPr>
          <w:kern w:val="28"/>
        </w:rPr>
        <w:t xml:space="preserve"> livrés </w:t>
      </w:r>
      <w:r w:rsidR="008E48F2">
        <w:rPr>
          <w:kern w:val="28"/>
        </w:rPr>
        <w:t>plus tard que</w:t>
      </w:r>
      <w:r>
        <w:rPr>
          <w:kern w:val="28"/>
        </w:rPr>
        <w:t xml:space="preserve"> les délais promis</w:t>
      </w:r>
      <w:r>
        <w:rPr>
          <w:rStyle w:val="Appelnotedebasdep"/>
          <w:kern w:val="28"/>
        </w:rPr>
        <w:footnoteReference w:id="2"/>
      </w:r>
      <w:r w:rsidR="005C5E9D">
        <w:rPr>
          <w:kern w:val="28"/>
        </w:rPr>
        <w:t>.</w:t>
      </w:r>
    </w:p>
    <w:p w14:paraId="356A218C" w14:textId="77777777" w:rsidR="00744CCA" w:rsidRDefault="00402023" w:rsidP="00744CCA">
      <w:pPr>
        <w:pStyle w:val="Paragrsimple"/>
      </w:pPr>
      <w:r>
        <w:t xml:space="preserve">Le recours se fonde sur les </w:t>
      </w:r>
      <w:r w:rsidR="00E319E1">
        <w:t xml:space="preserve">articles 1407 et 1422 </w:t>
      </w:r>
      <w:r>
        <w:t xml:space="preserve">du </w:t>
      </w:r>
      <w:r w:rsidRPr="00744CCA">
        <w:rPr>
          <w:i/>
          <w:iCs/>
        </w:rPr>
        <w:t>Code civil du Québec</w:t>
      </w:r>
      <w:r>
        <w:t xml:space="preserve"> ainsi que sur les articles 40,</w:t>
      </w:r>
      <w:r w:rsidR="003133EC">
        <w:t xml:space="preserve"> 41,</w:t>
      </w:r>
      <w:r>
        <w:t xml:space="preserve"> 219, 220, 225, 227</w:t>
      </w:r>
      <w:r w:rsidR="00FD07AE">
        <w:t>, 272</w:t>
      </w:r>
      <w:r>
        <w:t xml:space="preserve"> et 288 de la </w:t>
      </w:r>
      <w:r w:rsidRPr="00744CCA">
        <w:rPr>
          <w:i/>
          <w:iCs/>
        </w:rPr>
        <w:t>Loi sur la protection du consommateur</w:t>
      </w:r>
      <w:r>
        <w:rPr>
          <w:rStyle w:val="Appelnotedebasdep"/>
        </w:rPr>
        <w:footnoteReference w:id="3"/>
      </w:r>
      <w:r w:rsidR="00CF36D0">
        <w:rPr>
          <w:i/>
          <w:iCs/>
        </w:rPr>
        <w:t xml:space="preserve"> </w:t>
      </w:r>
      <w:r w:rsidR="00CF36D0" w:rsidRPr="00CF36D0">
        <w:t>(« </w:t>
      </w:r>
      <w:r w:rsidR="00CF36D0" w:rsidRPr="00CF36D0">
        <w:rPr>
          <w:b/>
          <w:bCs/>
          <w:i/>
          <w:iCs/>
        </w:rPr>
        <w:t>L</w:t>
      </w:r>
      <w:r w:rsidR="00276DBE">
        <w:rPr>
          <w:b/>
          <w:bCs/>
          <w:i/>
          <w:iCs/>
        </w:rPr>
        <w:t>.p.c.</w:t>
      </w:r>
      <w:r w:rsidR="00CF36D0" w:rsidRPr="00CF36D0">
        <w:t> »)</w:t>
      </w:r>
      <w:r>
        <w:t>.</w:t>
      </w:r>
    </w:p>
    <w:p w14:paraId="4395C004" w14:textId="77777777" w:rsidR="00976EBE" w:rsidRDefault="00402023" w:rsidP="00976EBE">
      <w:pPr>
        <w:pStyle w:val="Paragrsimple"/>
      </w:pPr>
      <w:r>
        <w:t>M. Desnoyers propose d’examiner le fondement de sa demande d’autorisation en vertu des article</w:t>
      </w:r>
      <w:r w:rsidR="003133EC">
        <w:t>s</w:t>
      </w:r>
      <w:r>
        <w:t xml:space="preserve"> 40 et 41 L</w:t>
      </w:r>
      <w:r w:rsidR="00276DBE">
        <w:t>.p.c.</w:t>
      </w:r>
      <w:r>
        <w:t xml:space="preserve"> </w:t>
      </w:r>
    </w:p>
    <w:p w14:paraId="62F43038" w14:textId="77777777" w:rsidR="00976EBE" w:rsidRDefault="00402023" w:rsidP="00BC025F">
      <w:pPr>
        <w:pStyle w:val="Paragrdouble"/>
        <w:spacing w:after="0" w:line="240" w:lineRule="auto"/>
      </w:pPr>
      <w:r>
        <w:t>Ces dispositions se lisent comme suit :</w:t>
      </w:r>
    </w:p>
    <w:p w14:paraId="4CEABB38" w14:textId="77777777" w:rsidR="00A37D7A" w:rsidRPr="00CF36D0" w:rsidRDefault="00402023" w:rsidP="00BC025F">
      <w:pPr>
        <w:pStyle w:val="Citationenretrait"/>
        <w:spacing w:after="0"/>
        <w:rPr>
          <w:lang w:eastAsia="fr-CA"/>
        </w:rPr>
      </w:pPr>
      <w:r w:rsidRPr="00CF36D0">
        <w:rPr>
          <w:b/>
          <w:bCs/>
          <w:lang w:eastAsia="fr-CA"/>
        </w:rPr>
        <w:t>40</w:t>
      </w:r>
      <w:r w:rsidRPr="00CF36D0">
        <w:rPr>
          <w:lang w:eastAsia="fr-CA"/>
        </w:rPr>
        <w:t>. Un bien ou un service fourni doit être conforme à la description qui en est faite dans le contrat.</w:t>
      </w:r>
    </w:p>
    <w:p w14:paraId="641D3C3E" w14:textId="77777777" w:rsidR="00BF0453" w:rsidRDefault="00402023" w:rsidP="00A37D7A">
      <w:pPr>
        <w:pStyle w:val="Citationenretrait"/>
        <w:rPr>
          <w:rStyle w:val="subsection"/>
          <w:rFonts w:cs="Arial"/>
          <w:szCs w:val="22"/>
          <w:shd w:val="clear" w:color="auto" w:fill="FFFFFF"/>
        </w:rPr>
      </w:pPr>
      <w:r w:rsidRPr="00CF36D0">
        <w:rPr>
          <w:rStyle w:val="label-section"/>
          <w:rFonts w:cs="Arial"/>
          <w:b/>
          <w:bCs/>
          <w:shd w:val="clear" w:color="auto" w:fill="FFFFFF"/>
        </w:rPr>
        <w:t>41.</w:t>
      </w:r>
      <w:r w:rsidRPr="00CF36D0">
        <w:rPr>
          <w:rFonts w:cs="Arial"/>
          <w:szCs w:val="22"/>
          <w:shd w:val="clear" w:color="auto" w:fill="FFFFFF"/>
        </w:rPr>
        <w:t> </w:t>
      </w:r>
      <w:r w:rsidRPr="00CF36D0">
        <w:rPr>
          <w:rStyle w:val="subsection"/>
          <w:rFonts w:cs="Arial"/>
          <w:szCs w:val="22"/>
          <w:shd w:val="clear" w:color="auto" w:fill="FFFFFF"/>
        </w:rPr>
        <w:t>Un bien ou un service fourni doit être conforme à une déclaration ou à un message publicitaire faits à son sujet par le commerçant ou le fabricant. Une déclaration ou un message publicitaire lie ce commerçant ou ce fabricant.</w:t>
      </w:r>
    </w:p>
    <w:p w14:paraId="509CFBC0" w14:textId="77777777" w:rsidR="002075A9" w:rsidRPr="00CF36D0" w:rsidRDefault="00402023" w:rsidP="00FD07AE">
      <w:pPr>
        <w:pStyle w:val="Paragrsimple"/>
      </w:pPr>
      <w:r>
        <w:lastRenderedPageBreak/>
        <w:t>La violation de l’une de ces obligations contractuelles permet d’obtenir l’une des mesures de réparation prévues à l’article 272 L.p.c., dont une réduction des obligations, des dommages-intérêt</w:t>
      </w:r>
      <w:r w:rsidR="00410754">
        <w:t>s</w:t>
      </w:r>
      <w:r>
        <w:t>, ainsi que des dommages punitifs.</w:t>
      </w:r>
    </w:p>
    <w:p w14:paraId="3172DDCD" w14:textId="77777777" w:rsidR="003B5966" w:rsidRPr="003B5966" w:rsidRDefault="00402023" w:rsidP="00121188">
      <w:pPr>
        <w:pStyle w:val="Titre3"/>
        <w:spacing w:before="120" w:after="120"/>
      </w:pPr>
      <w:r>
        <w:t>Le groupe proposé :</w:t>
      </w:r>
    </w:p>
    <w:p w14:paraId="1EB3CE47" w14:textId="77777777" w:rsidR="00206608" w:rsidRDefault="00402023" w:rsidP="00121188">
      <w:pPr>
        <w:pStyle w:val="Paragrdouble"/>
        <w:spacing w:after="240" w:line="240" w:lineRule="auto"/>
      </w:pPr>
      <w:r>
        <w:t>Le groupe proposé est le suivant :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4823"/>
        <w:gridCol w:w="4817"/>
      </w:tblGrid>
      <w:tr w:rsidR="008533B5" w14:paraId="381880F5" w14:textId="77777777" w:rsidTr="00216BB6">
        <w:tc>
          <w:tcPr>
            <w:tcW w:w="4823" w:type="dxa"/>
          </w:tcPr>
          <w:p w14:paraId="72FD343C" w14:textId="77777777" w:rsidR="00216BB6" w:rsidRPr="00216BB6" w:rsidRDefault="00402023" w:rsidP="00216BB6">
            <w:pPr>
              <w:pStyle w:val="Citationenretrait"/>
              <w:ind w:left="113" w:right="113"/>
              <w:rPr>
                <w:sz w:val="24"/>
                <w:szCs w:val="24"/>
              </w:rPr>
            </w:pPr>
            <w:r w:rsidRPr="00216BB6">
              <w:rPr>
                <w:sz w:val="24"/>
                <w:szCs w:val="24"/>
              </w:rPr>
              <w:t xml:space="preserve">Tous les individus du Québec qui détenaient un abonnement </w:t>
            </w:r>
            <w:r w:rsidRPr="00E8714B">
              <w:rPr>
                <w:i/>
                <w:iCs/>
                <w:sz w:val="24"/>
                <w:szCs w:val="24"/>
              </w:rPr>
              <w:t>Prime</w:t>
            </w:r>
            <w:r w:rsidRPr="00216BB6">
              <w:rPr>
                <w:sz w:val="24"/>
                <w:szCs w:val="24"/>
              </w:rPr>
              <w:t xml:space="preserve"> Amazon entre le 22 </w:t>
            </w:r>
            <w:r w:rsidR="003133EC">
              <w:rPr>
                <w:sz w:val="24"/>
                <w:szCs w:val="24"/>
              </w:rPr>
              <w:t>j</w:t>
            </w:r>
            <w:r w:rsidRPr="00216BB6">
              <w:rPr>
                <w:sz w:val="24"/>
                <w:szCs w:val="24"/>
              </w:rPr>
              <w:t>anvier 2025 et la date du jugement d’autorisation.</w:t>
            </w:r>
          </w:p>
        </w:tc>
        <w:tc>
          <w:tcPr>
            <w:tcW w:w="4817" w:type="dxa"/>
          </w:tcPr>
          <w:p w14:paraId="76C9D5B5" w14:textId="77777777" w:rsidR="00216BB6" w:rsidRPr="00216BB6" w:rsidRDefault="00402023" w:rsidP="00216BB6">
            <w:pPr>
              <w:pStyle w:val="Citationenretrait"/>
              <w:ind w:left="113" w:right="113"/>
              <w:rPr>
                <w:sz w:val="24"/>
                <w:szCs w:val="24"/>
                <w:lang w:val="en-CA"/>
              </w:rPr>
            </w:pPr>
            <w:r w:rsidRPr="00216BB6">
              <w:rPr>
                <w:i/>
                <w:iCs/>
                <w:sz w:val="24"/>
                <w:szCs w:val="24"/>
                <w:lang w:val="en-CA"/>
              </w:rPr>
              <w:t>All individuals in Quebec who held an Amazon Prime Membership between January 22, 2025</w:t>
            </w:r>
            <w:r w:rsidR="00121188">
              <w:rPr>
                <w:i/>
                <w:iCs/>
                <w:sz w:val="24"/>
                <w:szCs w:val="24"/>
                <w:lang w:val="en-CA"/>
              </w:rPr>
              <w:t>,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 until the date this action is authorized as a class proceeding</w:t>
            </w:r>
            <w:r w:rsidRPr="00216BB6">
              <w:rPr>
                <w:sz w:val="24"/>
                <w:szCs w:val="24"/>
                <w:lang w:val="en-CA"/>
              </w:rPr>
              <w:t>.</w:t>
            </w:r>
          </w:p>
        </w:tc>
      </w:tr>
    </w:tbl>
    <w:p w14:paraId="1F1808C1" w14:textId="77777777" w:rsidR="00487B13" w:rsidRDefault="00402023" w:rsidP="00121188">
      <w:pPr>
        <w:pStyle w:val="Paragrsimple"/>
        <w:spacing w:before="240" w:after="240"/>
      </w:pPr>
      <w:r>
        <w:t xml:space="preserve">Subsidiairement, </w:t>
      </w:r>
      <w:r w:rsidR="005C5E9D">
        <w:t>M. Desnoyers</w:t>
      </w:r>
      <w:r>
        <w:t xml:space="preserve"> suggère le groupe suivant :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4823"/>
        <w:gridCol w:w="4817"/>
      </w:tblGrid>
      <w:tr w:rsidR="008533B5" w14:paraId="5CA479FE" w14:textId="77777777" w:rsidTr="00C50166">
        <w:tc>
          <w:tcPr>
            <w:tcW w:w="4823" w:type="dxa"/>
          </w:tcPr>
          <w:p w14:paraId="78148E1B" w14:textId="77777777" w:rsidR="00216BB6" w:rsidRPr="00216BB6" w:rsidRDefault="00402023" w:rsidP="00216BB6">
            <w:pPr>
              <w:pStyle w:val="Citationenretrait"/>
              <w:ind w:left="113" w:right="113"/>
              <w:rPr>
                <w:sz w:val="24"/>
                <w:szCs w:val="24"/>
              </w:rPr>
            </w:pPr>
            <w:r w:rsidRPr="00216BB6">
              <w:rPr>
                <w:iCs/>
                <w:sz w:val="24"/>
                <w:szCs w:val="24"/>
              </w:rPr>
              <w:t xml:space="preserve">Toutes les personnes physiques du Québec qui étaient i) membres Amazon </w:t>
            </w:r>
            <w:r w:rsidRPr="00E8714B">
              <w:rPr>
                <w:i/>
                <w:sz w:val="24"/>
                <w:szCs w:val="24"/>
              </w:rPr>
              <w:t>Prime</w:t>
            </w:r>
            <w:r w:rsidRPr="00216BB6">
              <w:rPr>
                <w:iCs/>
                <w:sz w:val="24"/>
                <w:szCs w:val="24"/>
              </w:rPr>
              <w:t xml:space="preserve"> entre le 22 janvier 2025 et la date du jugement d’autorisation; ii) ont acheté un produit à la boutigne en ligne Amazon.ca à la suite de représentations d’un délai de livraison de deux (2) jours ou moins (à partir du moment de la commande); et iii) le délai de livraison a excédé un (1) ou deux (2) jours, selon le cas.</w:t>
            </w:r>
          </w:p>
        </w:tc>
        <w:tc>
          <w:tcPr>
            <w:tcW w:w="4817" w:type="dxa"/>
          </w:tcPr>
          <w:p w14:paraId="479C9247" w14:textId="77777777" w:rsidR="00216BB6" w:rsidRPr="00216BB6" w:rsidRDefault="00402023" w:rsidP="00216BB6">
            <w:pPr>
              <w:pStyle w:val="Citationenretrait"/>
              <w:ind w:left="113" w:right="113"/>
              <w:rPr>
                <w:sz w:val="24"/>
                <w:szCs w:val="24"/>
                <w:lang w:val="en-CA"/>
              </w:rPr>
            </w:pP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Any physical person in Québec who i) was an Amazon Prime member between January 22, 2025, to the date at which this class action is authorized; ii) made a purchase in the Amazon.ca store after being represented a delivery time of two (2) days or less (from the moment of ordering the item); and iii) the delivery time after ordering the item exceeded one (1) or two (2) days, depending on the representations made. </w:t>
            </w:r>
          </w:p>
        </w:tc>
      </w:tr>
    </w:tbl>
    <w:p w14:paraId="2CE8FB10" w14:textId="77777777" w:rsidR="00B606A7" w:rsidRPr="00E40644" w:rsidRDefault="00402023" w:rsidP="00121188">
      <w:pPr>
        <w:pStyle w:val="Titre3"/>
        <w:spacing w:after="120"/>
      </w:pPr>
      <w:r>
        <w:t>Les faits allégués</w:t>
      </w:r>
    </w:p>
    <w:p w14:paraId="00F45CF9" w14:textId="77777777" w:rsidR="00772542" w:rsidRPr="0033249D" w:rsidRDefault="00402023" w:rsidP="0033249D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t xml:space="preserve">M. Desnoyers </w:t>
      </w:r>
      <w:r w:rsidR="0066193B">
        <w:t xml:space="preserve">est un membre Amazon </w:t>
      </w:r>
      <w:r w:rsidR="0066193B" w:rsidRPr="00E8714B">
        <w:rPr>
          <w:i/>
          <w:iCs/>
        </w:rPr>
        <w:t>Prime</w:t>
      </w:r>
      <w:r w:rsidR="0066193B">
        <w:t xml:space="preserve"> depuis 2022. </w:t>
      </w:r>
      <w:r w:rsidR="003B5966">
        <w:t>Il contract</w:t>
      </w:r>
      <w:r w:rsidR="00AE680E">
        <w:t>e alors</w:t>
      </w:r>
      <w:r w:rsidR="003B5966">
        <w:t xml:space="preserve"> cet abonnement en se fondant sur les représentations d’Amazon qui garantissent une livraison dans un délai d’un ou deux jours selon </w:t>
      </w:r>
      <w:r w:rsidR="006D3F79">
        <w:t>le</w:t>
      </w:r>
      <w:r w:rsidR="003B5966">
        <w:t xml:space="preserve">s </w:t>
      </w:r>
      <w:r w:rsidR="003B5966" w:rsidRPr="0008748F">
        <w:rPr>
          <w:i/>
          <w:iCs/>
        </w:rPr>
        <w:t>Items éligibles</w:t>
      </w:r>
      <w:r w:rsidR="00E13B97">
        <w:rPr>
          <w:i/>
          <w:iCs/>
        </w:rPr>
        <w:t xml:space="preserve"> </w:t>
      </w:r>
      <w:r w:rsidR="00E13B97" w:rsidRPr="00E13B97">
        <w:t>choisis</w:t>
      </w:r>
      <w:r w:rsidR="003B5966">
        <w:t xml:space="preserve">. </w:t>
      </w:r>
      <w:r w:rsidR="00562391">
        <w:rPr>
          <w:kern w:val="28"/>
        </w:rPr>
        <w:t>Seuls l</w:t>
      </w:r>
      <w:r w:rsidR="003B5966">
        <w:rPr>
          <w:kern w:val="28"/>
        </w:rPr>
        <w:t xml:space="preserve">es membres </w:t>
      </w:r>
      <w:r w:rsidR="003B5966" w:rsidRPr="00E8714B">
        <w:rPr>
          <w:i/>
          <w:iCs/>
          <w:kern w:val="28"/>
        </w:rPr>
        <w:t>Prime</w:t>
      </w:r>
      <w:r w:rsidR="003B5966">
        <w:rPr>
          <w:kern w:val="28"/>
        </w:rPr>
        <w:t xml:space="preserve"> bénéficient de cette livraison rapide gratuitement, sans achat minimum. Les autres clients doivent </w:t>
      </w:r>
      <w:r w:rsidR="00DB5E8D">
        <w:rPr>
          <w:kern w:val="28"/>
        </w:rPr>
        <w:t>pa</w:t>
      </w:r>
      <w:r w:rsidR="003B5966">
        <w:rPr>
          <w:kern w:val="28"/>
        </w:rPr>
        <w:t>yer des frais de livraison, à tout le moins pour obtenir la livraison avec cette rapidité.</w:t>
      </w:r>
      <w:r w:rsidR="00562391">
        <w:rPr>
          <w:kern w:val="28"/>
        </w:rPr>
        <w:t xml:space="preserve"> </w:t>
      </w:r>
      <w:r w:rsidR="003B5966" w:rsidRPr="00562391">
        <w:rPr>
          <w:kern w:val="28"/>
        </w:rPr>
        <w:t xml:space="preserve">Les </w:t>
      </w:r>
      <w:r w:rsidR="00121188" w:rsidRPr="00121188">
        <w:rPr>
          <w:i/>
          <w:iCs/>
          <w:kern w:val="28"/>
        </w:rPr>
        <w:t>I</w:t>
      </w:r>
      <w:r w:rsidR="003B5966" w:rsidRPr="00121188">
        <w:rPr>
          <w:i/>
          <w:iCs/>
          <w:kern w:val="28"/>
        </w:rPr>
        <w:t>tems éligibles</w:t>
      </w:r>
      <w:r w:rsidR="003B5966" w:rsidRPr="00562391">
        <w:rPr>
          <w:kern w:val="28"/>
        </w:rPr>
        <w:t xml:space="preserve"> sont identifiés sur la boutique en ligne par un logo distinctif. Amazon représente que des millions de produits sont des </w:t>
      </w:r>
      <w:r w:rsidR="003B5966" w:rsidRPr="00121188">
        <w:rPr>
          <w:i/>
          <w:iCs/>
          <w:kern w:val="28"/>
        </w:rPr>
        <w:t>Items éligibles</w:t>
      </w:r>
      <w:r>
        <w:rPr>
          <w:rStyle w:val="Appelnotedebasdep"/>
          <w:kern w:val="28"/>
        </w:rPr>
        <w:footnoteReference w:id="4"/>
      </w:r>
      <w:r w:rsidR="0033249D">
        <w:rPr>
          <w:kern w:val="28"/>
        </w:rPr>
        <w:t>.</w:t>
      </w:r>
    </w:p>
    <w:p w14:paraId="399F6CDD" w14:textId="77777777" w:rsidR="00B606A7" w:rsidRDefault="00402023" w:rsidP="00562391">
      <w:pPr>
        <w:pStyle w:val="Paragrsimple"/>
      </w:pPr>
      <w:r>
        <w:t>Or, le 22 janvier 2025</w:t>
      </w:r>
      <w:r w:rsidR="003133EC">
        <w:t>,</w:t>
      </w:r>
      <w:r>
        <w:t xml:space="preserve"> Amazon décid</w:t>
      </w:r>
      <w:r w:rsidR="003E7AD6">
        <w:t>e</w:t>
      </w:r>
      <w:r>
        <w:t xml:space="preserve"> de fermer ses entrepôts au Québec </w:t>
      </w:r>
      <w:r w:rsidR="00DA3485">
        <w:t>et de faire affaire par l’intermédiaire de tiers locaux pour la livraison de ses produits</w:t>
      </w:r>
      <w:r w:rsidR="00AE680E">
        <w:t>. Elle reprend</w:t>
      </w:r>
      <w:r w:rsidR="00C619EF">
        <w:t xml:space="preserve"> son modèle d’affaires en place jusqu’en 2020</w:t>
      </w:r>
      <w:r w:rsidR="00562391">
        <w:t xml:space="preserve">. </w:t>
      </w:r>
      <w:r w:rsidR="003E7AD6">
        <w:t xml:space="preserve">Amazon compte continuer à offrir </w:t>
      </w:r>
      <w:r w:rsidR="003E7AD6">
        <w:lastRenderedPageBreak/>
        <w:t>la même qualité de service</w:t>
      </w:r>
      <w:r w:rsidR="00C619EF">
        <w:t>,</w:t>
      </w:r>
      <w:r w:rsidR="003E7AD6">
        <w:t xml:space="preserve"> tout en </w:t>
      </w:r>
      <w:r w:rsidR="00C83E69">
        <w:t xml:space="preserve">l’améliorant et en </w:t>
      </w:r>
      <w:r w:rsidR="003E7AD6">
        <w:t>permettant une économie de coûts pour les clients à long terme</w:t>
      </w:r>
      <w:r>
        <w:rPr>
          <w:rStyle w:val="Appelnotedebasdep"/>
        </w:rPr>
        <w:footnoteReference w:id="5"/>
      </w:r>
      <w:r w:rsidR="003E7AD6">
        <w:t>.</w:t>
      </w:r>
    </w:p>
    <w:p w14:paraId="34201ACD" w14:textId="77777777" w:rsidR="005C5E9D" w:rsidRPr="005C5E9D" w:rsidRDefault="00402023" w:rsidP="00562391">
      <w:pPr>
        <w:pStyle w:val="Paragrsimple"/>
      </w:pPr>
      <w:r>
        <w:t>Or</w:t>
      </w:r>
      <w:r w:rsidR="00EB1107">
        <w:t xml:space="preserve">, selon </w:t>
      </w:r>
      <w:r>
        <w:t>M. Desnoyers</w:t>
      </w:r>
      <w:r w:rsidR="00EB1107">
        <w:t xml:space="preserve">, le service de livraison </w:t>
      </w:r>
      <w:r w:rsidR="00EB1107" w:rsidRPr="00E8714B">
        <w:rPr>
          <w:i/>
          <w:iCs/>
        </w:rPr>
        <w:t>Prime</w:t>
      </w:r>
      <w:r w:rsidR="00EB1107">
        <w:t xml:space="preserve"> ne tarde pas à se détériorer peu après ces fermetures. Les délais de livraison ne sont pas respectés et des commandes sont annulées</w:t>
      </w:r>
      <w:r>
        <w:t>. Le 29 janvier 2025, il p</w:t>
      </w:r>
      <w:r w:rsidR="00331A19">
        <w:t>ass</w:t>
      </w:r>
      <w:r>
        <w:t xml:space="preserve">e une commande pour </w:t>
      </w:r>
      <w:r w:rsidR="006D3F79">
        <w:t>un lot de</w:t>
      </w:r>
      <w:r>
        <w:t xml:space="preserve"> lames de rasoir, soit un </w:t>
      </w:r>
      <w:r w:rsidRPr="00121188">
        <w:rPr>
          <w:i/>
          <w:iCs/>
        </w:rPr>
        <w:t>Item éligible</w:t>
      </w:r>
      <w:r>
        <w:t>, avec une livraison prévue le jour suivant, le 30 janvier. Or, la livraison est effectuée le 3 février 2025</w:t>
      </w:r>
      <w:r>
        <w:rPr>
          <w:rStyle w:val="Appelnotedebasdep"/>
        </w:rPr>
        <w:footnoteReference w:id="6"/>
      </w:r>
      <w:r>
        <w:t>.</w:t>
      </w:r>
    </w:p>
    <w:p w14:paraId="4EB0F879" w14:textId="77777777" w:rsidR="00EB1107" w:rsidRDefault="00402023" w:rsidP="00121188">
      <w:pPr>
        <w:pStyle w:val="Paragrdouble"/>
        <w:spacing w:line="240" w:lineRule="auto"/>
      </w:pPr>
      <w:r>
        <w:t xml:space="preserve">M. Desnoyers </w:t>
      </w:r>
      <w:r w:rsidR="00F759A3">
        <w:t>cite différentes publication</w:t>
      </w:r>
      <w:r w:rsidR="003133EC">
        <w:t>s</w:t>
      </w:r>
      <w:r w:rsidR="00F759A3">
        <w:t xml:space="preserve"> </w:t>
      </w:r>
      <w:r>
        <w:t>en appui de s</w:t>
      </w:r>
      <w:r w:rsidR="0002301E">
        <w:t>es allégations</w:t>
      </w:r>
      <w:r w:rsidR="005A72E7">
        <w:t> :</w:t>
      </w:r>
    </w:p>
    <w:p w14:paraId="7639172A" w14:textId="77777777" w:rsidR="001E66F8" w:rsidRDefault="00402023" w:rsidP="00802A48">
      <w:pPr>
        <w:pStyle w:val="Paragraphedeliste"/>
        <w:numPr>
          <w:ilvl w:val="0"/>
          <w:numId w:val="7"/>
        </w:numPr>
        <w:spacing w:before="120"/>
        <w:ind w:left="714" w:hanging="357"/>
        <w:contextualSpacing w:val="0"/>
        <w:jc w:val="both"/>
      </w:pPr>
      <w:r>
        <w:t xml:space="preserve">Une discussion sur la plateforme </w:t>
      </w:r>
      <w:r w:rsidRPr="0008748F">
        <w:t>Reddit</w:t>
      </w:r>
      <w:r>
        <w:rPr>
          <w:rStyle w:val="Appelnotedebasdep"/>
        </w:rPr>
        <w:footnoteReference w:id="7"/>
      </w:r>
      <w:r>
        <w:t xml:space="preserve">. Le 22 janvier 2025, un participant écrit que les livraisons </w:t>
      </w:r>
      <w:r w:rsidRPr="00E8714B">
        <w:rPr>
          <w:i/>
          <w:iCs/>
        </w:rPr>
        <w:t>Prime</w:t>
      </w:r>
      <w:r>
        <w:t xml:space="preserve"> pour plusieurs items qui devraient normalement être reçu</w:t>
      </w:r>
      <w:r w:rsidR="008276A3">
        <w:t>s</w:t>
      </w:r>
      <w:r>
        <w:t xml:space="preserve"> le jour suivant </w:t>
      </w:r>
      <w:r w:rsidR="00C52C1A">
        <w:t>s</w:t>
      </w:r>
      <w:r>
        <w:t>ont désormais annoncées après quatre jours.</w:t>
      </w:r>
      <w:r w:rsidR="008276A3">
        <w:t xml:space="preserve"> Il se demande si la situation n’est que temporaire. Il a obtenu une annulation de son abonnement.</w:t>
      </w:r>
      <w:r>
        <w:t xml:space="preserve"> </w:t>
      </w:r>
      <w:r w:rsidR="00847547">
        <w:t>D’autres répondent qu’ils annulent aussi, pour cette raison, comme pour d’autres.</w:t>
      </w:r>
    </w:p>
    <w:p w14:paraId="073AA4F7" w14:textId="77777777" w:rsidR="005A72E7" w:rsidRDefault="00402023" w:rsidP="00802A48">
      <w:pPr>
        <w:pStyle w:val="Paragraphedeliste"/>
        <w:numPr>
          <w:ilvl w:val="0"/>
          <w:numId w:val="7"/>
        </w:numPr>
        <w:spacing w:before="120"/>
        <w:ind w:left="714" w:hanging="357"/>
        <w:contextualSpacing w:val="0"/>
        <w:jc w:val="both"/>
      </w:pPr>
      <w:r>
        <w:t>Une autre discussion sur la même plateforme le</w:t>
      </w:r>
      <w:r w:rsidR="00A460F9">
        <w:t xml:space="preserve"> 23 janvier 2025</w:t>
      </w:r>
      <w:r>
        <w:rPr>
          <w:rStyle w:val="Appelnotedebasdep"/>
        </w:rPr>
        <w:footnoteReference w:id="8"/>
      </w:r>
      <w:r>
        <w:t>. Un participant écrit qu’il constate désormais des délais de livraison annoncés de quatre jours pour presque tous les items.</w:t>
      </w:r>
    </w:p>
    <w:p w14:paraId="6FD75133" w14:textId="77777777" w:rsidR="00AE586E" w:rsidRDefault="00402023" w:rsidP="00802A48">
      <w:pPr>
        <w:pStyle w:val="Paragraphedeliste"/>
        <w:numPr>
          <w:ilvl w:val="0"/>
          <w:numId w:val="7"/>
        </w:numPr>
        <w:spacing w:before="120"/>
        <w:ind w:left="714" w:hanging="357"/>
        <w:contextualSpacing w:val="0"/>
        <w:jc w:val="both"/>
      </w:pPr>
      <w:r>
        <w:t xml:space="preserve">Un commentaire </w:t>
      </w:r>
      <w:r w:rsidR="00AD1730">
        <w:t>partagé</w:t>
      </w:r>
      <w:r w:rsidR="006D3F79">
        <w:t xml:space="preserve"> </w:t>
      </w:r>
      <w:r>
        <w:t xml:space="preserve">sur Instagram </w:t>
      </w:r>
      <w:r w:rsidR="00E7374E">
        <w:t xml:space="preserve">le 23 janvier 2025 </w:t>
      </w:r>
      <w:r w:rsidR="00775402">
        <w:t>par Carl Boutet, stratège en vente au détail</w:t>
      </w:r>
      <w:r>
        <w:rPr>
          <w:rStyle w:val="Appelnotedebasdep"/>
        </w:rPr>
        <w:footnoteReference w:id="9"/>
      </w:r>
      <w:r w:rsidR="00BC7680">
        <w:t>.</w:t>
      </w:r>
      <w:r w:rsidR="00775402">
        <w:t xml:space="preserve"> </w:t>
      </w:r>
      <w:r w:rsidR="00BC7680">
        <w:t>D</w:t>
      </w:r>
      <w:r w:rsidR="006C7135">
        <w:t xml:space="preserve">ans le cadre d’une discussion portant, entre autres, sur les impacts de la décision </w:t>
      </w:r>
      <w:r w:rsidR="00B02BE7">
        <w:t xml:space="preserve">impopulaire </w:t>
      </w:r>
      <w:r w:rsidR="006C7135">
        <w:t xml:space="preserve">d’Amazon sur les nombreux employés, </w:t>
      </w:r>
      <w:r w:rsidR="00BC7680">
        <w:t xml:space="preserve">il </w:t>
      </w:r>
      <w:r w:rsidR="00775402">
        <w:t>observ</w:t>
      </w:r>
      <w:r w:rsidR="00BC7680">
        <w:t>e</w:t>
      </w:r>
      <w:r w:rsidR="00775402">
        <w:t xml:space="preserve"> </w:t>
      </w:r>
      <w:r w:rsidR="000658F8">
        <w:t xml:space="preserve">depuis deux jours </w:t>
      </w:r>
      <w:r w:rsidR="00775402">
        <w:t xml:space="preserve">des délais de livraison </w:t>
      </w:r>
      <w:r w:rsidR="00E7374E">
        <w:t xml:space="preserve">offerts </w:t>
      </w:r>
      <w:r w:rsidR="00775402">
        <w:t>p</w:t>
      </w:r>
      <w:r w:rsidR="000658F8">
        <w:t>rolongés</w:t>
      </w:r>
      <w:r w:rsidR="00775402">
        <w:t xml:space="preserve"> de un jour à cinq jours en banlieu</w:t>
      </w:r>
      <w:r w:rsidR="003133EC">
        <w:t>e</w:t>
      </w:r>
      <w:r w:rsidR="00BC7680">
        <w:t>.</w:t>
      </w:r>
      <w:r w:rsidR="00775402">
        <w:t xml:space="preserve"> Amazon blâm</w:t>
      </w:r>
      <w:r w:rsidR="00BC7680">
        <w:t>e</w:t>
      </w:r>
      <w:r w:rsidR="00775402">
        <w:t xml:space="preserve"> les conditions météorologiques</w:t>
      </w:r>
      <w:r w:rsidR="00B02BE7">
        <w:t>, ajoutant à l’insatisfaction des clients.</w:t>
      </w:r>
    </w:p>
    <w:p w14:paraId="3252F795" w14:textId="77777777" w:rsidR="0058385B" w:rsidRDefault="00402023" w:rsidP="00802A48">
      <w:pPr>
        <w:pStyle w:val="Paragraphedeliste"/>
        <w:numPr>
          <w:ilvl w:val="0"/>
          <w:numId w:val="7"/>
        </w:numPr>
        <w:spacing w:before="120"/>
        <w:ind w:left="714" w:hanging="357"/>
        <w:contextualSpacing w:val="0"/>
        <w:jc w:val="both"/>
      </w:pPr>
      <w:r>
        <w:t xml:space="preserve">Un article publié dans </w:t>
      </w:r>
      <w:r w:rsidRPr="00121188">
        <w:rPr>
          <w:i/>
          <w:iCs/>
        </w:rPr>
        <w:t>The Logic</w:t>
      </w:r>
      <w:r>
        <w:t xml:space="preserve"> le 12 février 2025</w:t>
      </w:r>
      <w:r w:rsidR="003133EC">
        <w:t>,</w:t>
      </w:r>
      <w:r>
        <w:t xml:space="preserve"> intitulé « </w:t>
      </w:r>
      <w:r w:rsidRPr="00BB7857">
        <w:rPr>
          <w:i/>
          <w:iCs/>
        </w:rPr>
        <w:t>Amazon delivery times in Quebec double as firm mothballs warehouses</w:t>
      </w:r>
      <w:r>
        <w:t> »</w:t>
      </w:r>
      <w:r>
        <w:rPr>
          <w:rStyle w:val="Appelnotedebasdep"/>
        </w:rPr>
        <w:footnoteReference w:id="10"/>
      </w:r>
      <w:r>
        <w:t>.</w:t>
      </w:r>
      <w:r w:rsidR="00244948">
        <w:t xml:space="preserve"> </w:t>
      </w:r>
      <w:r w:rsidR="001F6521">
        <w:t xml:space="preserve">Entre autres </w:t>
      </w:r>
      <w:r w:rsidR="006152B3">
        <w:t>sujets reliés à la fermeture des entrepôts</w:t>
      </w:r>
      <w:r w:rsidR="001F6521">
        <w:t>, l</w:t>
      </w:r>
      <w:r w:rsidR="00244948">
        <w:t>’article décrit que</w:t>
      </w:r>
      <w:r w:rsidR="003133EC">
        <w:t>,</w:t>
      </w:r>
      <w:r w:rsidR="00244948">
        <w:t xml:space="preserve"> pour certains articles, les délais de livraison auraient doublé à la suite de</w:t>
      </w:r>
      <w:r w:rsidR="006152B3">
        <w:t xml:space="preserve"> cette décision</w:t>
      </w:r>
      <w:r w:rsidR="00244948">
        <w:t xml:space="preserve"> d’Amazon. À court terme, pour le moins, les fermetures </w:t>
      </w:r>
      <w:r>
        <w:t>affecterai</w:t>
      </w:r>
      <w:r w:rsidR="003133EC">
        <w:t>e</w:t>
      </w:r>
      <w:r>
        <w:t>nt</w:t>
      </w:r>
      <w:r w:rsidR="00244948">
        <w:t xml:space="preserve"> les délais de livraison à Montréal. La </w:t>
      </w:r>
      <w:r w:rsidR="00BB7857">
        <w:t>v</w:t>
      </w:r>
      <w:r w:rsidR="00244948">
        <w:t>ille était auparavant desservie par une livraison la journée</w:t>
      </w:r>
      <w:r w:rsidR="003133EC">
        <w:t xml:space="preserve"> </w:t>
      </w:r>
      <w:r w:rsidR="00244948">
        <w:t xml:space="preserve">même ou le jour suivant. Apparemment, ce ne serait plus le cas. </w:t>
      </w:r>
      <w:r>
        <w:t xml:space="preserve">Un client de Toronto recevrait sa boîte de chocolat le lendemain, </w:t>
      </w:r>
      <w:r w:rsidR="00244948">
        <w:t xml:space="preserve">alors que le client </w:t>
      </w:r>
      <w:r w:rsidR="00244948" w:rsidRPr="00E8714B">
        <w:rPr>
          <w:i/>
          <w:iCs/>
        </w:rPr>
        <w:t>Prime</w:t>
      </w:r>
      <w:r w:rsidR="00244948">
        <w:t xml:space="preserve"> basé à Montréal la recevrait le quatrième jour</w:t>
      </w:r>
      <w:r w:rsidR="002A1B9F">
        <w:t>.</w:t>
      </w:r>
      <w:r>
        <w:t xml:space="preserve"> D’autres exemples sont offerts.</w:t>
      </w:r>
      <w:r w:rsidR="002A1B9F">
        <w:t xml:space="preserve"> Amazon met en garde de tirer des conclusions hâtives et avance que l’expérience des clients sera pratiquement la même</w:t>
      </w:r>
      <w:r>
        <w:t xml:space="preserve"> malgré les changements.</w:t>
      </w:r>
    </w:p>
    <w:p w14:paraId="33F0D1E4" w14:textId="77777777" w:rsidR="00FB0C1A" w:rsidRDefault="00402023" w:rsidP="00802A48">
      <w:pPr>
        <w:pStyle w:val="Paragraphedeliste"/>
        <w:numPr>
          <w:ilvl w:val="0"/>
          <w:numId w:val="7"/>
        </w:numPr>
        <w:spacing w:before="120"/>
        <w:ind w:left="714" w:hanging="357"/>
        <w:contextualSpacing w:val="0"/>
        <w:jc w:val="both"/>
      </w:pPr>
      <w:r>
        <w:lastRenderedPageBreak/>
        <w:t>Un article p</w:t>
      </w:r>
      <w:r w:rsidR="006E085F">
        <w:t>aru</w:t>
      </w:r>
      <w:r>
        <w:t xml:space="preserve"> sur le blog</w:t>
      </w:r>
      <w:r w:rsidR="003133EC">
        <w:t>ue</w:t>
      </w:r>
      <w:r>
        <w:t xml:space="preserve"> </w:t>
      </w:r>
      <w:r w:rsidRPr="0008748F">
        <w:rPr>
          <w:i/>
          <w:iCs/>
        </w:rPr>
        <w:t>Uranium Waves</w:t>
      </w:r>
      <w:r>
        <w:t xml:space="preserve"> le 16 février 2025</w:t>
      </w:r>
      <w:r>
        <w:rPr>
          <w:rStyle w:val="Appelnotedebasdep"/>
        </w:rPr>
        <w:footnoteReference w:id="11"/>
      </w:r>
      <w:r>
        <w:t>. Cet article souligne les mêmes points que le précédent</w:t>
      </w:r>
      <w:r w:rsidR="00787D4E">
        <w:t xml:space="preserve"> et discute des volets politiques, stratégiques et commerciaux de la décision d’Amazon de fermer ses entrepôts</w:t>
      </w:r>
      <w:r>
        <w:t>. Au moins à court terme, les avantages d’une livraison rapide s’avèrent compromis pour les clients du Québec</w:t>
      </w:r>
      <w:r w:rsidR="009B36C6">
        <w:t xml:space="preserve">, </w:t>
      </w:r>
      <w:r w:rsidR="00787D4E">
        <w:t>malgré les propos rassurants d’Amazon</w:t>
      </w:r>
      <w:r>
        <w:t>. L</w:t>
      </w:r>
      <w:r w:rsidR="00787D4E">
        <w:t xml:space="preserve">e vécu relaté par les clients démontre </w:t>
      </w:r>
      <w:r w:rsidR="00562A41">
        <w:t xml:space="preserve">une extension des délais de livraison et </w:t>
      </w:r>
      <w:r w:rsidR="00787D4E">
        <w:t>des divergences marquées des délais de livraison entre Montréal et Toronto</w:t>
      </w:r>
      <w:r>
        <w:t xml:space="preserve">. Intelcom </w:t>
      </w:r>
      <w:r w:rsidR="00662104">
        <w:t>prend la relève de certaines livraisons</w:t>
      </w:r>
      <w:r>
        <w:t xml:space="preserve"> et il faudra suivre si elle pourra pallier </w:t>
      </w:r>
      <w:r w:rsidR="00331A19">
        <w:t>les</w:t>
      </w:r>
      <w:r w:rsidR="003F1FCF">
        <w:t xml:space="preserve"> délais.</w:t>
      </w:r>
    </w:p>
    <w:p w14:paraId="38B0EB99" w14:textId="77777777" w:rsidR="00480082" w:rsidRDefault="00402023" w:rsidP="00802A48">
      <w:pPr>
        <w:pStyle w:val="Paragraphedeliste"/>
        <w:numPr>
          <w:ilvl w:val="0"/>
          <w:numId w:val="7"/>
        </w:numPr>
        <w:spacing w:before="120"/>
        <w:ind w:left="714" w:hanging="357"/>
        <w:contextualSpacing w:val="0"/>
        <w:jc w:val="both"/>
      </w:pPr>
      <w:r>
        <w:t xml:space="preserve">Des articles </w:t>
      </w:r>
      <w:r w:rsidR="00AD1730">
        <w:t>parus</w:t>
      </w:r>
      <w:r>
        <w:t xml:space="preserve"> dans </w:t>
      </w:r>
      <w:r w:rsidRPr="0008748F">
        <w:rPr>
          <w:i/>
          <w:iCs/>
        </w:rPr>
        <w:t>La Presse</w:t>
      </w:r>
      <w:r>
        <w:t xml:space="preserve"> entre le 19 et le 25 février 2025</w:t>
      </w:r>
      <w:r>
        <w:rPr>
          <w:rStyle w:val="Appelnotedebasdep"/>
        </w:rPr>
        <w:footnoteReference w:id="12"/>
      </w:r>
      <w:r>
        <w:t xml:space="preserve">. Ils rapportent que des abonnés d’Amazon ont remarqué </w:t>
      </w:r>
      <w:r w:rsidR="00B91FA5">
        <w:t xml:space="preserve">un prolongement </w:t>
      </w:r>
      <w:r>
        <w:t>des délais de livraison à la suite de la fermeture de ses entrepôts.</w:t>
      </w:r>
      <w:r w:rsidR="00B91FA5">
        <w:t xml:space="preserve"> On y lit qu’une consultation d’une trentaine d’articles sélectionnés </w:t>
      </w:r>
      <w:r w:rsidR="00FB3C6F">
        <w:t xml:space="preserve">au hasard </w:t>
      </w:r>
      <w:r w:rsidR="00B91FA5">
        <w:t>parmi les meilleurs vendeurs peut être livré</w:t>
      </w:r>
      <w:r w:rsidR="003133EC">
        <w:t>e</w:t>
      </w:r>
      <w:r w:rsidR="00B91FA5">
        <w:t xml:space="preserve"> dans un délai de quatre</w:t>
      </w:r>
      <w:r w:rsidR="00FB3C6F">
        <w:t xml:space="preserve">, </w:t>
      </w:r>
      <w:r w:rsidR="00B91FA5">
        <w:t>cinq</w:t>
      </w:r>
      <w:r w:rsidR="00FB3C6F">
        <w:t>, voire six</w:t>
      </w:r>
      <w:r w:rsidR="00B91FA5">
        <w:t xml:space="preserve"> jours ouvrables à destination du centre-ville de Montréal</w:t>
      </w:r>
      <w:r w:rsidR="00331A19">
        <w:t>,</w:t>
      </w:r>
      <w:r w:rsidR="00B91FA5">
        <w:t xml:space="preserve"> même avec un abonnement </w:t>
      </w:r>
      <w:r w:rsidR="00B91FA5" w:rsidRPr="00E8714B">
        <w:rPr>
          <w:i/>
          <w:iCs/>
        </w:rPr>
        <w:t>Prime</w:t>
      </w:r>
      <w:r w:rsidR="00B91FA5">
        <w:t>, alors que la livraison se fait en une ou deux journée</w:t>
      </w:r>
      <w:r w:rsidR="003133EC">
        <w:t>s</w:t>
      </w:r>
      <w:r w:rsidR="00B91FA5">
        <w:t xml:space="preserve"> à Toronto et Calgary.</w:t>
      </w:r>
      <w:r w:rsidR="00FB3C6F">
        <w:t xml:space="preserve"> Certains détaillants du Québec auraient aussi constaté une augmentation des délais vers le Québec</w:t>
      </w:r>
      <w:r w:rsidR="003133EC">
        <w:t>,</w:t>
      </w:r>
      <w:r w:rsidR="00FB3C6F">
        <w:t xml:space="preserve"> mais pas pour les autres grandes ville</w:t>
      </w:r>
      <w:r w:rsidR="003133EC">
        <w:t>s</w:t>
      </w:r>
      <w:r w:rsidR="00FB3C6F">
        <w:t xml:space="preserve"> du pays, même pour de la marchandise en provenance du Québec</w:t>
      </w:r>
      <w:r>
        <w:t>.</w:t>
      </w:r>
    </w:p>
    <w:p w14:paraId="764B2944" w14:textId="77777777" w:rsidR="00024C82" w:rsidRDefault="00402023" w:rsidP="00802A48">
      <w:pPr>
        <w:pStyle w:val="Paragraphedeliste"/>
        <w:numPr>
          <w:ilvl w:val="0"/>
          <w:numId w:val="7"/>
        </w:numPr>
        <w:spacing w:before="120"/>
        <w:ind w:left="714" w:hanging="357"/>
        <w:contextualSpacing w:val="0"/>
        <w:jc w:val="both"/>
      </w:pPr>
      <w:r>
        <w:t>Q</w:t>
      </w:r>
      <w:r w:rsidR="003B6959">
        <w:t xml:space="preserve">uelques </w:t>
      </w:r>
      <w:r>
        <w:t xml:space="preserve">lecteurs </w:t>
      </w:r>
      <w:r w:rsidR="000941CC">
        <w:t>de La Presse</w:t>
      </w:r>
      <w:r>
        <w:t xml:space="preserve"> commentent. C</w:t>
      </w:r>
      <w:r w:rsidR="00415F9A">
        <w:t>ertains</w:t>
      </w:r>
      <w:r>
        <w:t xml:space="preserve"> se plaignent de délais de livraison plus longs que ceux représentés</w:t>
      </w:r>
      <w:r>
        <w:rPr>
          <w:rStyle w:val="Appelnotedebasdep"/>
        </w:rPr>
        <w:footnoteReference w:id="13"/>
      </w:r>
      <w:r w:rsidR="004758C1">
        <w:t> :</w:t>
      </w:r>
    </w:p>
    <w:p w14:paraId="3C7B09FE" w14:textId="77777777" w:rsidR="004758C1" w:rsidRDefault="00402023" w:rsidP="00802A48">
      <w:pPr>
        <w:pStyle w:val="Paragraphedeliste"/>
        <w:numPr>
          <w:ilvl w:val="0"/>
          <w:numId w:val="8"/>
        </w:numPr>
        <w:spacing w:before="120"/>
        <w:ind w:left="1820" w:hanging="357"/>
        <w:contextualSpacing w:val="0"/>
        <w:jc w:val="both"/>
      </w:pPr>
      <w:r>
        <w:t xml:space="preserve">Lecteur 1 : reproche que </w:t>
      </w:r>
      <w:r w:rsidR="00825B48">
        <w:t xml:space="preserve">son </w:t>
      </w:r>
      <w:r>
        <w:t>produit n</w:t>
      </w:r>
      <w:r w:rsidR="003133EC">
        <w:t>e soi</w:t>
      </w:r>
      <w:r>
        <w:t xml:space="preserve">t plus éligible à </w:t>
      </w:r>
      <w:r w:rsidR="00825B48">
        <w:t xml:space="preserve">une </w:t>
      </w:r>
      <w:r>
        <w:t>livraison en un jour, alors que c’était le cas avant la fermeture des entrepôts</w:t>
      </w:r>
      <w:r w:rsidR="00870D6D">
        <w:t xml:space="preserve">. </w:t>
      </w:r>
      <w:r w:rsidR="00825B48">
        <w:t>Il a</w:t>
      </w:r>
      <w:r w:rsidR="00870D6D">
        <w:t xml:space="preserve"> l</w:t>
      </w:r>
      <w:r w:rsidR="00415F9A">
        <w:t>’</w:t>
      </w:r>
      <w:r w:rsidR="00870D6D">
        <w:t>impression de ne plus en avoir pour son argent.</w:t>
      </w:r>
    </w:p>
    <w:p w14:paraId="573B2B84" w14:textId="77777777" w:rsidR="004758C1" w:rsidRDefault="00402023" w:rsidP="00802A48">
      <w:pPr>
        <w:pStyle w:val="Paragraphedeliste"/>
        <w:numPr>
          <w:ilvl w:val="0"/>
          <w:numId w:val="8"/>
        </w:numPr>
        <w:spacing w:before="120"/>
        <w:ind w:left="1820" w:hanging="357"/>
        <w:contextualSpacing w:val="0"/>
        <w:jc w:val="both"/>
      </w:pPr>
      <w:r>
        <w:t xml:space="preserve">Lecteur 4 : reproche une commande promise en deux jours arrivée en trois. Une seconde promise </w:t>
      </w:r>
      <w:r w:rsidR="00870D6D">
        <w:t>en un jour</w:t>
      </w:r>
      <w:r>
        <w:t xml:space="preserve"> retardée. </w:t>
      </w:r>
      <w:r w:rsidR="0008748F">
        <w:t>Il a</w:t>
      </w:r>
      <w:r>
        <w:t xml:space="preserve"> demandé un remboursement de cette commande et un désabonnement. </w:t>
      </w:r>
    </w:p>
    <w:p w14:paraId="1401436B" w14:textId="77777777" w:rsidR="00870D6D" w:rsidRDefault="00402023" w:rsidP="00802A48">
      <w:pPr>
        <w:pStyle w:val="Paragraphedeliste"/>
        <w:numPr>
          <w:ilvl w:val="0"/>
          <w:numId w:val="8"/>
        </w:numPr>
        <w:spacing w:before="120"/>
        <w:ind w:left="1820" w:hanging="357"/>
        <w:contextualSpacing w:val="0"/>
        <w:jc w:val="both"/>
      </w:pPr>
      <w:r>
        <w:t xml:space="preserve">Lecteur 5 : cliente de l’Outaouais qui déplore </w:t>
      </w:r>
      <w:r w:rsidR="00415F9A">
        <w:t xml:space="preserve">que la livraison ne se fasse plus chez elle et </w:t>
      </w:r>
      <w:r>
        <w:t>avoir dû cueillir ses colis dans un centre de distribution Purolator</w:t>
      </w:r>
      <w:r w:rsidR="00833010">
        <w:t>. Elle</w:t>
      </w:r>
      <w:r w:rsidR="003133EC">
        <w:t xml:space="preserve"> a</w:t>
      </w:r>
      <w:r>
        <w:t xml:space="preserve"> annulé son abonnement.</w:t>
      </w:r>
    </w:p>
    <w:p w14:paraId="0F8418E5" w14:textId="77777777" w:rsidR="00415F9A" w:rsidRDefault="00402023" w:rsidP="00802A48">
      <w:pPr>
        <w:pStyle w:val="Paragraphedeliste"/>
        <w:numPr>
          <w:ilvl w:val="0"/>
          <w:numId w:val="8"/>
        </w:numPr>
        <w:spacing w:before="120"/>
        <w:ind w:left="1820" w:hanging="357"/>
        <w:contextualSpacing w:val="0"/>
        <w:jc w:val="both"/>
      </w:pPr>
      <w:r>
        <w:t>Lecteur 6 : déplore qu’une livraison promise le lendemain soit arrivée quatre jours plus tard.</w:t>
      </w:r>
    </w:p>
    <w:p w14:paraId="59BBC56F" w14:textId="77777777" w:rsidR="00415F9A" w:rsidRDefault="00402023" w:rsidP="00216BB6">
      <w:pPr>
        <w:pStyle w:val="Paragraphedeliste"/>
        <w:numPr>
          <w:ilvl w:val="0"/>
          <w:numId w:val="8"/>
        </w:numPr>
        <w:spacing w:before="120" w:after="120"/>
        <w:ind w:left="1820" w:hanging="357"/>
        <w:contextualSpacing w:val="0"/>
        <w:jc w:val="both"/>
      </w:pPr>
      <w:r>
        <w:t xml:space="preserve">Lecteur 7 : déplore </w:t>
      </w:r>
      <w:r w:rsidR="00825B48">
        <w:t xml:space="preserve">les </w:t>
      </w:r>
      <w:r>
        <w:t>délais de livraison plus longs et a décidé d’annuler son abonnement.</w:t>
      </w:r>
    </w:p>
    <w:p w14:paraId="13920EAA" w14:textId="77777777" w:rsidR="006049C6" w:rsidRDefault="00402023" w:rsidP="006049C6">
      <w:pPr>
        <w:pStyle w:val="Paragrsimple"/>
      </w:pPr>
      <w:r>
        <w:t>On remarque que la preuve soumise se situe dans une période restreinte d’environ un mois suivant la fermeture des entrepôts.</w:t>
      </w:r>
    </w:p>
    <w:p w14:paraId="65495357" w14:textId="77777777" w:rsidR="007B1212" w:rsidRDefault="00402023" w:rsidP="002054AF">
      <w:pPr>
        <w:pStyle w:val="Titre2"/>
      </w:pPr>
      <w:r>
        <w:lastRenderedPageBreak/>
        <w:t>La preuve appropriée autorisée</w:t>
      </w:r>
    </w:p>
    <w:p w14:paraId="490F2AAA" w14:textId="77777777" w:rsidR="007B1212" w:rsidRDefault="00402023" w:rsidP="007B1212">
      <w:pPr>
        <w:pStyle w:val="Paragrsimple"/>
      </w:pPr>
      <w:r>
        <w:t xml:space="preserve">Amazon a été autorisée à produire certains éléments de preuve. </w:t>
      </w:r>
      <w:r w:rsidR="00701B6D">
        <w:t>Plusieurs</w:t>
      </w:r>
      <w:r>
        <w:t xml:space="preserve"> sont éclairants.</w:t>
      </w:r>
    </w:p>
    <w:p w14:paraId="65E49179" w14:textId="77777777" w:rsidR="00144BFB" w:rsidRPr="00144BFB" w:rsidRDefault="00402023" w:rsidP="0063430C">
      <w:pPr>
        <w:pStyle w:val="Paragrsimple"/>
      </w:pPr>
      <w:r>
        <w:t xml:space="preserve">D’une part, la preuve soumise démontre que </w:t>
      </w:r>
      <w:r w:rsidR="005C5E9D">
        <w:t>M. Desnoyers</w:t>
      </w:r>
      <w:r>
        <w:t xml:space="preserve"> garde sous silence dans sa demande d’autorisation un nombre considérable de commandes p</w:t>
      </w:r>
      <w:r w:rsidR="00457F9B">
        <w:t>ass</w:t>
      </w:r>
      <w:r>
        <w:t>ées à la boutique en ligne d’Amazon</w:t>
      </w:r>
      <w:r w:rsidR="000941CC">
        <w:t xml:space="preserve"> entre le</w:t>
      </w:r>
      <w:r>
        <w:t xml:space="preserve"> 22 janvier et le</w:t>
      </w:r>
      <w:r w:rsidR="00863D38">
        <w:t xml:space="preserve"> </w:t>
      </w:r>
      <w:r w:rsidR="00201828">
        <w:t>18 juin 2025</w:t>
      </w:r>
      <w:r>
        <w:rPr>
          <w:rStyle w:val="Appelnotedebasdep"/>
        </w:rPr>
        <w:footnoteReference w:id="14"/>
      </w:r>
      <w:r w:rsidR="00201828">
        <w:t>.</w:t>
      </w:r>
      <w:r>
        <w:t xml:space="preserve"> </w:t>
      </w:r>
    </w:p>
    <w:p w14:paraId="0CADC75F" w14:textId="77777777" w:rsidR="005C5E10" w:rsidRDefault="00402023" w:rsidP="0063430C">
      <w:pPr>
        <w:pStyle w:val="Paragrsimple"/>
      </w:pPr>
      <w:r>
        <w:t xml:space="preserve">D’abord, il </w:t>
      </w:r>
      <w:r w:rsidR="00833010">
        <w:t>p</w:t>
      </w:r>
      <w:r w:rsidR="00331A19">
        <w:t>ass</w:t>
      </w:r>
      <w:r>
        <w:t>e</w:t>
      </w:r>
      <w:r w:rsidR="00833010">
        <w:t xml:space="preserve"> c</w:t>
      </w:r>
      <w:r w:rsidR="0063430C">
        <w:t>inq commandes d’</w:t>
      </w:r>
      <w:r w:rsidR="0063430C" w:rsidRPr="0008748F">
        <w:rPr>
          <w:i/>
          <w:iCs/>
        </w:rPr>
        <w:t xml:space="preserve">Items éligibles </w:t>
      </w:r>
      <w:r w:rsidR="0063430C">
        <w:t xml:space="preserve">avant l’achat allégué </w:t>
      </w:r>
      <w:r w:rsidR="00833010">
        <w:t>dans sa demande</w:t>
      </w:r>
      <w:r w:rsidR="0063430C">
        <w:t xml:space="preserve"> et une</w:t>
      </w:r>
      <w:r w:rsidR="00833010">
        <w:t xml:space="preserve"> autre</w:t>
      </w:r>
      <w:r w:rsidR="0063430C">
        <w:t xml:space="preserve"> le même jour. Ces commandes </w:t>
      </w:r>
      <w:r>
        <w:t>sont</w:t>
      </w:r>
      <w:r w:rsidR="0063430C">
        <w:t xml:space="preserve"> livrées à l’intérieur des délais </w:t>
      </w:r>
      <w:r w:rsidR="00C64C8E">
        <w:t xml:space="preserve">d’un ou deux jours </w:t>
      </w:r>
      <w:r w:rsidR="00E13B97">
        <w:t>promis lors de l’achat</w:t>
      </w:r>
      <w:r>
        <w:rPr>
          <w:rStyle w:val="Appelnotedebasdep"/>
        </w:rPr>
        <w:footnoteReference w:id="15"/>
      </w:r>
      <w:r w:rsidR="0063430C">
        <w:t xml:space="preserve">. </w:t>
      </w:r>
    </w:p>
    <w:p w14:paraId="01C63705" w14:textId="77777777" w:rsidR="00A45FC8" w:rsidRDefault="00402023" w:rsidP="006F4870">
      <w:pPr>
        <w:pStyle w:val="Paragrsimple"/>
      </w:pPr>
      <w:r>
        <w:t xml:space="preserve">Ensuite, </w:t>
      </w:r>
      <w:r w:rsidR="006F4870">
        <w:t>à partir du 31 janvier</w:t>
      </w:r>
      <w:r w:rsidR="0008748F">
        <w:t xml:space="preserve"> 2025</w:t>
      </w:r>
      <w:r w:rsidR="006F4870">
        <w:t xml:space="preserve">, </w:t>
      </w:r>
      <w:r w:rsidR="005C5E9D">
        <w:t>M. Desnoyers</w:t>
      </w:r>
      <w:r w:rsidR="006F4870">
        <w:t xml:space="preserve"> p</w:t>
      </w:r>
      <w:r w:rsidR="00331A19">
        <w:t>ass</w:t>
      </w:r>
      <w:r>
        <w:t>e</w:t>
      </w:r>
      <w:r w:rsidR="006F4870">
        <w:t xml:space="preserve"> 45 autres commandes. </w:t>
      </w:r>
      <w:r w:rsidR="00833010">
        <w:t>Seules l</w:t>
      </w:r>
      <w:r w:rsidR="006F4870">
        <w:t xml:space="preserve">es </w:t>
      </w:r>
      <w:r w:rsidR="0039406E">
        <w:t xml:space="preserve">cinq </w:t>
      </w:r>
      <w:r w:rsidR="006F4870">
        <w:t>commandes suivantes présent</w:t>
      </w:r>
      <w:r>
        <w:t>ent</w:t>
      </w:r>
      <w:r w:rsidR="006F4870">
        <w:t xml:space="preserve"> des retards de livraison : </w:t>
      </w:r>
    </w:p>
    <w:p w14:paraId="2C397470" w14:textId="77777777" w:rsidR="006F4870" w:rsidRPr="006F4870" w:rsidRDefault="00402023" w:rsidP="00802A48">
      <w:pPr>
        <w:pStyle w:val="Sous-paragraphe"/>
        <w:spacing w:after="0"/>
      </w:pPr>
      <w:r w:rsidRPr="006F4870">
        <w:t xml:space="preserve">Un </w:t>
      </w:r>
      <w:r w:rsidR="0008748F" w:rsidRPr="006F4870">
        <w:t xml:space="preserve">thermomètre </w:t>
      </w:r>
      <w:r w:rsidRPr="006F4870">
        <w:t>“Meater Plus Thermometer” (</w:t>
      </w:r>
      <w:r w:rsidR="00F1111E">
        <w:t>pièce</w:t>
      </w:r>
      <w:r w:rsidR="00F1111E" w:rsidRPr="006F4870">
        <w:t xml:space="preserve"> </w:t>
      </w:r>
      <w:r w:rsidRPr="006F4870">
        <w:t>AMZ-14)</w:t>
      </w:r>
      <w:r w:rsidR="00FD0EC0">
        <w:t xml:space="preserve"> -</w:t>
      </w:r>
      <w:r w:rsidR="00B7383D">
        <w:t xml:space="preserve"> </w:t>
      </w:r>
      <w:r w:rsidR="00B7383D" w:rsidRPr="00B7383D">
        <w:rPr>
          <w:i/>
          <w:iCs/>
        </w:rPr>
        <w:t>Livrai</w:t>
      </w:r>
      <w:r w:rsidR="00833010">
        <w:rPr>
          <w:i/>
          <w:iCs/>
        </w:rPr>
        <w:t>s</w:t>
      </w:r>
      <w:r w:rsidR="00B7383D" w:rsidRPr="00B7383D">
        <w:rPr>
          <w:i/>
          <w:iCs/>
        </w:rPr>
        <w:t>on en un jour</w:t>
      </w:r>
      <w:r w:rsidRPr="006F4870">
        <w:t>; ce thermom</w:t>
      </w:r>
      <w:r w:rsidR="003133EC">
        <w:t>ètre</w:t>
      </w:r>
      <w:r w:rsidRPr="006F4870">
        <w:t xml:space="preserve">, commandé le </w:t>
      </w:r>
      <w:r w:rsidR="008A7A44">
        <w:t>7</w:t>
      </w:r>
      <w:r w:rsidRPr="006F4870">
        <w:t xml:space="preserve"> févri</w:t>
      </w:r>
      <w:r>
        <w:t xml:space="preserve">er, </w:t>
      </w:r>
      <w:r w:rsidR="00697CB7">
        <w:t>est</w:t>
      </w:r>
      <w:r>
        <w:t xml:space="preserve"> expédié le même jour et livré le </w:t>
      </w:r>
      <w:r w:rsidR="008A7A44">
        <w:t xml:space="preserve">dimanche </w:t>
      </w:r>
      <w:r>
        <w:t xml:space="preserve">9 février, alors que la date de livraison prévue </w:t>
      </w:r>
      <w:r w:rsidR="00697CB7">
        <w:t>était</w:t>
      </w:r>
      <w:r>
        <w:t xml:space="preserve"> le </w:t>
      </w:r>
      <w:r w:rsidR="008A7A44">
        <w:t xml:space="preserve">samedi </w:t>
      </w:r>
      <w:r>
        <w:t>8 février</w:t>
      </w:r>
      <w:r w:rsidR="00FD0EC0">
        <w:t>;</w:t>
      </w:r>
    </w:p>
    <w:p w14:paraId="3334BA51" w14:textId="77777777" w:rsidR="006F4870" w:rsidRPr="00051223" w:rsidRDefault="00402023" w:rsidP="00802A48">
      <w:pPr>
        <w:pStyle w:val="Sous-paragraphe"/>
        <w:spacing w:after="0"/>
      </w:pPr>
      <w:r w:rsidRPr="00051223">
        <w:t>De la cire “Mushers Secret Dog Paw Wax” (</w:t>
      </w:r>
      <w:r w:rsidR="00F1111E">
        <w:t>pièce</w:t>
      </w:r>
      <w:r w:rsidR="00F1111E" w:rsidRPr="00051223">
        <w:t xml:space="preserve"> </w:t>
      </w:r>
      <w:r w:rsidRPr="00051223">
        <w:t>AMZ-16</w:t>
      </w:r>
      <w:r w:rsidRPr="00B7383D">
        <w:rPr>
          <w:i/>
          <w:iCs/>
        </w:rPr>
        <w:t>)</w:t>
      </w:r>
      <w:r w:rsidR="00FD0EC0">
        <w:rPr>
          <w:i/>
          <w:iCs/>
        </w:rPr>
        <w:t xml:space="preserve"> -</w:t>
      </w:r>
      <w:r w:rsidR="00B7383D" w:rsidRPr="00B7383D">
        <w:rPr>
          <w:i/>
          <w:iCs/>
        </w:rPr>
        <w:t xml:space="preserve"> Livraison en un jour</w:t>
      </w:r>
      <w:r w:rsidRPr="00051223">
        <w:t>;</w:t>
      </w:r>
      <w:r w:rsidR="008A7A44">
        <w:t xml:space="preserve"> ce produit, commandé le 12 février 2025</w:t>
      </w:r>
      <w:r w:rsidR="003133EC">
        <w:t>,</w:t>
      </w:r>
      <w:r w:rsidR="008A7A44">
        <w:t xml:space="preserve"> </w:t>
      </w:r>
      <w:r w:rsidR="00697CB7">
        <w:t xml:space="preserve">est </w:t>
      </w:r>
      <w:r w:rsidR="008A7A44">
        <w:t xml:space="preserve">expédié le même jour et livré le 14 février, alors qu’il était visé par l’expédition en un jour. </w:t>
      </w:r>
      <w:r w:rsidR="0039406E">
        <w:t>On remarque que la date de livraison initiale</w:t>
      </w:r>
      <w:r w:rsidR="00911851">
        <w:t>ment</w:t>
      </w:r>
      <w:r w:rsidR="0039406E">
        <w:t xml:space="preserve"> </w:t>
      </w:r>
      <w:r w:rsidR="00110CBA">
        <w:t>prévue</w:t>
      </w:r>
      <w:r w:rsidR="0039406E">
        <w:t xml:space="preserve"> était le 15 février</w:t>
      </w:r>
      <w:r w:rsidR="00FD0EC0">
        <w:t>;</w:t>
      </w:r>
    </w:p>
    <w:p w14:paraId="08DC86CD" w14:textId="77777777" w:rsidR="006F4870" w:rsidRPr="008A7A44" w:rsidRDefault="00402023" w:rsidP="00802A48">
      <w:pPr>
        <w:pStyle w:val="Sous-paragraphe"/>
        <w:spacing w:after="0"/>
      </w:pPr>
      <w:r w:rsidRPr="008A7A44">
        <w:t>Un ruban adhésif “Alientape Nano Double Sided Tape” (</w:t>
      </w:r>
      <w:bookmarkStart w:id="5" w:name="_Hlk228198863"/>
      <w:r w:rsidR="00F1111E">
        <w:t>pièce</w:t>
      </w:r>
      <w:bookmarkEnd w:id="5"/>
      <w:r w:rsidR="00F1111E">
        <w:t xml:space="preserve"> </w:t>
      </w:r>
      <w:r w:rsidRPr="008A7A44">
        <w:t>AMZ-17)</w:t>
      </w:r>
      <w:r w:rsidR="00FD0EC0">
        <w:t xml:space="preserve"> - </w:t>
      </w:r>
      <w:r w:rsidR="00B7383D">
        <w:t xml:space="preserve"> </w:t>
      </w:r>
      <w:r w:rsidR="00B7383D" w:rsidRPr="00B7383D">
        <w:rPr>
          <w:i/>
          <w:iCs/>
        </w:rPr>
        <w:t>Free Prime delivery</w:t>
      </w:r>
      <w:r w:rsidR="00FD0EC0">
        <w:rPr>
          <w:i/>
          <w:iCs/>
        </w:rPr>
        <w:t xml:space="preserve"> </w:t>
      </w:r>
      <w:r w:rsidR="00E6673F">
        <w:rPr>
          <w:i/>
          <w:iCs/>
        </w:rPr>
        <w:t>- one day</w:t>
      </w:r>
      <w:r w:rsidRPr="00B7383D">
        <w:rPr>
          <w:i/>
          <w:iCs/>
        </w:rPr>
        <w:t>;</w:t>
      </w:r>
      <w:r w:rsidR="008A7A44" w:rsidRPr="008A7A44">
        <w:t xml:space="preserve"> ce pr</w:t>
      </w:r>
      <w:r w:rsidR="008A7A44">
        <w:t xml:space="preserve">oduit, commandé le 3 mars 2025 </w:t>
      </w:r>
      <w:r w:rsidR="00697CB7">
        <w:t>est</w:t>
      </w:r>
      <w:r w:rsidR="008A7A44">
        <w:t xml:space="preserve"> expédié le 4 mars et </w:t>
      </w:r>
      <w:r w:rsidR="00DA1F14">
        <w:t>on estim</w:t>
      </w:r>
      <w:r w:rsidR="00697CB7">
        <w:t>e</w:t>
      </w:r>
      <w:r w:rsidR="00DA1F14">
        <w:t xml:space="preserve"> qu’il sera </w:t>
      </w:r>
      <w:r w:rsidR="0039406E">
        <w:t xml:space="preserve">livré le même jour. Il </w:t>
      </w:r>
      <w:r w:rsidR="00697CB7">
        <w:t>est</w:t>
      </w:r>
      <w:r w:rsidR="0039406E">
        <w:t xml:space="preserve"> </w:t>
      </w:r>
      <w:r w:rsidR="008A7A44">
        <w:t>livré le 11 mars 2025, 7 jours plus tard</w:t>
      </w:r>
      <w:r w:rsidR="00FD0EC0">
        <w:t>;</w:t>
      </w:r>
    </w:p>
    <w:p w14:paraId="0F2C23FE" w14:textId="77777777" w:rsidR="006F4870" w:rsidRPr="008A7A44" w:rsidRDefault="00402023" w:rsidP="00802A48">
      <w:pPr>
        <w:pStyle w:val="Sous-paragraphe"/>
        <w:spacing w:after="0"/>
      </w:pPr>
      <w:r w:rsidRPr="008A7A44">
        <w:t>Des biscuits “Big Daddy Oatmeal Cookies” (</w:t>
      </w:r>
      <w:r w:rsidR="00F1111E">
        <w:t>pièce</w:t>
      </w:r>
      <w:r w:rsidR="00F1111E" w:rsidRPr="008A7A44">
        <w:t xml:space="preserve"> </w:t>
      </w:r>
      <w:r w:rsidRPr="008A7A44">
        <w:t xml:space="preserve">AMZ-17); </w:t>
      </w:r>
      <w:r w:rsidR="008A7A44" w:rsidRPr="008A7A44">
        <w:t>il s’agit de la</w:t>
      </w:r>
      <w:r w:rsidR="008A7A44">
        <w:t xml:space="preserve"> même commande</w:t>
      </w:r>
      <w:r w:rsidR="00833010">
        <w:t xml:space="preserve"> que la précédente</w:t>
      </w:r>
      <w:r w:rsidR="008A7A44">
        <w:t xml:space="preserve">. Ces biscuits </w:t>
      </w:r>
      <w:r w:rsidR="00697CB7">
        <w:t>sont</w:t>
      </w:r>
      <w:r w:rsidR="008A7A44">
        <w:t xml:space="preserve"> remboursés</w:t>
      </w:r>
      <w:r w:rsidR="00DA1F14">
        <w:t xml:space="preserve"> le 10 mars 2025, avant la livraison</w:t>
      </w:r>
      <w:r w:rsidR="00FD0EC0">
        <w:t>;</w:t>
      </w:r>
    </w:p>
    <w:p w14:paraId="2B6D7F9F" w14:textId="77777777" w:rsidR="006F4870" w:rsidRPr="00051223" w:rsidRDefault="00402023" w:rsidP="00802A48">
      <w:pPr>
        <w:pStyle w:val="Sous-paragraphe"/>
        <w:spacing w:after="0"/>
      </w:pPr>
      <w:r w:rsidRPr="00051223">
        <w:t>Des tasses “Wlass Espresso Cups” (</w:t>
      </w:r>
      <w:r w:rsidR="00F1111E">
        <w:t>pièce</w:t>
      </w:r>
      <w:r w:rsidR="00F1111E" w:rsidRPr="00051223">
        <w:t xml:space="preserve"> </w:t>
      </w:r>
      <w:r w:rsidRPr="00051223">
        <w:t>AMZ-18)</w:t>
      </w:r>
      <w:r w:rsidR="007931B7">
        <w:t xml:space="preserve"> </w:t>
      </w:r>
      <w:r w:rsidR="00FD0EC0">
        <w:t xml:space="preserve">- </w:t>
      </w:r>
      <w:r w:rsidR="007931B7" w:rsidRPr="007931B7">
        <w:rPr>
          <w:i/>
          <w:iCs/>
        </w:rPr>
        <w:t xml:space="preserve">Free </w:t>
      </w:r>
      <w:r w:rsidR="009A63DC">
        <w:rPr>
          <w:i/>
          <w:iCs/>
        </w:rPr>
        <w:t>P</w:t>
      </w:r>
      <w:r w:rsidR="007931B7" w:rsidRPr="007931B7">
        <w:rPr>
          <w:i/>
          <w:iCs/>
        </w:rPr>
        <w:t xml:space="preserve">rime </w:t>
      </w:r>
      <w:r w:rsidR="00E6673F">
        <w:rPr>
          <w:i/>
          <w:iCs/>
        </w:rPr>
        <w:t xml:space="preserve">one-day </w:t>
      </w:r>
      <w:r w:rsidR="007931B7" w:rsidRPr="007931B7">
        <w:rPr>
          <w:i/>
          <w:iCs/>
        </w:rPr>
        <w:t>delivery</w:t>
      </w:r>
      <w:r w:rsidRPr="00051223">
        <w:t xml:space="preserve">; </w:t>
      </w:r>
      <w:r w:rsidR="008A7A44">
        <w:t>ces tasses sont commandées le 6 mars, expédiées le 7 et livrées le 9</w:t>
      </w:r>
      <w:r w:rsidR="00FD0EC0">
        <w:t xml:space="preserve"> mars</w:t>
      </w:r>
      <w:r w:rsidR="008A7A44">
        <w:t xml:space="preserve">, alors que la date de livraison estimée </w:t>
      </w:r>
      <w:r w:rsidR="0039406E">
        <w:t xml:space="preserve">au moment de la commande </w:t>
      </w:r>
      <w:r w:rsidR="00AC6864">
        <w:t>est</w:t>
      </w:r>
      <w:r w:rsidR="008A7A44">
        <w:t xml:space="preserve"> le 7</w:t>
      </w:r>
      <w:r w:rsidR="0039406E">
        <w:t xml:space="preserve"> mars</w:t>
      </w:r>
      <w:r w:rsidR="00FD0EC0">
        <w:t>;</w:t>
      </w:r>
    </w:p>
    <w:p w14:paraId="22C5C105" w14:textId="77777777" w:rsidR="00A861DB" w:rsidRPr="00A861DB" w:rsidRDefault="00402023" w:rsidP="00B70541">
      <w:pPr>
        <w:pStyle w:val="Sous-paragraphe"/>
      </w:pPr>
      <w:r w:rsidRPr="00051223">
        <w:t>Des pantalons “Baleaf Mens Sweatpants” (</w:t>
      </w:r>
      <w:r w:rsidR="00F1111E">
        <w:t>pièce</w:t>
      </w:r>
      <w:r w:rsidR="00F1111E" w:rsidRPr="00051223">
        <w:t xml:space="preserve"> </w:t>
      </w:r>
      <w:r w:rsidRPr="00051223">
        <w:t>AMZ-44)</w:t>
      </w:r>
      <w:r w:rsidR="00FD0EC0">
        <w:t xml:space="preserve"> -</w:t>
      </w:r>
      <w:r w:rsidR="007931B7">
        <w:t xml:space="preserve"> </w:t>
      </w:r>
      <w:r w:rsidR="007931B7" w:rsidRPr="007931B7">
        <w:rPr>
          <w:i/>
          <w:iCs/>
        </w:rPr>
        <w:t>Two-Day shipping</w:t>
      </w:r>
      <w:r w:rsidRPr="00051223">
        <w:t xml:space="preserve">; </w:t>
      </w:r>
      <w:r w:rsidR="0039406E">
        <w:t>ces pantalons,</w:t>
      </w:r>
      <w:r w:rsidR="006F312F">
        <w:t xml:space="preserve"> </w:t>
      </w:r>
      <w:r w:rsidR="0039406E">
        <w:t>commandés le 15 mai et expédiés le même jour</w:t>
      </w:r>
      <w:r w:rsidR="003133EC">
        <w:t>,</w:t>
      </w:r>
      <w:r w:rsidR="0039406E">
        <w:t xml:space="preserve"> sont livrés le 20 mai.</w:t>
      </w:r>
      <w:r w:rsidR="00864E2D">
        <w:t xml:space="preserve"> On remarque que l</w:t>
      </w:r>
      <w:r w:rsidR="0039406E">
        <w:t xml:space="preserve">a date de livraison estimée lors de la commande </w:t>
      </w:r>
      <w:r w:rsidR="00DE14EF">
        <w:t>est</w:t>
      </w:r>
      <w:r w:rsidR="0039406E">
        <w:t xml:space="preserve"> le 26 mai</w:t>
      </w:r>
      <w:r w:rsidR="00B70541">
        <w:t>.</w:t>
      </w:r>
    </w:p>
    <w:p w14:paraId="178A9085" w14:textId="77777777" w:rsidR="00A861DB" w:rsidRDefault="00402023" w:rsidP="00FD0EC0">
      <w:pPr>
        <w:pStyle w:val="Paragrsimple"/>
        <w:spacing w:after="0"/>
      </w:pPr>
      <w:r>
        <w:lastRenderedPageBreak/>
        <w:t xml:space="preserve">Ainsi, </w:t>
      </w:r>
      <w:r w:rsidR="00462230">
        <w:t>dans les mois qui suiv</w:t>
      </w:r>
      <w:r w:rsidR="00B70541">
        <w:t>ent</w:t>
      </w:r>
      <w:r w:rsidR="00462230">
        <w:t xml:space="preserve"> la fermeture des entrepôts d’Amazon au Québec, M. Desnoyers </w:t>
      </w:r>
      <w:r w:rsidR="00B70541">
        <w:t xml:space="preserve">reçoit la majorité de ses commandes à l’intérieur des délais de livraison </w:t>
      </w:r>
      <w:r w:rsidR="00B70541" w:rsidRPr="00440C5B">
        <w:rPr>
          <w:i/>
          <w:iCs/>
        </w:rPr>
        <w:t>Prime</w:t>
      </w:r>
      <w:r w:rsidR="00B70541">
        <w:t>. La proportion des commandes livrées avec retard est faible</w:t>
      </w:r>
      <w:r w:rsidR="00462230">
        <w:t>:</w:t>
      </w:r>
    </w:p>
    <w:p w14:paraId="39D6FE88" w14:textId="77777777" w:rsidR="00A861DB" w:rsidRDefault="00402023" w:rsidP="00FD0EC0">
      <w:pPr>
        <w:pStyle w:val="Paragrdouble"/>
        <w:numPr>
          <w:ilvl w:val="0"/>
          <w:numId w:val="8"/>
        </w:numPr>
        <w:spacing w:after="0" w:line="240" w:lineRule="auto"/>
        <w:ind w:left="1820" w:hanging="357"/>
      </w:pPr>
      <w:r>
        <w:t>janvier 2025 : une commande sur sept;</w:t>
      </w:r>
    </w:p>
    <w:p w14:paraId="07EF7470" w14:textId="77777777" w:rsidR="00A861DB" w:rsidRDefault="00402023" w:rsidP="00FD0EC0">
      <w:pPr>
        <w:pStyle w:val="Paragrdouble"/>
        <w:numPr>
          <w:ilvl w:val="0"/>
          <w:numId w:val="8"/>
        </w:numPr>
        <w:spacing w:after="0" w:line="240" w:lineRule="auto"/>
        <w:ind w:left="1820" w:hanging="357"/>
      </w:pPr>
      <w:r>
        <w:t>février 2025 : deux commandes sur six</w:t>
      </w:r>
      <w:r w:rsidR="00C1539D">
        <w:t>, dont une livrée avant la date de livraison acceptée lors de la commande</w:t>
      </w:r>
      <w:r>
        <w:t>;</w:t>
      </w:r>
    </w:p>
    <w:p w14:paraId="085295AD" w14:textId="77777777" w:rsidR="00A861DB" w:rsidRDefault="00402023" w:rsidP="00FD0EC0">
      <w:pPr>
        <w:pStyle w:val="Paragrdouble"/>
        <w:numPr>
          <w:ilvl w:val="0"/>
          <w:numId w:val="8"/>
        </w:numPr>
        <w:spacing w:after="0" w:line="240" w:lineRule="auto"/>
        <w:ind w:left="1820" w:hanging="357"/>
      </w:pPr>
      <w:r>
        <w:t>mars 2025 : une commande sur dix;</w:t>
      </w:r>
    </w:p>
    <w:p w14:paraId="6344CF09" w14:textId="77777777" w:rsidR="00A861DB" w:rsidRDefault="00402023" w:rsidP="00FD0EC0">
      <w:pPr>
        <w:pStyle w:val="Paragrdouble"/>
        <w:numPr>
          <w:ilvl w:val="0"/>
          <w:numId w:val="8"/>
        </w:numPr>
        <w:spacing w:after="0" w:line="240" w:lineRule="auto"/>
        <w:ind w:left="1820" w:hanging="357"/>
      </w:pPr>
      <w:r>
        <w:t>avril 2025 : aucune sur treize;</w:t>
      </w:r>
    </w:p>
    <w:p w14:paraId="61C76728" w14:textId="77777777" w:rsidR="00A861DB" w:rsidRDefault="00402023" w:rsidP="00FD0EC0">
      <w:pPr>
        <w:pStyle w:val="Paragrdouble"/>
        <w:numPr>
          <w:ilvl w:val="0"/>
          <w:numId w:val="8"/>
        </w:numPr>
        <w:spacing w:after="0" w:line="240" w:lineRule="auto"/>
        <w:ind w:left="1820" w:hanging="357"/>
      </w:pPr>
      <w:r>
        <w:t>mai 2025 : une sur onze, mais avec un délai de livraison prévu et accepté</w:t>
      </w:r>
      <w:r w:rsidR="00184ADF">
        <w:t xml:space="preserve"> au moment de l’achat</w:t>
      </w:r>
      <w:r>
        <w:t>;</w:t>
      </w:r>
    </w:p>
    <w:p w14:paraId="39CD5009" w14:textId="77777777" w:rsidR="00A861DB" w:rsidRPr="00A861DB" w:rsidRDefault="00402023" w:rsidP="00D409A4">
      <w:pPr>
        <w:pStyle w:val="Paragrdouble"/>
        <w:numPr>
          <w:ilvl w:val="0"/>
          <w:numId w:val="8"/>
        </w:numPr>
        <w:spacing w:line="240" w:lineRule="auto"/>
        <w:ind w:left="1820" w:hanging="357"/>
      </w:pPr>
      <w:r>
        <w:t>juin 2025 : aucune sur quatre.</w:t>
      </w:r>
    </w:p>
    <w:p w14:paraId="14842F55" w14:textId="77777777" w:rsidR="00EB3AB7" w:rsidRDefault="00402023" w:rsidP="00EB3AB7">
      <w:pPr>
        <w:pStyle w:val="Paragrsimple"/>
      </w:pPr>
      <w:r>
        <w:t>Finalement, o</w:t>
      </w:r>
      <w:r w:rsidR="00D737D1">
        <w:t>n remarque</w:t>
      </w:r>
      <w:r>
        <w:t xml:space="preserve"> </w:t>
      </w:r>
      <w:r w:rsidR="00D737D1">
        <w:t xml:space="preserve">que </w:t>
      </w:r>
      <w:r w:rsidR="00462230">
        <w:t xml:space="preserve">pour quatre des commandes </w:t>
      </w:r>
      <w:r w:rsidR="00782C4B">
        <w:t>passé</w:t>
      </w:r>
      <w:r w:rsidR="00462230">
        <w:t xml:space="preserve">es par M. Desnoyers durant cette période, </w:t>
      </w:r>
      <w:r w:rsidR="00D737D1">
        <w:t xml:space="preserve">la date de livraison prévue </w:t>
      </w:r>
      <w:r w:rsidR="0039218A">
        <w:t xml:space="preserve">et acceptée </w:t>
      </w:r>
      <w:r w:rsidR="00D737D1">
        <w:t xml:space="preserve">ne </w:t>
      </w:r>
      <w:r w:rsidR="0039218A">
        <w:t>répond</w:t>
      </w:r>
      <w:r w:rsidR="00D737D1">
        <w:t xml:space="preserve"> pas </w:t>
      </w:r>
      <w:r w:rsidR="0039218A">
        <w:t>aux</w:t>
      </w:r>
      <w:r w:rsidR="00D737D1">
        <w:t xml:space="preserve"> délais de </w:t>
      </w:r>
      <w:r w:rsidR="00462230">
        <w:t>un</w:t>
      </w:r>
      <w:r w:rsidR="00D737D1">
        <w:t xml:space="preserve"> ou </w:t>
      </w:r>
      <w:r w:rsidR="00462230">
        <w:t>deux</w:t>
      </w:r>
      <w:r w:rsidR="00D737D1">
        <w:t xml:space="preserve"> jours stipulés au contrat d’abonnement </w:t>
      </w:r>
      <w:r w:rsidR="00462230" w:rsidRPr="00EB3AB7">
        <w:rPr>
          <w:i/>
          <w:iCs/>
        </w:rPr>
        <w:t>Prime</w:t>
      </w:r>
      <w:r>
        <w:t>:</w:t>
      </w:r>
    </w:p>
    <w:p w14:paraId="2E187CFD" w14:textId="77777777" w:rsidR="00184ADF" w:rsidRDefault="00402023" w:rsidP="009C7E93">
      <w:pPr>
        <w:pStyle w:val="Paragrsimple"/>
        <w:numPr>
          <w:ilvl w:val="0"/>
          <w:numId w:val="9"/>
        </w:numPr>
        <w:spacing w:after="0"/>
        <w:ind w:left="714" w:hanging="357"/>
      </w:pPr>
      <w:r>
        <w:t>P</w:t>
      </w:r>
      <w:r w:rsidR="00F1111E">
        <w:t xml:space="preserve">ièce </w:t>
      </w:r>
      <w:r>
        <w:t xml:space="preserve">AMZ-5 : commande </w:t>
      </w:r>
      <w:r w:rsidR="00782C4B">
        <w:t>passé</w:t>
      </w:r>
      <w:r>
        <w:t>e le 24 janvier 2025</w:t>
      </w:r>
      <w:r w:rsidR="003E073C">
        <w:t xml:space="preserve"> avec une </w:t>
      </w:r>
      <w:r>
        <w:t>date de livraison initiale</w:t>
      </w:r>
      <w:r w:rsidR="003E073C">
        <w:t>ment</w:t>
      </w:r>
      <w:r>
        <w:t xml:space="preserve"> prévue le 27 janvier 2025;</w:t>
      </w:r>
    </w:p>
    <w:p w14:paraId="7C7FB6B8" w14:textId="77777777" w:rsidR="00184ADF" w:rsidRDefault="00402023" w:rsidP="00802A48">
      <w:pPr>
        <w:pStyle w:val="Paragraphedeliste"/>
        <w:numPr>
          <w:ilvl w:val="0"/>
          <w:numId w:val="9"/>
        </w:numPr>
        <w:spacing w:before="120"/>
        <w:ind w:left="714" w:hanging="357"/>
        <w:contextualSpacing w:val="0"/>
        <w:jc w:val="both"/>
      </w:pPr>
      <w:r>
        <w:t>P</w:t>
      </w:r>
      <w:r w:rsidR="00F1111E">
        <w:t xml:space="preserve">ièce </w:t>
      </w:r>
      <w:r>
        <w:t xml:space="preserve">AMZ-6 : commande </w:t>
      </w:r>
      <w:r w:rsidR="00782C4B">
        <w:t>passé</w:t>
      </w:r>
      <w:r>
        <w:t>e le 25 janvier 2025</w:t>
      </w:r>
      <w:r w:rsidR="003E073C">
        <w:t xml:space="preserve"> avec une</w:t>
      </w:r>
      <w:r>
        <w:t xml:space="preserve"> date de livraison initiale</w:t>
      </w:r>
      <w:r w:rsidR="003E073C">
        <w:t>ment</w:t>
      </w:r>
      <w:r>
        <w:t xml:space="preserve"> prévue le 30 janvier</w:t>
      </w:r>
      <w:r w:rsidR="00FD0EC0">
        <w:t>;</w:t>
      </w:r>
    </w:p>
    <w:p w14:paraId="4A91B59E" w14:textId="77777777" w:rsidR="00184ADF" w:rsidRDefault="00402023" w:rsidP="00802A48">
      <w:pPr>
        <w:pStyle w:val="Paragraphedeliste"/>
        <w:numPr>
          <w:ilvl w:val="0"/>
          <w:numId w:val="9"/>
        </w:numPr>
        <w:spacing w:before="120"/>
        <w:ind w:left="714" w:hanging="357"/>
        <w:contextualSpacing w:val="0"/>
        <w:jc w:val="both"/>
      </w:pPr>
      <w:r>
        <w:t>P</w:t>
      </w:r>
      <w:r w:rsidR="00F1111E">
        <w:t xml:space="preserve">ièce </w:t>
      </w:r>
      <w:r>
        <w:t xml:space="preserve">AMZ-16 : commande </w:t>
      </w:r>
      <w:r w:rsidR="00782C4B">
        <w:t>passé</w:t>
      </w:r>
      <w:r>
        <w:t>e le 12 février</w:t>
      </w:r>
      <w:r w:rsidR="003E073C">
        <w:t xml:space="preserve"> avec une </w:t>
      </w:r>
      <w:r>
        <w:t>date de livraison initiale</w:t>
      </w:r>
      <w:r w:rsidR="003E073C">
        <w:t>ment</w:t>
      </w:r>
      <w:r>
        <w:t xml:space="preserve"> prévue le 15 février</w:t>
      </w:r>
      <w:r w:rsidR="00FD0EC0">
        <w:t>;</w:t>
      </w:r>
    </w:p>
    <w:p w14:paraId="52F14324" w14:textId="77777777" w:rsidR="005D41ED" w:rsidRPr="00184ADF" w:rsidRDefault="00402023" w:rsidP="00833010">
      <w:pPr>
        <w:pStyle w:val="Paragraphedeliste"/>
        <w:numPr>
          <w:ilvl w:val="0"/>
          <w:numId w:val="9"/>
        </w:numPr>
        <w:spacing w:before="120" w:after="120"/>
        <w:ind w:left="714" w:hanging="357"/>
        <w:contextualSpacing w:val="0"/>
        <w:jc w:val="both"/>
      </w:pPr>
      <w:r>
        <w:t>P</w:t>
      </w:r>
      <w:r w:rsidR="00F1111E">
        <w:t xml:space="preserve">ièce </w:t>
      </w:r>
      <w:r>
        <w:t xml:space="preserve">AMZ-44 : commande </w:t>
      </w:r>
      <w:r w:rsidR="00782C4B">
        <w:t>passé</w:t>
      </w:r>
      <w:r>
        <w:t>e le 15 mai</w:t>
      </w:r>
      <w:r w:rsidR="003E073C">
        <w:t xml:space="preserve"> avec une date de livraison initialement prévue le </w:t>
      </w:r>
      <w:r>
        <w:t>26 mai.</w:t>
      </w:r>
    </w:p>
    <w:p w14:paraId="0CA9A6A1" w14:textId="77777777" w:rsidR="002054AF" w:rsidRDefault="00402023" w:rsidP="00FA4D02">
      <w:pPr>
        <w:pStyle w:val="Titre2"/>
      </w:pPr>
      <w:r>
        <w:t>Les critères d’autorisation</w:t>
      </w:r>
    </w:p>
    <w:p w14:paraId="636A2D34" w14:textId="77777777" w:rsidR="002054AF" w:rsidRPr="00AE1584" w:rsidRDefault="00402023" w:rsidP="002054AF">
      <w:pPr>
        <w:pStyle w:val="Paragrsimple"/>
        <w:tabs>
          <w:tab w:val="num" w:pos="360"/>
        </w:tabs>
      </w:pPr>
      <w:r>
        <w:t>Q</w:t>
      </w:r>
      <w:r w:rsidRPr="00AE1584">
        <w:t xml:space="preserve">uatre critères d'autorisation cumulatifs </w:t>
      </w:r>
      <w:r>
        <w:t xml:space="preserve">sont </w:t>
      </w:r>
      <w:r w:rsidRPr="00AE1584">
        <w:t xml:space="preserve">édictés par l'article 575 C.p.c. </w:t>
      </w:r>
    </w:p>
    <w:p w14:paraId="7B54FF00" w14:textId="77777777" w:rsidR="002054AF" w:rsidRPr="002054AF" w:rsidRDefault="00402023" w:rsidP="002054AF">
      <w:pPr>
        <w:pStyle w:val="Paragrsimple"/>
        <w:numPr>
          <w:ilvl w:val="0"/>
          <w:numId w:val="1"/>
        </w:numPr>
        <w:tabs>
          <w:tab w:val="clear" w:pos="360"/>
        </w:tabs>
      </w:pPr>
      <w:r w:rsidRPr="00AE1584">
        <w:t xml:space="preserve">Comme l'a récemment rappelé la Cour d'appel, </w:t>
      </w:r>
      <w:r w:rsidR="00787F35">
        <w:t>c</w:t>
      </w:r>
      <w:r w:rsidRPr="00AE1584">
        <w:t>es critères</w:t>
      </w:r>
      <w:r w:rsidR="00787F35">
        <w:t xml:space="preserve"> </w:t>
      </w:r>
      <w:r w:rsidRPr="00AE1584">
        <w:t>doivent être interprétés de manière large et généreuse afin de promouvoir les objectifs de l'action collective, soit l'accès à la justice, la dissuasion des comportements dommageables et l'indemnisation des victimes.</w:t>
      </w:r>
      <w:r>
        <w:rPr>
          <w:rStyle w:val="Appelnotedebasdep"/>
          <w:rFonts w:eastAsia="Calibri"/>
        </w:rPr>
        <w:footnoteReference w:id="16"/>
      </w:r>
    </w:p>
    <w:p w14:paraId="06C79E69" w14:textId="77777777" w:rsidR="00C25632" w:rsidRPr="00C25632" w:rsidRDefault="00402023" w:rsidP="002054AF">
      <w:pPr>
        <w:pStyle w:val="Titre3"/>
      </w:pPr>
      <w:r>
        <w:t>M. Desnoyers fait-il valoir une cause défendable?</w:t>
      </w:r>
      <w:r w:rsidR="00833010">
        <w:t xml:space="preserve"> (art. </w:t>
      </w:r>
      <w:r w:rsidR="00833010" w:rsidRPr="00F312AF">
        <w:t>575 (</w:t>
      </w:r>
      <w:r w:rsidR="00F312AF" w:rsidRPr="00F312AF">
        <w:t>2</w:t>
      </w:r>
      <w:r w:rsidR="00833010" w:rsidRPr="00F312AF">
        <w:t>)</w:t>
      </w:r>
      <w:r w:rsidR="00833010">
        <w:t xml:space="preserve"> C.p.c.)</w:t>
      </w:r>
    </w:p>
    <w:p w14:paraId="3314DBEA" w14:textId="77777777" w:rsidR="00B72F11" w:rsidRPr="003F51F0" w:rsidRDefault="00402023" w:rsidP="00B72F11">
      <w:pPr>
        <w:pStyle w:val="Paragrsimple"/>
      </w:pPr>
      <w:r>
        <w:t>L</w:t>
      </w:r>
      <w:r w:rsidRPr="003F51F0">
        <w:t>e rôle d</w:t>
      </w:r>
      <w:r w:rsidR="005E3110">
        <w:t xml:space="preserve">u </w:t>
      </w:r>
      <w:r w:rsidR="00CD67C9">
        <w:t xml:space="preserve">juge d’autorisation </w:t>
      </w:r>
      <w:r w:rsidRPr="003F51F0">
        <w:t xml:space="preserve">est de filtrer les demandes frivoles ou manifestement non fondées. </w:t>
      </w:r>
    </w:p>
    <w:p w14:paraId="42457B92" w14:textId="77777777" w:rsidR="005E3110" w:rsidRPr="00EA620B" w:rsidRDefault="00402023" w:rsidP="005E3110">
      <w:pPr>
        <w:pStyle w:val="Paragrsimple"/>
        <w:rPr>
          <w:lang w:eastAsia="fr-CA"/>
        </w:rPr>
      </w:pPr>
      <w:r>
        <w:rPr>
          <w:lang w:eastAsia="fr-CA"/>
        </w:rPr>
        <w:lastRenderedPageBreak/>
        <w:t xml:space="preserve">Le </w:t>
      </w:r>
      <w:r w:rsidR="00C25632">
        <w:rPr>
          <w:lang w:eastAsia="fr-CA"/>
        </w:rPr>
        <w:t xml:space="preserve">juge </w:t>
      </w:r>
      <w:r w:rsidR="00CD67C9">
        <w:rPr>
          <w:lang w:eastAsia="fr-CA"/>
        </w:rPr>
        <w:t>tient pour avérées l</w:t>
      </w:r>
      <w:r w:rsidRPr="006040AF">
        <w:rPr>
          <w:lang w:eastAsia="fr-CA"/>
        </w:rPr>
        <w:t>es allégations factuelles de la demande</w:t>
      </w:r>
      <w:r w:rsidR="00CD67C9">
        <w:rPr>
          <w:lang w:eastAsia="fr-CA"/>
        </w:rPr>
        <w:t xml:space="preserve">, sauf celles qui sont </w:t>
      </w:r>
      <w:r w:rsidR="00CD67C9" w:rsidRPr="006040AF">
        <w:rPr>
          <w:lang w:eastAsia="fr-CA"/>
        </w:rPr>
        <w:t>vagues,</w:t>
      </w:r>
      <w:r w:rsidR="00CD67C9">
        <w:rPr>
          <w:lang w:eastAsia="fr-CA"/>
        </w:rPr>
        <w:t xml:space="preserve"> </w:t>
      </w:r>
      <w:r w:rsidR="00CD67C9" w:rsidRPr="006040AF">
        <w:rPr>
          <w:lang w:eastAsia="fr-CA"/>
        </w:rPr>
        <w:t>imprécises, manifestement inexactes ou autrement contredites</w:t>
      </w:r>
      <w:r>
        <w:rPr>
          <w:lang w:eastAsia="fr-CA"/>
        </w:rPr>
        <w:t xml:space="preserve">. </w:t>
      </w:r>
      <w:r w:rsidR="00CD67C9">
        <w:rPr>
          <w:lang w:eastAsia="fr-CA"/>
        </w:rPr>
        <w:t xml:space="preserve">Les autres allégations, soit celles </w:t>
      </w:r>
      <w:r w:rsidRPr="006040AF">
        <w:rPr>
          <w:lang w:eastAsia="fr-CA"/>
        </w:rPr>
        <w:t xml:space="preserve">de nature juridique, </w:t>
      </w:r>
      <w:r w:rsidR="00CD67C9">
        <w:rPr>
          <w:lang w:eastAsia="fr-CA"/>
        </w:rPr>
        <w:t>l</w:t>
      </w:r>
      <w:r w:rsidRPr="006040AF">
        <w:rPr>
          <w:lang w:eastAsia="fr-CA"/>
        </w:rPr>
        <w:t>es allégations génériques ou générales, ou celles qui relèvent de l’opinion, de la spéculation ou de l’hypothèse</w:t>
      </w:r>
      <w:r>
        <w:rPr>
          <w:lang w:eastAsia="fr-CA"/>
        </w:rPr>
        <w:t>, ne sont pas tenues pour avérées</w:t>
      </w:r>
      <w:r>
        <w:rPr>
          <w:rStyle w:val="Appelnotedebasdep"/>
          <w:rFonts w:cs="Arial"/>
          <w:color w:val="000000"/>
          <w:szCs w:val="24"/>
          <w:lang w:eastAsia="fr-CA"/>
        </w:rPr>
        <w:footnoteReference w:id="17"/>
      </w:r>
      <w:r w:rsidRPr="006040AF">
        <w:rPr>
          <w:lang w:eastAsia="fr-CA"/>
        </w:rPr>
        <w:t>.</w:t>
      </w:r>
      <w:r w:rsidR="00B360A8">
        <w:rPr>
          <w:lang w:eastAsia="fr-CA"/>
        </w:rPr>
        <w:t xml:space="preserve"> De simples affirmations </w:t>
      </w:r>
      <w:r w:rsidR="007944DB">
        <w:rPr>
          <w:lang w:eastAsia="fr-CA"/>
        </w:rPr>
        <w:t xml:space="preserve">de cette nature </w:t>
      </w:r>
      <w:r w:rsidR="00B360A8">
        <w:rPr>
          <w:lang w:eastAsia="fr-CA"/>
        </w:rPr>
        <w:t>d</w:t>
      </w:r>
      <w:r w:rsidR="007C7316">
        <w:rPr>
          <w:lang w:eastAsia="fr-CA"/>
        </w:rPr>
        <w:t>oive</w:t>
      </w:r>
      <w:r w:rsidR="00B360A8">
        <w:rPr>
          <w:lang w:eastAsia="fr-CA"/>
        </w:rPr>
        <w:t xml:space="preserve">nt être appuyées d’une certaine preuve </w:t>
      </w:r>
      <w:r w:rsidR="006E32D2">
        <w:rPr>
          <w:lang w:eastAsia="fr-CA"/>
        </w:rPr>
        <w:t>afin d’établir une cause défendable</w:t>
      </w:r>
      <w:r>
        <w:rPr>
          <w:rStyle w:val="Appelnotedebasdep"/>
          <w:lang w:eastAsia="fr-CA"/>
        </w:rPr>
        <w:footnoteReference w:id="18"/>
      </w:r>
      <w:r w:rsidR="00B360A8">
        <w:rPr>
          <w:lang w:eastAsia="fr-CA"/>
        </w:rPr>
        <w:t>.</w:t>
      </w:r>
    </w:p>
    <w:p w14:paraId="7EA26887" w14:textId="77777777" w:rsidR="005E3110" w:rsidRPr="003F51F0" w:rsidRDefault="00402023" w:rsidP="005E3110">
      <w:pPr>
        <w:pStyle w:val="Paragrsimple"/>
        <w:rPr>
          <w:lang w:eastAsia="fr-CA"/>
        </w:rPr>
      </w:pPr>
      <w:r w:rsidRPr="003F51F0">
        <w:rPr>
          <w:lang w:eastAsia="fr-CA"/>
        </w:rPr>
        <w:t xml:space="preserve">Le juge peut également examiner les pièces </w:t>
      </w:r>
      <w:r w:rsidR="006E32D2">
        <w:rPr>
          <w:lang w:eastAsia="fr-CA"/>
        </w:rPr>
        <w:t>produites afin de vérifier le caractère soutenable des allégués</w:t>
      </w:r>
      <w:r>
        <w:rPr>
          <w:rStyle w:val="Appelnotedebasdep"/>
          <w:lang w:eastAsia="fr-CA"/>
        </w:rPr>
        <w:footnoteReference w:id="19"/>
      </w:r>
      <w:r w:rsidR="006E32D2">
        <w:rPr>
          <w:lang w:eastAsia="fr-CA"/>
        </w:rPr>
        <w:t>.</w:t>
      </w:r>
    </w:p>
    <w:p w14:paraId="3790F0BD" w14:textId="77777777" w:rsidR="00CD67C9" w:rsidRDefault="00402023" w:rsidP="00CD67C9">
      <w:pPr>
        <w:pStyle w:val="Paragrsimple"/>
      </w:pPr>
      <w:r>
        <w:rPr>
          <w:lang w:eastAsia="fr-CA"/>
        </w:rPr>
        <w:t xml:space="preserve">Le juge peut </w:t>
      </w:r>
      <w:r w:rsidR="00E66B8C">
        <w:rPr>
          <w:lang w:eastAsia="fr-CA"/>
        </w:rPr>
        <w:t xml:space="preserve">aussi </w:t>
      </w:r>
      <w:r w:rsidRPr="003F51F0">
        <w:rPr>
          <w:lang w:eastAsia="fr-CA"/>
        </w:rPr>
        <w:t>trancher une pure question de droit et interpréter le droit applicable afin de remplir son rôle</w:t>
      </w:r>
      <w:r>
        <w:rPr>
          <w:lang w:eastAsia="fr-CA"/>
        </w:rPr>
        <w:t>, mais il doit se garder :</w:t>
      </w:r>
    </w:p>
    <w:p w14:paraId="4E705980" w14:textId="77777777" w:rsidR="00CD67C9" w:rsidRDefault="00402023" w:rsidP="00802A48">
      <w:pPr>
        <w:pStyle w:val="Paragrsimple"/>
        <w:numPr>
          <w:ilvl w:val="0"/>
          <w:numId w:val="10"/>
        </w:numPr>
        <w:spacing w:after="0"/>
        <w:ind w:left="714" w:hanging="357"/>
      </w:pPr>
      <w:r>
        <w:rPr>
          <w:lang w:eastAsia="fr-CA"/>
        </w:rPr>
        <w:t>d’examiner la valeur probante des allégations ou des pièces et;</w:t>
      </w:r>
    </w:p>
    <w:p w14:paraId="47267158" w14:textId="77777777" w:rsidR="00CD67C9" w:rsidRPr="00F312AF" w:rsidRDefault="00402023" w:rsidP="00D409A4">
      <w:pPr>
        <w:pStyle w:val="Paragrsimple"/>
        <w:numPr>
          <w:ilvl w:val="0"/>
          <w:numId w:val="10"/>
        </w:numPr>
        <w:rPr>
          <w:lang w:eastAsia="fr-CA"/>
        </w:rPr>
      </w:pPr>
      <w:r w:rsidRPr="00F312AF">
        <w:rPr>
          <w:lang w:eastAsia="fr-CA"/>
        </w:rPr>
        <w:t>de se prononcer sur le bien-fondé juridique des conclusions à l'égard des faits</w:t>
      </w:r>
      <w:r>
        <w:rPr>
          <w:rStyle w:val="Appelnotedebasdep"/>
          <w:rFonts w:cs="Arial"/>
          <w:color w:val="000000"/>
          <w:szCs w:val="24"/>
          <w:lang w:eastAsia="fr-CA"/>
        </w:rPr>
        <w:footnoteReference w:id="20"/>
      </w:r>
      <w:r w:rsidR="00E7259F" w:rsidRPr="00F312AF">
        <w:rPr>
          <w:rStyle w:val="Appelnotedebasdep"/>
          <w:rFonts w:cs="Arial"/>
          <w:color w:val="000000"/>
          <w:szCs w:val="24"/>
          <w:lang w:eastAsia="fr-CA"/>
        </w:rPr>
        <w:t> </w:t>
      </w:r>
      <w:r w:rsidRPr="00F312AF">
        <w:rPr>
          <w:lang w:eastAsia="fr-CA"/>
        </w:rPr>
        <w:t>.</w:t>
      </w:r>
    </w:p>
    <w:p w14:paraId="28D721C0" w14:textId="77777777" w:rsidR="00FC2DC4" w:rsidRPr="002054AF" w:rsidRDefault="00402023" w:rsidP="002054AF">
      <w:pPr>
        <w:pStyle w:val="Paragrsimple"/>
        <w:rPr>
          <w:i/>
          <w:iCs/>
          <w:lang w:eastAsia="fr-CA"/>
        </w:rPr>
      </w:pPr>
      <w:r w:rsidRPr="00F312AF">
        <w:rPr>
          <w:lang w:eastAsia="fr-CA"/>
        </w:rPr>
        <w:t>M. Desnoyers se voit imposer un fardeau peu élevé. Il n’a qu’à démontrer la simple possibilité d’avoir gain de cause</w:t>
      </w:r>
      <w:r w:rsidR="00396961">
        <w:rPr>
          <w:lang w:eastAsia="fr-CA"/>
        </w:rPr>
        <w:t>, et ce,</w:t>
      </w:r>
      <w:r w:rsidRPr="00F312AF">
        <w:rPr>
          <w:lang w:eastAsia="fr-CA"/>
        </w:rPr>
        <w:t xml:space="preserve"> </w:t>
      </w:r>
      <w:r w:rsidR="00787F35" w:rsidRPr="00F312AF">
        <w:rPr>
          <w:lang w:eastAsia="fr-CA"/>
        </w:rPr>
        <w:t>à l’égard d</w:t>
      </w:r>
      <w:r w:rsidR="00787F35">
        <w:rPr>
          <w:lang w:eastAsia="fr-CA"/>
        </w:rPr>
        <w:t xml:space="preserve">e </w:t>
      </w:r>
      <w:r w:rsidR="00787F35" w:rsidRPr="00F312AF">
        <w:rPr>
          <w:lang w:eastAsia="fr-CA"/>
        </w:rPr>
        <w:t>l’un des fondements de sa réclamation</w:t>
      </w:r>
      <w:r>
        <w:rPr>
          <w:rStyle w:val="Appelnotedebasdep"/>
          <w:rFonts w:cs="Arial"/>
          <w:color w:val="000000"/>
          <w:szCs w:val="24"/>
          <w:lang w:eastAsia="fr-CA"/>
        </w:rPr>
        <w:footnoteReference w:id="21"/>
      </w:r>
      <w:r w:rsidR="00787F35">
        <w:rPr>
          <w:lang w:eastAsia="fr-CA"/>
        </w:rPr>
        <w:t>.</w:t>
      </w:r>
    </w:p>
    <w:p w14:paraId="603681FD" w14:textId="77777777" w:rsidR="00FC2DC4" w:rsidRDefault="00402023" w:rsidP="00204AFD">
      <w:pPr>
        <w:pStyle w:val="Paragrsimple"/>
        <w:rPr>
          <w:lang w:eastAsia="fr-CA"/>
        </w:rPr>
      </w:pPr>
      <w:r>
        <w:rPr>
          <w:lang w:eastAsia="fr-CA"/>
        </w:rPr>
        <w:t>Il propose de considérer que sa cause d’action fondée sur les articles 40 et 41 L</w:t>
      </w:r>
      <w:r w:rsidR="008A16DC">
        <w:rPr>
          <w:lang w:eastAsia="fr-CA"/>
        </w:rPr>
        <w:t>.p.c.</w:t>
      </w:r>
      <w:r>
        <w:rPr>
          <w:lang w:eastAsia="fr-CA"/>
        </w:rPr>
        <w:t xml:space="preserve"> est défendable</w:t>
      </w:r>
      <w:r w:rsidR="00204AFD">
        <w:rPr>
          <w:lang w:eastAsia="fr-CA"/>
        </w:rPr>
        <w:t xml:space="preserve"> et que ce constat suffit </w:t>
      </w:r>
      <w:r w:rsidR="007C7316">
        <w:rPr>
          <w:lang w:eastAsia="fr-CA"/>
        </w:rPr>
        <w:t>pour faire droit à sa demande d’</w:t>
      </w:r>
      <w:r w:rsidR="00204AFD">
        <w:rPr>
          <w:lang w:eastAsia="fr-CA"/>
        </w:rPr>
        <w:t>autorisation. Il a raison, mais seulement en partie.</w:t>
      </w:r>
    </w:p>
    <w:p w14:paraId="2625AC71" w14:textId="77777777" w:rsidR="00204AFD" w:rsidRPr="00204AFD" w:rsidRDefault="00402023" w:rsidP="00204AFD">
      <w:pPr>
        <w:pStyle w:val="Paragrsimple"/>
        <w:rPr>
          <w:lang w:eastAsia="fr-CA"/>
        </w:rPr>
      </w:pPr>
      <w:r>
        <w:rPr>
          <w:lang w:eastAsia="fr-CA"/>
        </w:rPr>
        <w:t xml:space="preserve">D’une part, les allégations et les pièces soumises </w:t>
      </w:r>
      <w:r w:rsidR="007C7316">
        <w:rPr>
          <w:lang w:eastAsia="fr-CA"/>
        </w:rPr>
        <w:t xml:space="preserve">à leur appui </w:t>
      </w:r>
      <w:r>
        <w:rPr>
          <w:lang w:eastAsia="fr-CA"/>
        </w:rPr>
        <w:t xml:space="preserve">suffisent pour démontrer l’existence d’une cause défendable, mais pas au-delà du mois de mars 2025. D’autre part, la </w:t>
      </w:r>
      <w:r w:rsidR="007C7316">
        <w:rPr>
          <w:lang w:eastAsia="fr-CA"/>
        </w:rPr>
        <w:t>compos</w:t>
      </w:r>
      <w:r>
        <w:rPr>
          <w:lang w:eastAsia="fr-CA"/>
        </w:rPr>
        <w:t xml:space="preserve">ition du groupe doit être restreinte afin d’assurer que </w:t>
      </w:r>
      <w:r w:rsidR="0033249D">
        <w:rPr>
          <w:lang w:eastAsia="fr-CA"/>
        </w:rPr>
        <w:t xml:space="preserve">le groupe inclut seulement les membres qui </w:t>
      </w:r>
      <w:r>
        <w:rPr>
          <w:lang w:eastAsia="fr-CA"/>
        </w:rPr>
        <w:t>bénéficient d’une cause d’action.</w:t>
      </w:r>
    </w:p>
    <w:p w14:paraId="0E552340" w14:textId="77777777" w:rsidR="00204AFD" w:rsidRDefault="00402023" w:rsidP="008B4FE0">
      <w:pPr>
        <w:pStyle w:val="Titre4"/>
      </w:pPr>
      <w:r>
        <w:t>Une cause défendable jusqu’au 31 mars 2025</w:t>
      </w:r>
    </w:p>
    <w:p w14:paraId="73360A91" w14:textId="77777777" w:rsidR="008E48F2" w:rsidRDefault="00402023" w:rsidP="00204AFD">
      <w:pPr>
        <w:pStyle w:val="Paragrsimple"/>
      </w:pPr>
      <w:r>
        <w:t xml:space="preserve">M. Desnoyers a payé son abonnement </w:t>
      </w:r>
      <w:r w:rsidRPr="00E8714B">
        <w:rPr>
          <w:i/>
          <w:iCs/>
        </w:rPr>
        <w:t>Prime</w:t>
      </w:r>
      <w:r>
        <w:t xml:space="preserve"> afin de bénéficier des délais de livraison rapide et sans frais.</w:t>
      </w:r>
    </w:p>
    <w:p w14:paraId="7B403EFA" w14:textId="77777777" w:rsidR="007F6FF7" w:rsidRDefault="00402023" w:rsidP="008E67B2">
      <w:pPr>
        <w:pStyle w:val="Paragrsimple"/>
      </w:pPr>
      <w:r>
        <w:t xml:space="preserve">Durant les mois de janvier, février et mars 2025, il </w:t>
      </w:r>
      <w:r w:rsidR="008E67B2">
        <w:t xml:space="preserve">a reçu </w:t>
      </w:r>
      <w:r w:rsidR="00196803">
        <w:t>quatre commandes avec retard de livraison</w:t>
      </w:r>
      <w:r w:rsidR="008E67B2">
        <w:t xml:space="preserve"> par rapport aux représentations d’Amazon.</w:t>
      </w:r>
    </w:p>
    <w:p w14:paraId="6ABD0902" w14:textId="77777777" w:rsidR="008E48F2" w:rsidRDefault="00402023" w:rsidP="00196803">
      <w:pPr>
        <w:pStyle w:val="Paragrsimple"/>
      </w:pPr>
      <w:r>
        <w:lastRenderedPageBreak/>
        <w:t xml:space="preserve">Il a aussi </w:t>
      </w:r>
      <w:r w:rsidR="00196803">
        <w:t xml:space="preserve">commandé </w:t>
      </w:r>
      <w:r>
        <w:t xml:space="preserve">à </w:t>
      </w:r>
      <w:r w:rsidR="00C20DA1">
        <w:t>quatre</w:t>
      </w:r>
      <w:r>
        <w:t xml:space="preserve"> reprises </w:t>
      </w:r>
      <w:r w:rsidR="00196803">
        <w:t xml:space="preserve">des produits </w:t>
      </w:r>
      <w:r>
        <w:t>normalement</w:t>
      </w:r>
      <w:r w:rsidR="00196803">
        <w:t xml:space="preserve"> disponibles à la livraison </w:t>
      </w:r>
      <w:r w:rsidR="00196803" w:rsidRPr="00E8714B">
        <w:rPr>
          <w:i/>
          <w:iCs/>
        </w:rPr>
        <w:t>Prime</w:t>
      </w:r>
      <w:r w:rsidR="003133EC">
        <w:t>,</w:t>
      </w:r>
      <w:r>
        <w:t xml:space="preserve"> mais avec des dates de livraison prévues plus tard qu</w:t>
      </w:r>
      <w:r w:rsidR="00C20DA1">
        <w:t>e</w:t>
      </w:r>
      <w:r>
        <w:t xml:space="preserve"> les délais </w:t>
      </w:r>
      <w:r w:rsidRPr="00E8714B">
        <w:rPr>
          <w:i/>
          <w:iCs/>
        </w:rPr>
        <w:t>Prime</w:t>
      </w:r>
      <w:r w:rsidR="00196803">
        <w:t>.</w:t>
      </w:r>
      <w:r>
        <w:t xml:space="preserve"> Deux d</w:t>
      </w:r>
      <w:r w:rsidR="007C7316">
        <w:t>e c</w:t>
      </w:r>
      <w:r>
        <w:t>es commandes ont finalement respecté le délai de</w:t>
      </w:r>
      <w:r w:rsidR="00C20DA1">
        <w:t xml:space="preserve"> </w:t>
      </w:r>
      <w:r>
        <w:t>livrai</w:t>
      </w:r>
      <w:r w:rsidR="00C20DA1">
        <w:t>s</w:t>
      </w:r>
      <w:r>
        <w:t xml:space="preserve">on </w:t>
      </w:r>
      <w:r w:rsidRPr="00E8714B">
        <w:rPr>
          <w:i/>
          <w:iCs/>
        </w:rPr>
        <w:t>Prime</w:t>
      </w:r>
      <w:r w:rsidR="008E67B2">
        <w:t>.</w:t>
      </w:r>
    </w:p>
    <w:p w14:paraId="710F8C3B" w14:textId="77777777" w:rsidR="008E67B2" w:rsidRDefault="00402023" w:rsidP="00222196">
      <w:pPr>
        <w:pStyle w:val="Paragrsimple"/>
      </w:pPr>
      <w:r>
        <w:t xml:space="preserve">Ces faits qui ressortent des allégations et de la preuve appropriée permise, conjugués aux articles publiés de façon contemporaine </w:t>
      </w:r>
      <w:r w:rsidR="00222196">
        <w:t xml:space="preserve">aux retards </w:t>
      </w:r>
      <w:r>
        <w:t xml:space="preserve">de livraison, sont suffisants pour permettre d’envisager </w:t>
      </w:r>
      <w:r w:rsidR="00222196">
        <w:t xml:space="preserve">qu’Amazon n’était pas </w:t>
      </w:r>
      <w:r w:rsidR="00787F35">
        <w:t xml:space="preserve">pleinement </w:t>
      </w:r>
      <w:r w:rsidR="00222196">
        <w:t>en mesure de livrer dans les délais promis pendant les semaines qui ont suivi la fermeture de ses entrepôts.</w:t>
      </w:r>
    </w:p>
    <w:p w14:paraId="7C83B2F5" w14:textId="77777777" w:rsidR="008B79DE" w:rsidRDefault="00402023" w:rsidP="008B79DE">
      <w:pPr>
        <w:pStyle w:val="Paragrsimple"/>
      </w:pPr>
      <w:r>
        <w:t xml:space="preserve">Ainsi, </w:t>
      </w:r>
      <w:r w:rsidRPr="008B79DE">
        <w:t xml:space="preserve">il est possible que </w:t>
      </w:r>
      <w:r>
        <w:t xml:space="preserve">M. Desnoyers réussisse à </w:t>
      </w:r>
      <w:r w:rsidRPr="008B79DE">
        <w:t>démontre</w:t>
      </w:r>
      <w:r>
        <w:t xml:space="preserve">r sur le fond </w:t>
      </w:r>
      <w:r w:rsidRPr="008B79DE">
        <w:t>du litige</w:t>
      </w:r>
      <w:r>
        <w:t xml:space="preserve"> qu’Amazon a manqué à l’exécution de ses obligations en conformité avec ses représentations que les </w:t>
      </w:r>
      <w:r w:rsidRPr="0008748F">
        <w:rPr>
          <w:i/>
          <w:iCs/>
        </w:rPr>
        <w:t>Items éligibles</w:t>
      </w:r>
      <w:r>
        <w:t xml:space="preserve"> seraient livrés dans les délais de un ou deux jours promis</w:t>
      </w:r>
      <w:r w:rsidR="004E2436">
        <w:t xml:space="preserve">, fondant </w:t>
      </w:r>
      <w:r w:rsidR="00396961">
        <w:t>son</w:t>
      </w:r>
      <w:r w:rsidR="004E2436">
        <w:t xml:space="preserve"> recours </w:t>
      </w:r>
      <w:r w:rsidR="00396961">
        <w:t>en vertu d</w:t>
      </w:r>
      <w:r w:rsidR="004E2436">
        <w:t>es articles 40 et 41 de la L</w:t>
      </w:r>
      <w:r w:rsidR="008A16DC">
        <w:t>.p.c.</w:t>
      </w:r>
      <w:r w:rsidR="004E2436">
        <w:t xml:space="preserve"> et </w:t>
      </w:r>
      <w:r w:rsidR="00787F35">
        <w:t xml:space="preserve">ses </w:t>
      </w:r>
      <w:r w:rsidR="004E2436">
        <w:t xml:space="preserve">réclamations en dommages </w:t>
      </w:r>
      <w:r w:rsidR="00787F35">
        <w:t>en vertu de</w:t>
      </w:r>
      <w:r w:rsidR="004E2436">
        <w:t xml:space="preserve"> l’article 272 L</w:t>
      </w:r>
      <w:r w:rsidR="008A16DC">
        <w:t>.p.c</w:t>
      </w:r>
      <w:r w:rsidR="004E2436">
        <w:t>.</w:t>
      </w:r>
    </w:p>
    <w:p w14:paraId="63756733" w14:textId="77777777" w:rsidR="00B613BC" w:rsidRPr="00B613BC" w:rsidRDefault="00402023" w:rsidP="00B613BC">
      <w:pPr>
        <w:pStyle w:val="Paragrsimple"/>
      </w:pPr>
      <w:r>
        <w:t>C’est sur le fond que le Tribunal décidera si les allégations sont avérées, si les faits reprochés sont véritablement des manquement</w:t>
      </w:r>
      <w:r w:rsidR="003133EC">
        <w:t>s</w:t>
      </w:r>
      <w:r>
        <w:t xml:space="preserve"> donnant lieu aux dommages réclamés et si les comportement</w:t>
      </w:r>
      <w:r w:rsidR="003133EC">
        <w:t>s</w:t>
      </w:r>
      <w:r>
        <w:t xml:space="preserve"> reprochés relèvent d’</w:t>
      </w:r>
      <w:r w:rsidR="007C7316">
        <w:t xml:space="preserve">une </w:t>
      </w:r>
      <w:r>
        <w:t>ignorance ou d’</w:t>
      </w:r>
      <w:r w:rsidR="007C7316">
        <w:t xml:space="preserve">une </w:t>
      </w:r>
      <w:r>
        <w:t>insouciance telle</w:t>
      </w:r>
      <w:r w:rsidR="007C7316">
        <w:t>s</w:t>
      </w:r>
      <w:r>
        <w:t xml:space="preserve"> que des dommages punit</w:t>
      </w:r>
      <w:r w:rsidR="003133EC">
        <w:t>if</w:t>
      </w:r>
      <w:r>
        <w:t>s doivent être accordés.</w:t>
      </w:r>
    </w:p>
    <w:p w14:paraId="2A04F5A8" w14:textId="77777777" w:rsidR="00222196" w:rsidRDefault="00402023" w:rsidP="00222196">
      <w:pPr>
        <w:pStyle w:val="Paragrsimple"/>
      </w:pPr>
      <w:r>
        <w:t xml:space="preserve">Par ailleurs, les faits allégués et les pièces produites ne suffisent pas </w:t>
      </w:r>
      <w:r w:rsidR="001B0B0A">
        <w:t>à</w:t>
      </w:r>
      <w:r>
        <w:t xml:space="preserve"> démontrer l’existence d’une cause d’action allant au-delà du 31 mars 2025.</w:t>
      </w:r>
    </w:p>
    <w:p w14:paraId="1B50F79D" w14:textId="77777777" w:rsidR="00222196" w:rsidRDefault="00402023" w:rsidP="00222196">
      <w:pPr>
        <w:pStyle w:val="Paragrsimple"/>
      </w:pPr>
      <w:r>
        <w:t>Après cette date, une seule livraison sur 28 est faite avec retard</w:t>
      </w:r>
      <w:r w:rsidR="000254F7">
        <w:t xml:space="preserve"> chez M.</w:t>
      </w:r>
      <w:r w:rsidR="002A1FBE">
        <w:t> </w:t>
      </w:r>
      <w:r w:rsidR="000254F7">
        <w:t>Desnoyers</w:t>
      </w:r>
      <w:r>
        <w:t>, soit la livraison d</w:t>
      </w:r>
      <w:r w:rsidRPr="00051223">
        <w:t>es pantalons “Baleaf Mens Sweatpants” (</w:t>
      </w:r>
      <w:r w:rsidR="00F1111E">
        <w:t>pièce</w:t>
      </w:r>
      <w:r w:rsidR="00F1111E" w:rsidRPr="00051223">
        <w:t xml:space="preserve"> </w:t>
      </w:r>
      <w:r w:rsidRPr="00051223">
        <w:t>AMZ-44)</w:t>
      </w:r>
      <w:r>
        <w:t>. Ces pantalons, commandés le 15 mai et expédiés le même jour</w:t>
      </w:r>
      <w:r w:rsidR="003133EC">
        <w:t>,</w:t>
      </w:r>
      <w:r>
        <w:t xml:space="preserve"> sont livrés le 20 mai. </w:t>
      </w:r>
      <w:r w:rsidR="00A70351">
        <w:t>Or, l</w:t>
      </w:r>
      <w:r>
        <w:t xml:space="preserve">a date de livraison estimée lors de la commande est le 26 mai, soit neuf jours après la commande et </w:t>
      </w:r>
      <w:r w:rsidR="00F312AF">
        <w:t>c</w:t>
      </w:r>
      <w:r w:rsidR="007C7316">
        <w:t>ette date de livraison tardive</w:t>
      </w:r>
      <w:r w:rsidR="00B25DD4">
        <w:t xml:space="preserve"> est </w:t>
      </w:r>
      <w:r>
        <w:t xml:space="preserve">acceptée </w:t>
      </w:r>
      <w:r w:rsidR="00B3352D">
        <w:t>par M.</w:t>
      </w:r>
      <w:r w:rsidR="00863A15">
        <w:t> </w:t>
      </w:r>
      <w:r w:rsidR="00B3352D">
        <w:t>Desnoyers.</w:t>
      </w:r>
      <w:r w:rsidR="00B46A64">
        <w:t xml:space="preserve"> </w:t>
      </w:r>
      <w:r w:rsidR="007C7316">
        <w:t>On ignore t</w:t>
      </w:r>
      <w:r w:rsidR="00F312AF">
        <w:t>ou</w:t>
      </w:r>
      <w:r w:rsidR="007C7316">
        <w:t>t des explications que M. Desnoyers reç</w:t>
      </w:r>
      <w:r w:rsidR="00F312AF">
        <w:t>oit d’Amazon</w:t>
      </w:r>
      <w:r w:rsidR="00A70351">
        <w:t>,</w:t>
      </w:r>
      <w:r w:rsidR="007C7316">
        <w:t xml:space="preserve"> lorsqu’il</w:t>
      </w:r>
      <w:r w:rsidR="00F312AF">
        <w:t xml:space="preserve"> </w:t>
      </w:r>
      <w:r w:rsidR="007C7316">
        <w:t>p</w:t>
      </w:r>
      <w:r w:rsidR="00331A19">
        <w:t>ass</w:t>
      </w:r>
      <w:r w:rsidR="00F312AF">
        <w:t>e</w:t>
      </w:r>
      <w:r w:rsidR="007C7316">
        <w:t xml:space="preserve"> la commande</w:t>
      </w:r>
      <w:r w:rsidR="00A70351">
        <w:t>,</w:t>
      </w:r>
      <w:r w:rsidR="009C7CD4">
        <w:t xml:space="preserve"> pour justifier le retard de livraison anticipé. D’ailleurs, M. Desnoyers n</w:t>
      </w:r>
      <w:r w:rsidR="00F312AF">
        <w:t xml:space="preserve">e </w:t>
      </w:r>
      <w:r w:rsidR="00A70351">
        <w:t xml:space="preserve">soulève </w:t>
      </w:r>
      <w:r w:rsidR="009C7CD4">
        <w:t>pas ce</w:t>
      </w:r>
      <w:r w:rsidR="00A70351">
        <w:t xml:space="preserve"> possible retard de </w:t>
      </w:r>
      <w:r w:rsidR="009C7CD4">
        <w:t>livraison</w:t>
      </w:r>
      <w:r w:rsidR="00F312AF">
        <w:t xml:space="preserve"> au soutien</w:t>
      </w:r>
      <w:r w:rsidR="009C7CD4">
        <w:t xml:space="preserve"> d</w:t>
      </w:r>
      <w:r w:rsidR="00F312AF">
        <w:t>e</w:t>
      </w:r>
      <w:r w:rsidR="009C7CD4">
        <w:t xml:space="preserve"> sa demande. </w:t>
      </w:r>
    </w:p>
    <w:p w14:paraId="0C3803C0" w14:textId="77777777" w:rsidR="00B46A64" w:rsidRPr="00B46A64" w:rsidRDefault="00402023" w:rsidP="00B46A64">
      <w:pPr>
        <w:pStyle w:val="Paragrsimple"/>
      </w:pPr>
      <w:r>
        <w:t xml:space="preserve">Devant l’absence d’allégations </w:t>
      </w:r>
      <w:r w:rsidR="00F312AF">
        <w:t xml:space="preserve">étayant de façon </w:t>
      </w:r>
      <w:r>
        <w:t>suffisante</w:t>
      </w:r>
      <w:r w:rsidR="006367FE">
        <w:t xml:space="preserve"> </w:t>
      </w:r>
      <w:r>
        <w:t>des retards de livraison au-d</w:t>
      </w:r>
      <w:r w:rsidR="003133EC">
        <w:t>e</w:t>
      </w:r>
      <w:r>
        <w:t xml:space="preserve">là du mois de mars 2025, le recours doit être circonscrit à </w:t>
      </w:r>
      <w:r w:rsidR="00007A1D">
        <w:t xml:space="preserve">la </w:t>
      </w:r>
      <w:r>
        <w:t>période</w:t>
      </w:r>
      <w:r w:rsidR="00007A1D">
        <w:t xml:space="preserve"> allant de la fermeture des entrepôts au 31 mars 2025</w:t>
      </w:r>
      <w:r>
        <w:t>.</w:t>
      </w:r>
    </w:p>
    <w:p w14:paraId="5BF49BB0" w14:textId="77777777" w:rsidR="00222196" w:rsidRPr="00222196" w:rsidRDefault="00402023" w:rsidP="008B4FE0">
      <w:pPr>
        <w:pStyle w:val="Titre4"/>
      </w:pPr>
      <w:r>
        <w:t>Un groupe restreint aux membres ayant subi des retards de livraison</w:t>
      </w:r>
    </w:p>
    <w:p w14:paraId="52059EF4" w14:textId="77777777" w:rsidR="000A685E" w:rsidRDefault="00402023" w:rsidP="00D713AF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 xml:space="preserve">M. Desnoyers démontre une cause défendable à l’égard des membres du groupe qui, comme lui, sont des membres </w:t>
      </w:r>
      <w:r w:rsidRPr="00E8714B">
        <w:rPr>
          <w:i/>
          <w:iCs/>
          <w:kern w:val="28"/>
        </w:rPr>
        <w:t>Prime</w:t>
      </w:r>
      <w:r>
        <w:rPr>
          <w:kern w:val="28"/>
        </w:rPr>
        <w:t xml:space="preserve"> qui ont commandé des </w:t>
      </w:r>
      <w:r w:rsidRPr="0008748F">
        <w:rPr>
          <w:i/>
          <w:iCs/>
          <w:kern w:val="28"/>
        </w:rPr>
        <w:t>Items éligibles</w:t>
      </w:r>
      <w:r>
        <w:rPr>
          <w:kern w:val="28"/>
        </w:rPr>
        <w:t xml:space="preserve"> durant la période du recours et qui </w:t>
      </w:r>
      <w:r w:rsidR="003133EC">
        <w:rPr>
          <w:kern w:val="28"/>
        </w:rPr>
        <w:t xml:space="preserve">ont </w:t>
      </w:r>
      <w:r>
        <w:rPr>
          <w:kern w:val="28"/>
        </w:rPr>
        <w:t>subi des retards de livraison.</w:t>
      </w:r>
    </w:p>
    <w:p w14:paraId="3CAFE5AF" w14:textId="77777777" w:rsidR="001C4FB2" w:rsidRDefault="00402023" w:rsidP="00D713AF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 xml:space="preserve">Or, il demande d’être autorisé à représenter tous les membres qui détenaient un abonnement </w:t>
      </w:r>
      <w:r w:rsidRPr="00E8714B">
        <w:rPr>
          <w:i/>
          <w:iCs/>
          <w:kern w:val="28"/>
        </w:rPr>
        <w:t>Prime</w:t>
      </w:r>
      <w:r>
        <w:rPr>
          <w:kern w:val="28"/>
        </w:rPr>
        <w:t xml:space="preserve"> durant la période du recours. Cette proposition ne tient pas.</w:t>
      </w:r>
    </w:p>
    <w:p w14:paraId="430B4BC2" w14:textId="77777777" w:rsidR="003A12A1" w:rsidRPr="009C2044" w:rsidRDefault="00402023" w:rsidP="003A12A1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lastRenderedPageBreak/>
        <w:t xml:space="preserve">D’une part, </w:t>
      </w:r>
      <w:r>
        <w:rPr>
          <w:kern w:val="28"/>
        </w:rPr>
        <w:t>le nombre impressionnant de commandes p</w:t>
      </w:r>
      <w:r w:rsidR="0051520E">
        <w:rPr>
          <w:kern w:val="28"/>
        </w:rPr>
        <w:t>ass</w:t>
      </w:r>
      <w:r>
        <w:rPr>
          <w:kern w:val="28"/>
        </w:rPr>
        <w:t>ées par M.</w:t>
      </w:r>
      <w:r w:rsidR="002A1FBE">
        <w:rPr>
          <w:kern w:val="28"/>
        </w:rPr>
        <w:t> </w:t>
      </w:r>
      <w:r>
        <w:rPr>
          <w:kern w:val="28"/>
        </w:rPr>
        <w:t>Desnoyers et livrées dans les délais</w:t>
      </w:r>
      <w:r w:rsidR="00A70351">
        <w:rPr>
          <w:kern w:val="28"/>
        </w:rPr>
        <w:t xml:space="preserve"> laisse entrevoir que plusieurs </w:t>
      </w:r>
      <w:r>
        <w:rPr>
          <w:kern w:val="28"/>
        </w:rPr>
        <w:t xml:space="preserve">membres </w:t>
      </w:r>
      <w:r w:rsidRPr="00E8714B">
        <w:rPr>
          <w:i/>
          <w:iCs/>
          <w:kern w:val="28"/>
        </w:rPr>
        <w:t>Prime</w:t>
      </w:r>
      <w:r>
        <w:rPr>
          <w:kern w:val="28"/>
        </w:rPr>
        <w:t xml:space="preserve"> </w:t>
      </w:r>
      <w:r w:rsidR="00BD49A8">
        <w:rPr>
          <w:kern w:val="28"/>
        </w:rPr>
        <w:t>sont su</w:t>
      </w:r>
      <w:r w:rsidR="00DB5E8D">
        <w:rPr>
          <w:kern w:val="28"/>
        </w:rPr>
        <w:t>s</w:t>
      </w:r>
      <w:r w:rsidR="00BD49A8">
        <w:rPr>
          <w:kern w:val="28"/>
        </w:rPr>
        <w:t>ceptibles</w:t>
      </w:r>
      <w:r w:rsidR="0051520E">
        <w:rPr>
          <w:kern w:val="28"/>
        </w:rPr>
        <w:t xml:space="preserve"> de ne pas avoir subi de retards de livraison.</w:t>
      </w:r>
    </w:p>
    <w:p w14:paraId="23661B82" w14:textId="77777777" w:rsidR="001C4FB2" w:rsidRPr="008F2561" w:rsidRDefault="00402023" w:rsidP="001C4FB2">
      <w:pPr>
        <w:pStyle w:val="Paragrsimple"/>
      </w:pPr>
      <w:r>
        <w:t xml:space="preserve">D’autre part, l’abonnement </w:t>
      </w:r>
      <w:r w:rsidRPr="00E8714B">
        <w:rPr>
          <w:i/>
          <w:iCs/>
        </w:rPr>
        <w:t>Prime</w:t>
      </w:r>
      <w:r>
        <w:t xml:space="preserve"> procure divers autres avantages que celui d’une livraison rapide</w:t>
      </w:r>
      <w:r w:rsidR="00BD49A8">
        <w:t>. Entre autres, l’abonnement donne</w:t>
      </w:r>
      <w:r>
        <w:t xml:space="preserve"> </w:t>
      </w:r>
      <w:r w:rsidRPr="008F2561">
        <w:t xml:space="preserve">accès à la plateforme </w:t>
      </w:r>
      <w:r w:rsidRPr="00E8714B">
        <w:rPr>
          <w:i/>
          <w:iCs/>
        </w:rPr>
        <w:t>Prime Video</w:t>
      </w:r>
      <w:r w:rsidRPr="008F2561">
        <w:t xml:space="preserve">, </w:t>
      </w:r>
      <w:r w:rsidR="00BD49A8">
        <w:t xml:space="preserve">à </w:t>
      </w:r>
      <w:r w:rsidRPr="008F2561">
        <w:t>la diffusion de musique en continu</w:t>
      </w:r>
      <w:r w:rsidR="008F2561">
        <w:t xml:space="preserve">, </w:t>
      </w:r>
      <w:r w:rsidR="00BD49A8">
        <w:t xml:space="preserve">à </w:t>
      </w:r>
      <w:r w:rsidRPr="008F2561">
        <w:t>la lecture illimitée de livres numériques</w:t>
      </w:r>
      <w:r w:rsidR="000B1989">
        <w:t xml:space="preserve"> et</w:t>
      </w:r>
      <w:r w:rsidR="008F2561">
        <w:t xml:space="preserve"> </w:t>
      </w:r>
      <w:r w:rsidR="00BD49A8">
        <w:t>a</w:t>
      </w:r>
      <w:r w:rsidR="008F2561">
        <w:t>u stockage de photographies</w:t>
      </w:r>
      <w:r w:rsidRPr="008F2561">
        <w:t>.</w:t>
      </w:r>
      <w:r w:rsidR="008F2561">
        <w:t xml:space="preserve"> Des membres </w:t>
      </w:r>
      <w:r w:rsidR="008F2561" w:rsidRPr="00E8714B">
        <w:rPr>
          <w:i/>
          <w:iCs/>
        </w:rPr>
        <w:t>Prime</w:t>
      </w:r>
      <w:r w:rsidR="008F2561">
        <w:t xml:space="preserve"> </w:t>
      </w:r>
      <w:r w:rsidR="00BD49A8">
        <w:t xml:space="preserve">peuvent fort bien avoir </w:t>
      </w:r>
      <w:r w:rsidR="008F2561">
        <w:t>profité exclusivement de ces avantages durant la période du recours, sans être déçus par des délais de livraison tardifs, parce qu’ils n’ont rien commandé.</w:t>
      </w:r>
    </w:p>
    <w:p w14:paraId="1F3A0F63" w14:textId="77777777" w:rsidR="00772542" w:rsidRDefault="00402023" w:rsidP="00D713AF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 xml:space="preserve">Le groupe </w:t>
      </w:r>
      <w:r w:rsidR="000B1989">
        <w:rPr>
          <w:kern w:val="28"/>
        </w:rPr>
        <w:t>sera</w:t>
      </w:r>
      <w:r>
        <w:rPr>
          <w:kern w:val="28"/>
        </w:rPr>
        <w:t xml:space="preserve"> défini </w:t>
      </w:r>
      <w:r w:rsidR="00BD49A8">
        <w:rPr>
          <w:kern w:val="28"/>
        </w:rPr>
        <w:t xml:space="preserve">de façon à n’inclure que les membres </w:t>
      </w:r>
      <w:r w:rsidR="00BD49A8" w:rsidRPr="00AC4CD2">
        <w:rPr>
          <w:i/>
          <w:iCs/>
          <w:kern w:val="28"/>
        </w:rPr>
        <w:t>Prime</w:t>
      </w:r>
      <w:r w:rsidR="00BD49A8">
        <w:rPr>
          <w:kern w:val="28"/>
        </w:rPr>
        <w:t xml:space="preserve"> qui ont subi un retard de livraison :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4823"/>
        <w:gridCol w:w="4817"/>
      </w:tblGrid>
      <w:tr w:rsidR="008533B5" w14:paraId="5639BFF8" w14:textId="77777777" w:rsidTr="00216BB6">
        <w:tc>
          <w:tcPr>
            <w:tcW w:w="4823" w:type="dxa"/>
          </w:tcPr>
          <w:p w14:paraId="116D158B" w14:textId="77777777" w:rsidR="00216BB6" w:rsidRPr="00216BB6" w:rsidRDefault="00402023" w:rsidP="00216BB6">
            <w:pPr>
              <w:pStyle w:val="Citationenretrait"/>
              <w:ind w:left="113" w:right="113"/>
              <w:rPr>
                <w:kern w:val="28"/>
                <w:sz w:val="24"/>
                <w:szCs w:val="24"/>
              </w:rPr>
            </w:pPr>
            <w:r w:rsidRPr="00216BB6">
              <w:rPr>
                <w:sz w:val="24"/>
                <w:szCs w:val="24"/>
              </w:rPr>
              <w:t xml:space="preserve">Toutes les personnes physiques du Québec qui i) </w:t>
            </w:r>
            <w:r w:rsidR="00E9197B" w:rsidRPr="00216BB6">
              <w:rPr>
                <w:sz w:val="24"/>
                <w:szCs w:val="24"/>
              </w:rPr>
              <w:t xml:space="preserve">étaient </w:t>
            </w:r>
            <w:r w:rsidRPr="00216BB6">
              <w:rPr>
                <w:sz w:val="24"/>
                <w:szCs w:val="24"/>
              </w:rPr>
              <w:t xml:space="preserve">membres Amazon </w:t>
            </w:r>
            <w:r w:rsidRPr="00E8714B">
              <w:rPr>
                <w:i/>
                <w:iCs/>
                <w:sz w:val="24"/>
                <w:szCs w:val="24"/>
              </w:rPr>
              <w:t>Prime</w:t>
            </w:r>
            <w:r w:rsidRPr="00216BB6">
              <w:rPr>
                <w:sz w:val="24"/>
                <w:szCs w:val="24"/>
              </w:rPr>
              <w:t xml:space="preserve"> entre le 22 janvier 2025 et le 31 mars 2025; ii) ont acheté un produit à la boutique en ligne Amazon.ca à la suite de représentations d’un délai de livraison de </w:t>
            </w:r>
            <w:r w:rsidR="00C92683">
              <w:rPr>
                <w:sz w:val="24"/>
                <w:szCs w:val="24"/>
              </w:rPr>
              <w:t xml:space="preserve">un ou </w:t>
            </w:r>
            <w:r w:rsidRPr="00216BB6">
              <w:rPr>
                <w:sz w:val="24"/>
                <w:szCs w:val="24"/>
              </w:rPr>
              <w:t>deux jours; et iii) le délai de livraison a excédé un ou deux jours, selon le cas.</w:t>
            </w:r>
          </w:p>
        </w:tc>
        <w:tc>
          <w:tcPr>
            <w:tcW w:w="4817" w:type="dxa"/>
          </w:tcPr>
          <w:p w14:paraId="20E04167" w14:textId="77777777" w:rsidR="00216BB6" w:rsidRPr="00216BB6" w:rsidRDefault="00402023" w:rsidP="00216BB6">
            <w:pPr>
              <w:pStyle w:val="Citationenretrait"/>
              <w:ind w:left="113" w:right="113"/>
              <w:rPr>
                <w:i/>
                <w:iCs/>
                <w:kern w:val="28"/>
                <w:sz w:val="24"/>
                <w:szCs w:val="24"/>
                <w:lang w:val="en-CA"/>
              </w:rPr>
            </w:pPr>
            <w:r w:rsidRPr="00216BB6">
              <w:rPr>
                <w:i/>
                <w:iCs/>
                <w:sz w:val="24"/>
                <w:szCs w:val="24"/>
                <w:lang w:val="en-CA"/>
              </w:rPr>
              <w:t>Any physical person in Québec who i) was an Amazon Prime member between January 22, 2025</w:t>
            </w:r>
            <w:r w:rsidR="00121188">
              <w:rPr>
                <w:i/>
                <w:iCs/>
                <w:sz w:val="24"/>
                <w:szCs w:val="24"/>
                <w:lang w:val="en-CA"/>
              </w:rPr>
              <w:t>,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 and March 31</w:t>
            </w:r>
            <w:r w:rsidR="00121188">
              <w:rPr>
                <w:i/>
                <w:iCs/>
                <w:sz w:val="24"/>
                <w:szCs w:val="24"/>
                <w:lang w:val="en-CA"/>
              </w:rPr>
              <w:t>,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 2025; ii) made a purchase in the Amazon.ca store after being represented a delivery time of </w:t>
            </w:r>
            <w:r w:rsidR="00C92683">
              <w:rPr>
                <w:i/>
                <w:iCs/>
                <w:sz w:val="24"/>
                <w:szCs w:val="24"/>
                <w:lang w:val="en-CA"/>
              </w:rPr>
              <w:t xml:space="preserve">one or 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>two days; and iii) the delivery time after ordering the item exceeded one or two</w:t>
            </w:r>
            <w:r w:rsidR="00C92683">
              <w:rPr>
                <w:i/>
                <w:iCs/>
                <w:sz w:val="24"/>
                <w:szCs w:val="24"/>
                <w:lang w:val="en-CA"/>
              </w:rPr>
              <w:t xml:space="preserve"> 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days, depending on the representations made. </w:t>
            </w:r>
          </w:p>
        </w:tc>
      </w:tr>
    </w:tbl>
    <w:p w14:paraId="008665BD" w14:textId="77777777" w:rsidR="00C25632" w:rsidRDefault="00402023" w:rsidP="008B4FE0">
      <w:pPr>
        <w:pStyle w:val="Titre3"/>
      </w:pPr>
      <w:bookmarkStart w:id="9" w:name="_Toc204871721"/>
      <w:bookmarkStart w:id="10" w:name="_Toc207032300"/>
      <w:bookmarkStart w:id="11" w:name="_Toc45807142"/>
      <w:bookmarkStart w:id="12" w:name="_Toc56788866"/>
      <w:r w:rsidRPr="00EA620B">
        <w:t>L</w:t>
      </w:r>
      <w:r w:rsidR="009C7CD4">
        <w:t>’action collective proposée soulève-t-elle des</w:t>
      </w:r>
      <w:r w:rsidRPr="00EA620B">
        <w:t xml:space="preserve"> questions identiques, similaires ou connexes</w:t>
      </w:r>
      <w:r w:rsidR="00916092">
        <w:t>?</w:t>
      </w:r>
      <w:r w:rsidRPr="00EA620B">
        <w:t xml:space="preserve"> </w:t>
      </w:r>
      <w:r w:rsidR="00E9197B">
        <w:t>(</w:t>
      </w:r>
      <w:r w:rsidRPr="00EA620B">
        <w:t>art. 575(</w:t>
      </w:r>
      <w:r w:rsidR="00916092">
        <w:t>1</w:t>
      </w:r>
      <w:r w:rsidRPr="00EA620B">
        <w:t>) C.</w:t>
      </w:r>
      <w:r w:rsidR="009C7CD4" w:rsidRPr="00EA620B">
        <w:t>p.c</w:t>
      </w:r>
      <w:r w:rsidRPr="00EA620B">
        <w:t>.</w:t>
      </w:r>
      <w:bookmarkEnd w:id="9"/>
      <w:bookmarkEnd w:id="10"/>
      <w:r w:rsidR="00E9197B">
        <w:t>)</w:t>
      </w:r>
    </w:p>
    <w:p w14:paraId="3EF9B291" w14:textId="77777777" w:rsidR="00C25632" w:rsidRPr="00EA620B" w:rsidRDefault="00402023" w:rsidP="00C25632">
      <w:pPr>
        <w:pStyle w:val="Paragrsimple"/>
        <w:rPr>
          <w:lang w:eastAsia="fr-CA"/>
        </w:rPr>
      </w:pPr>
      <w:r>
        <w:rPr>
          <w:lang w:eastAsia="fr-CA"/>
        </w:rPr>
        <w:t>U</w:t>
      </w:r>
      <w:r w:rsidRPr="00EA620B">
        <w:rPr>
          <w:lang w:eastAsia="fr-CA"/>
        </w:rPr>
        <w:t xml:space="preserve">ne seule question commune peut suffire à satisfaire l’exigence </w:t>
      </w:r>
      <w:r w:rsidR="00863A15" w:rsidRPr="00916092">
        <w:rPr>
          <w:lang w:eastAsia="fr-CA"/>
        </w:rPr>
        <w:t>de l’article</w:t>
      </w:r>
      <w:r w:rsidRPr="00EA620B">
        <w:rPr>
          <w:lang w:eastAsia="fr-CA"/>
        </w:rPr>
        <w:t xml:space="preserve"> 575 </w:t>
      </w:r>
      <w:r w:rsidRPr="00916092">
        <w:rPr>
          <w:lang w:eastAsia="fr-CA"/>
        </w:rPr>
        <w:t>(1)</w:t>
      </w:r>
      <w:r w:rsidRPr="00EA620B">
        <w:rPr>
          <w:lang w:eastAsia="fr-CA"/>
        </w:rPr>
        <w:t xml:space="preserve"> C.p.c., « si elle permet de faire avancer le débat ou de favoriser son règlement d’une manière non négligeable, sans qu’on doive nécessairement y apporter une réponse commun</w:t>
      </w:r>
      <w:r>
        <w:rPr>
          <w:lang w:eastAsia="fr-CA"/>
        </w:rPr>
        <w:t>e »</w:t>
      </w:r>
      <w:r>
        <w:rPr>
          <w:rStyle w:val="Appelnotedebasdep"/>
          <w:lang w:eastAsia="fr-CA"/>
        </w:rPr>
        <w:footnoteReference w:id="22"/>
      </w:r>
      <w:r>
        <w:rPr>
          <w:lang w:eastAsia="fr-CA"/>
        </w:rPr>
        <w:t>.</w:t>
      </w:r>
    </w:p>
    <w:p w14:paraId="0C443348" w14:textId="77777777" w:rsidR="00C25632" w:rsidRDefault="00402023" w:rsidP="00F1111E">
      <w:pPr>
        <w:pStyle w:val="Paragrdouble"/>
        <w:spacing w:line="240" w:lineRule="auto"/>
      </w:pPr>
      <w:r>
        <w:t xml:space="preserve">Ce critère n’est pas contesté et est satisfait. </w:t>
      </w:r>
    </w:p>
    <w:p w14:paraId="2F6FFE7D" w14:textId="77777777" w:rsidR="00396F79" w:rsidRPr="00C25632" w:rsidRDefault="00402023" w:rsidP="00F1111E">
      <w:pPr>
        <w:pStyle w:val="Paragrdouble"/>
        <w:spacing w:line="240" w:lineRule="auto"/>
      </w:pPr>
      <w:r>
        <w:t>Le Tribunal retient les questions communes proposées</w:t>
      </w:r>
      <w:r w:rsidR="00040DD5">
        <w:t xml:space="preserve"> par M. Desnoyers</w:t>
      </w:r>
      <w:r>
        <w:t>.</w:t>
      </w:r>
    </w:p>
    <w:p w14:paraId="7682D720" w14:textId="77777777" w:rsidR="00C25632" w:rsidRDefault="00402023" w:rsidP="008B4FE0">
      <w:pPr>
        <w:pStyle w:val="Titre3"/>
      </w:pPr>
      <w:bookmarkStart w:id="13" w:name="_Toc204871722"/>
      <w:bookmarkStart w:id="14" w:name="_Toc207032301"/>
      <w:r w:rsidRPr="00DC3D16">
        <w:t>L</w:t>
      </w:r>
      <w:r w:rsidR="00FB14F1">
        <w:t>a composition du</w:t>
      </w:r>
      <w:r w:rsidRPr="00DC3D16">
        <w:t xml:space="preserve"> groupe </w:t>
      </w:r>
      <w:r w:rsidR="00FB14F1">
        <w:t>rend-elle difficile ou peu pratique d’appliquer l</w:t>
      </w:r>
      <w:r w:rsidRPr="00DC3D16">
        <w:t>es règles du mandat ou de la jonction d’instances</w:t>
      </w:r>
      <w:r w:rsidR="00FB14F1">
        <w:t>?</w:t>
      </w:r>
      <w:r w:rsidRPr="00DC3D16">
        <w:t xml:space="preserve"> </w:t>
      </w:r>
      <w:r w:rsidR="00E9197B">
        <w:t>(</w:t>
      </w:r>
      <w:r w:rsidRPr="00DC3D16">
        <w:t>art. 575 (3) C.</w:t>
      </w:r>
      <w:r w:rsidR="009C7CD4" w:rsidRPr="00DC3D16">
        <w:t>p.c</w:t>
      </w:r>
      <w:bookmarkEnd w:id="13"/>
      <w:bookmarkEnd w:id="14"/>
      <w:r w:rsidR="00E9197B">
        <w:t>.)</w:t>
      </w:r>
    </w:p>
    <w:p w14:paraId="1483DF0A" w14:textId="77777777" w:rsidR="00C25632" w:rsidRDefault="00402023" w:rsidP="00C25632">
      <w:pPr>
        <w:pStyle w:val="Paragrsimple"/>
      </w:pPr>
      <w:r w:rsidRPr="00DC3D16">
        <w:t>C</w:t>
      </w:r>
      <w:r>
        <w:t xml:space="preserve">e troisième critère d’autorisation est </w:t>
      </w:r>
      <w:r w:rsidRPr="00DC3D16">
        <w:t xml:space="preserve">généralement satisfait s’il existe un groupe comprenant un grand nombre de personnes dont l’identité n’est pas facilement déterminée et dont la composition rend difficile ou peu pratique l’application des règles </w:t>
      </w:r>
      <w:r w:rsidRPr="00DC3D16">
        <w:lastRenderedPageBreak/>
        <w:t>sur le mandat d’ester en justice pour le compte d’autrui (art</w:t>
      </w:r>
      <w:r>
        <w:t>icle</w:t>
      </w:r>
      <w:r w:rsidRPr="00DC3D16">
        <w:t xml:space="preserve"> 91 C.p.c</w:t>
      </w:r>
      <w:r w:rsidRPr="00DC3D16">
        <w:rPr>
          <w:i/>
          <w:iCs/>
        </w:rPr>
        <w:t>.</w:t>
      </w:r>
      <w:r w:rsidRPr="00DC3D16">
        <w:t>) ou sur la jonction d’instance (</w:t>
      </w:r>
      <w:r>
        <w:t xml:space="preserve">article </w:t>
      </w:r>
      <w:r w:rsidRPr="00DC3D16">
        <w:t>210 C.p.c</w:t>
      </w:r>
      <w:r w:rsidRPr="00DC3D16">
        <w:rPr>
          <w:i/>
          <w:iCs/>
        </w:rPr>
        <w:t>.</w:t>
      </w:r>
      <w:r w:rsidRPr="00DC3D16">
        <w:t>)</w:t>
      </w:r>
      <w:r>
        <w:rPr>
          <w:rStyle w:val="Appelnotedebasdep"/>
        </w:rPr>
        <w:footnoteReference w:id="23"/>
      </w:r>
      <w:r>
        <w:t> </w:t>
      </w:r>
      <w:r w:rsidR="005E6DE2">
        <w:t>.</w:t>
      </w:r>
    </w:p>
    <w:p w14:paraId="22103237" w14:textId="77777777" w:rsidR="005E6DE2" w:rsidRDefault="00402023" w:rsidP="005E6DE2">
      <w:pPr>
        <w:pStyle w:val="Paragrsimple"/>
        <w:rPr>
          <w:lang w:eastAsia="fr-CA"/>
        </w:rPr>
      </w:pPr>
      <w:r>
        <w:rPr>
          <w:lang w:eastAsia="fr-CA"/>
        </w:rPr>
        <w:t xml:space="preserve">En l’espèce, l’existence d’un groupe </w:t>
      </w:r>
      <w:r w:rsidR="00DC4560">
        <w:rPr>
          <w:lang w:eastAsia="fr-CA"/>
        </w:rPr>
        <w:t xml:space="preserve">de membres </w:t>
      </w:r>
      <w:r w:rsidR="00DC4560" w:rsidRPr="00D03057">
        <w:rPr>
          <w:i/>
          <w:iCs/>
          <w:lang w:eastAsia="fr-CA"/>
        </w:rPr>
        <w:t>Prime</w:t>
      </w:r>
      <w:r w:rsidR="00DC4560">
        <w:rPr>
          <w:lang w:eastAsia="fr-CA"/>
        </w:rPr>
        <w:t xml:space="preserve"> </w:t>
      </w:r>
      <w:r>
        <w:rPr>
          <w:lang w:eastAsia="fr-CA"/>
        </w:rPr>
        <w:t>est évident</w:t>
      </w:r>
      <w:r w:rsidR="00121188">
        <w:rPr>
          <w:lang w:eastAsia="fr-CA"/>
        </w:rPr>
        <w:t>e</w:t>
      </w:r>
      <w:r w:rsidR="00636278">
        <w:rPr>
          <w:lang w:eastAsia="fr-CA"/>
        </w:rPr>
        <w:t xml:space="preserve"> et n’est pas contestée.</w:t>
      </w:r>
      <w:r>
        <w:rPr>
          <w:lang w:eastAsia="fr-CA"/>
        </w:rPr>
        <w:t xml:space="preserve"> Par ailleurs, </w:t>
      </w:r>
      <w:r w:rsidR="00636278">
        <w:rPr>
          <w:lang w:eastAsia="fr-CA"/>
        </w:rPr>
        <w:t>le groupe</w:t>
      </w:r>
      <w:r>
        <w:rPr>
          <w:lang w:eastAsia="fr-CA"/>
        </w:rPr>
        <w:t xml:space="preserve"> doit être circonscrit de façon à n’inclure que les membres qui ont subi un retard de livraiso</w:t>
      </w:r>
      <w:r w:rsidR="00DC4560">
        <w:rPr>
          <w:lang w:eastAsia="fr-CA"/>
        </w:rPr>
        <w:t>n.</w:t>
      </w:r>
    </w:p>
    <w:p w14:paraId="62632891" w14:textId="77777777" w:rsidR="005E6DE2" w:rsidRPr="005E6DE2" w:rsidRDefault="00402023" w:rsidP="005E6DE2">
      <w:pPr>
        <w:pStyle w:val="Paragrsimple"/>
        <w:rPr>
          <w:lang w:eastAsia="fr-CA"/>
        </w:rPr>
      </w:pPr>
      <w:r>
        <w:rPr>
          <w:lang w:eastAsia="fr-CA"/>
        </w:rPr>
        <w:t>Même circonscrit</w:t>
      </w:r>
      <w:r w:rsidR="00D075F5">
        <w:rPr>
          <w:lang w:eastAsia="fr-CA"/>
        </w:rPr>
        <w:t xml:space="preserve"> de cette façon</w:t>
      </w:r>
      <w:r>
        <w:rPr>
          <w:lang w:eastAsia="fr-CA"/>
        </w:rPr>
        <w:t>, le groupe</w:t>
      </w:r>
      <w:r w:rsidRPr="00DC3D16">
        <w:t xml:space="preserve"> </w:t>
      </w:r>
      <w:r>
        <w:t xml:space="preserve">contient </w:t>
      </w:r>
      <w:r w:rsidRPr="00DC3D16">
        <w:t>un grand nombre de personnes dont l’identité n’est pas facilement détermin</w:t>
      </w:r>
      <w:r w:rsidR="00DC4560">
        <w:t>able</w:t>
      </w:r>
      <w:r w:rsidRPr="00DC3D16">
        <w:t xml:space="preserve"> et </w:t>
      </w:r>
      <w:r>
        <w:t>sa</w:t>
      </w:r>
      <w:r w:rsidRPr="00DC3D16">
        <w:t xml:space="preserve"> composition rend </w:t>
      </w:r>
      <w:r w:rsidR="00DC4560">
        <w:t xml:space="preserve">difficile et impraticable </w:t>
      </w:r>
      <w:r w:rsidRPr="00DC3D16">
        <w:t>l’application des règles sur le mandat d’ester en justice pour le compte d’autrui</w:t>
      </w:r>
      <w:r w:rsidR="00B016D5">
        <w:t xml:space="preserve"> ou encore celles de la jonction d’instances</w:t>
      </w:r>
      <w:r>
        <w:t>.</w:t>
      </w:r>
    </w:p>
    <w:p w14:paraId="1118328C" w14:textId="77777777" w:rsidR="00B5782A" w:rsidRPr="00DC3D16" w:rsidRDefault="00402023" w:rsidP="008B4FE0">
      <w:pPr>
        <w:pStyle w:val="Titre3"/>
      </w:pPr>
      <w:bookmarkStart w:id="15" w:name="_Toc204871723"/>
      <w:bookmarkStart w:id="16" w:name="_Toc207032302"/>
      <w:r>
        <w:t>M</w:t>
      </w:r>
      <w:r w:rsidR="00E320BF">
        <w:t xml:space="preserve">. </w:t>
      </w:r>
      <w:r w:rsidR="00A86983">
        <w:t>D</w:t>
      </w:r>
      <w:r w:rsidR="00E320BF">
        <w:t>esnoyers peut-il représenter le groupe adéquatement</w:t>
      </w:r>
      <w:r w:rsidR="00E9197B">
        <w:t>?</w:t>
      </w:r>
      <w:r w:rsidRPr="00DC3D16">
        <w:t xml:space="preserve"> </w:t>
      </w:r>
      <w:r w:rsidR="00E9197B">
        <w:t>(</w:t>
      </w:r>
      <w:r w:rsidRPr="00DC3D16">
        <w:t>art. 575 (4) C.</w:t>
      </w:r>
      <w:r w:rsidR="00E9197B" w:rsidRPr="00DC3D16">
        <w:t>p.c</w:t>
      </w:r>
      <w:r w:rsidRPr="00DC3D16">
        <w:t>.</w:t>
      </w:r>
      <w:bookmarkEnd w:id="15"/>
      <w:bookmarkEnd w:id="16"/>
      <w:r w:rsidR="00E9197B">
        <w:t>)</w:t>
      </w:r>
    </w:p>
    <w:p w14:paraId="6857DF9A" w14:textId="77777777" w:rsidR="00B5782A" w:rsidRPr="00DC3D16" w:rsidRDefault="00402023" w:rsidP="00B5782A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 w:rsidRPr="00DC3D16">
        <w:rPr>
          <w:kern w:val="28"/>
        </w:rPr>
        <w:t>Le seuil afférent à ce critère est généralement facilement satisfait. La personne qui propose d’intenter une action collective pour le compte de plusieurs doit démontrer qu’elle pourra assurer cette fonction de façon adéquate, qu’elle s’intéresse à l’affaire, qu’elle en a une compréhension générale et qu’elle sera en mesure de prendre les décisions qui s’imposent à la lumière des conseils de ses avocats, qu’elle a elle-même un intérêt à poursuivre et qu’elle ne se place pas en situation de conflit d’intérêts avec les autres membres du groupe</w:t>
      </w:r>
      <w:r>
        <w:rPr>
          <w:rStyle w:val="Appelnotedebasdep"/>
          <w:kern w:val="28"/>
        </w:rPr>
        <w:footnoteReference w:id="24"/>
      </w:r>
      <w:r w:rsidRPr="00DC3D16">
        <w:rPr>
          <w:kern w:val="28"/>
        </w:rPr>
        <w:t>.</w:t>
      </w:r>
    </w:p>
    <w:p w14:paraId="0E2A005F" w14:textId="77777777" w:rsidR="00B5782A" w:rsidRDefault="00402023" w:rsidP="00B5782A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 w:rsidRPr="00DC3D16">
        <w:rPr>
          <w:kern w:val="28"/>
        </w:rPr>
        <w:t>Ces éléments doivent être interprétés de façon libérale, afin qu’aucun représentant ne soit exclu </w:t>
      </w:r>
      <w:r w:rsidRPr="00DC3D16">
        <w:rPr>
          <w:i/>
          <w:iCs/>
          <w:kern w:val="28"/>
        </w:rPr>
        <w:t>à moins que ses intérêts ou sa compétence ne soient tels qu’il serait impossible que l’affaire survive équitablement</w:t>
      </w:r>
      <w:r w:rsidRPr="00DC3D16">
        <w:rPr>
          <w:kern w:val="28"/>
        </w:rPr>
        <w:t> </w:t>
      </w:r>
      <w:r>
        <w:rPr>
          <w:rStyle w:val="Appelnotedebasdep"/>
          <w:kern w:val="28"/>
        </w:rPr>
        <w:footnoteReference w:id="25"/>
      </w:r>
      <w:r w:rsidRPr="00DC3D16">
        <w:rPr>
          <w:kern w:val="28"/>
        </w:rPr>
        <w:t>. Le critère est « </w:t>
      </w:r>
      <w:r w:rsidRPr="00DC3D16">
        <w:rPr>
          <w:i/>
          <w:iCs/>
          <w:kern w:val="28"/>
        </w:rPr>
        <w:t>minimaliste </w:t>
      </w:r>
      <w:r w:rsidRPr="00971BDE">
        <w:rPr>
          <w:kern w:val="28"/>
        </w:rPr>
        <w:t>»</w:t>
      </w:r>
      <w:r w:rsidRPr="00DC3D16">
        <w:rPr>
          <w:i/>
          <w:iCs/>
          <w:kern w:val="28"/>
        </w:rPr>
        <w:t>. </w:t>
      </w:r>
      <w:r w:rsidRPr="00DC3D16">
        <w:rPr>
          <w:kern w:val="28"/>
        </w:rPr>
        <w:t>On ne recherche pas un représentant qui soit « </w:t>
      </w:r>
      <w:r w:rsidRPr="00DC3D16">
        <w:rPr>
          <w:i/>
          <w:iCs/>
          <w:kern w:val="28"/>
        </w:rPr>
        <w:t>parfait </w:t>
      </w:r>
      <w:r w:rsidRPr="00DC3D16">
        <w:rPr>
          <w:kern w:val="28"/>
        </w:rPr>
        <w:t>»</w:t>
      </w:r>
      <w:r>
        <w:rPr>
          <w:rStyle w:val="Appelnotedebasdep"/>
          <w:kern w:val="28"/>
        </w:rPr>
        <w:footnoteReference w:id="26"/>
      </w:r>
      <w:r w:rsidRPr="00DC3D16">
        <w:rPr>
          <w:kern w:val="28"/>
        </w:rPr>
        <w:t>.</w:t>
      </w:r>
    </w:p>
    <w:p w14:paraId="7C5D05CA" w14:textId="77777777" w:rsidR="00772542" w:rsidRPr="001E75F3" w:rsidRDefault="00402023" w:rsidP="001E75F3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kern w:val="28"/>
        </w:rPr>
      </w:pPr>
      <w:r>
        <w:rPr>
          <w:kern w:val="28"/>
        </w:rPr>
        <w:t xml:space="preserve">Ce critère n’est pas contesté, à juste titre. M. Desnoyers démontre qu’il pourra </w:t>
      </w:r>
      <w:r w:rsidR="00661F3B">
        <w:rPr>
          <w:kern w:val="28"/>
        </w:rPr>
        <w:t xml:space="preserve">jouer le rôle </w:t>
      </w:r>
      <w:r>
        <w:rPr>
          <w:kern w:val="28"/>
        </w:rPr>
        <w:t>de représentant de façon adéquate.</w:t>
      </w:r>
      <w:bookmarkEnd w:id="11"/>
      <w:bookmarkEnd w:id="12"/>
    </w:p>
    <w:p w14:paraId="17B408F3" w14:textId="77777777" w:rsidR="00CF51ED" w:rsidRDefault="00402023" w:rsidP="008A5221">
      <w:pPr>
        <w:pStyle w:val="Titre1"/>
      </w:pPr>
      <w:bookmarkStart w:id="17" w:name="_Toc56788872"/>
      <w:r w:rsidRPr="00772542">
        <w:t>POUR CES MOTIFS, LE TRIBUNAL :</w:t>
      </w:r>
      <w:bookmarkEnd w:id="3"/>
      <w:bookmarkEnd w:id="17"/>
    </w:p>
    <w:p w14:paraId="70C821C6" w14:textId="77777777" w:rsidR="00BD2ACF" w:rsidRPr="00144C43" w:rsidRDefault="00402023" w:rsidP="00BD2ACF">
      <w:pPr>
        <w:pStyle w:val="Paragrsimple"/>
      </w:pPr>
      <w:r w:rsidRPr="00144C43">
        <w:rPr>
          <w:b/>
          <w:bCs/>
        </w:rPr>
        <w:t xml:space="preserve">ACCORDE </w:t>
      </w:r>
      <w:r w:rsidRPr="00144C43">
        <w:t>la demande</w:t>
      </w:r>
      <w:r w:rsidR="00E36279">
        <w:t xml:space="preserve"> d’autorisation d’exercer une action collective</w:t>
      </w:r>
      <w:r w:rsidRPr="00144C43">
        <w:t xml:space="preserve">; </w:t>
      </w:r>
    </w:p>
    <w:p w14:paraId="48C49E6B" w14:textId="77777777" w:rsidR="00BD2ACF" w:rsidRDefault="00402023" w:rsidP="00BD2ACF">
      <w:pPr>
        <w:pStyle w:val="Paragrsimple"/>
      </w:pPr>
      <w:r>
        <w:rPr>
          <w:b/>
          <w:bCs/>
        </w:rPr>
        <w:t xml:space="preserve">ATTRIBUE </w:t>
      </w:r>
      <w:r w:rsidRPr="00CB0FD7">
        <w:t>au</w:t>
      </w:r>
      <w:r w:rsidR="00DE0F43" w:rsidRPr="00CB0FD7">
        <w:t xml:space="preserve"> </w:t>
      </w:r>
      <w:r w:rsidR="00DE0F43" w:rsidRPr="00144C43">
        <w:t>demandeur</w:t>
      </w:r>
      <w:r w:rsidRPr="00144C43">
        <w:t>, Jean Desnoyers</w:t>
      </w:r>
      <w:r w:rsidR="00E320BF">
        <w:t xml:space="preserve"> </w:t>
      </w:r>
      <w:r>
        <w:t>le statut</w:t>
      </w:r>
      <w:r w:rsidR="00E9197B">
        <w:t xml:space="preserve"> de </w:t>
      </w:r>
      <w:r w:rsidRPr="00144C43">
        <w:t xml:space="preserve">représentant des </w:t>
      </w:r>
      <w:r w:rsidR="00E36279">
        <w:t>membres inclus dans le groupe défini comme suit </w:t>
      </w:r>
      <w:r w:rsidRPr="00144C43">
        <w:t xml:space="preserve">: 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4823"/>
        <w:gridCol w:w="4817"/>
      </w:tblGrid>
      <w:tr w:rsidR="008533B5" w14:paraId="0D8C4C46" w14:textId="77777777" w:rsidTr="00B307B9">
        <w:tc>
          <w:tcPr>
            <w:tcW w:w="4823" w:type="dxa"/>
          </w:tcPr>
          <w:p w14:paraId="39FE4185" w14:textId="77777777" w:rsidR="00802A48" w:rsidRPr="00216BB6" w:rsidRDefault="00402023" w:rsidP="00B307B9">
            <w:pPr>
              <w:pStyle w:val="Citationenretrait"/>
              <w:ind w:left="113" w:right="113"/>
              <w:rPr>
                <w:kern w:val="28"/>
                <w:sz w:val="24"/>
                <w:szCs w:val="24"/>
              </w:rPr>
            </w:pPr>
            <w:r w:rsidRPr="00216BB6">
              <w:rPr>
                <w:sz w:val="24"/>
                <w:szCs w:val="24"/>
              </w:rPr>
              <w:t xml:space="preserve">Toutes les personnes physiques du Québec qui i) </w:t>
            </w:r>
            <w:r w:rsidR="00E9197B" w:rsidRPr="00216BB6">
              <w:rPr>
                <w:sz w:val="24"/>
                <w:szCs w:val="24"/>
              </w:rPr>
              <w:t xml:space="preserve">étaient </w:t>
            </w:r>
            <w:r w:rsidRPr="00216BB6">
              <w:rPr>
                <w:sz w:val="24"/>
                <w:szCs w:val="24"/>
              </w:rPr>
              <w:t xml:space="preserve">membres Amazon </w:t>
            </w:r>
            <w:r w:rsidRPr="00E8714B">
              <w:rPr>
                <w:i/>
                <w:iCs/>
                <w:sz w:val="24"/>
                <w:szCs w:val="24"/>
              </w:rPr>
              <w:lastRenderedPageBreak/>
              <w:t>Prime</w:t>
            </w:r>
            <w:r w:rsidRPr="00216BB6">
              <w:rPr>
                <w:sz w:val="24"/>
                <w:szCs w:val="24"/>
              </w:rPr>
              <w:t xml:space="preserve"> entre le 22 janvier 2025 et le 31 mars 2025; ii) ont acheté un produit à la boutique en ligne Amazon.ca à la suite de représentations d’un délai de livraison de </w:t>
            </w:r>
            <w:r w:rsidR="00E36279">
              <w:rPr>
                <w:sz w:val="24"/>
                <w:szCs w:val="24"/>
              </w:rPr>
              <w:t xml:space="preserve">un ou </w:t>
            </w:r>
            <w:r w:rsidRPr="00216BB6">
              <w:rPr>
                <w:sz w:val="24"/>
                <w:szCs w:val="24"/>
              </w:rPr>
              <w:t>deux jours; et iii) le délai de livraison a excédé un ou deux jours, selon le cas.</w:t>
            </w:r>
          </w:p>
        </w:tc>
        <w:tc>
          <w:tcPr>
            <w:tcW w:w="4817" w:type="dxa"/>
          </w:tcPr>
          <w:p w14:paraId="6A244C34" w14:textId="77777777" w:rsidR="00802A48" w:rsidRPr="00216BB6" w:rsidRDefault="00402023" w:rsidP="00B307B9">
            <w:pPr>
              <w:pStyle w:val="Citationenretrait"/>
              <w:ind w:left="113" w:right="113"/>
              <w:rPr>
                <w:i/>
                <w:iCs/>
                <w:kern w:val="28"/>
                <w:sz w:val="24"/>
                <w:szCs w:val="24"/>
                <w:lang w:val="en-CA"/>
              </w:rPr>
            </w:pPr>
            <w:r w:rsidRPr="00216BB6">
              <w:rPr>
                <w:i/>
                <w:iCs/>
                <w:sz w:val="24"/>
                <w:szCs w:val="24"/>
                <w:lang w:val="en-CA"/>
              </w:rPr>
              <w:lastRenderedPageBreak/>
              <w:t xml:space="preserve">Any physical person in Québec who i) was an Amazon Prime member between 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lastRenderedPageBreak/>
              <w:t>January 22, 2025</w:t>
            </w:r>
            <w:r>
              <w:rPr>
                <w:i/>
                <w:iCs/>
                <w:sz w:val="24"/>
                <w:szCs w:val="24"/>
                <w:lang w:val="en-CA"/>
              </w:rPr>
              <w:t>,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 and March 31</w:t>
            </w:r>
            <w:r>
              <w:rPr>
                <w:i/>
                <w:iCs/>
                <w:sz w:val="24"/>
                <w:szCs w:val="24"/>
                <w:lang w:val="en-CA"/>
              </w:rPr>
              <w:t>,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 2025; ii) made a purchase in the Amazon.ca store after being represented a delivery time of </w:t>
            </w:r>
            <w:r w:rsidR="00E36279">
              <w:rPr>
                <w:i/>
                <w:iCs/>
                <w:sz w:val="24"/>
                <w:szCs w:val="24"/>
                <w:lang w:val="en-CA"/>
              </w:rPr>
              <w:t xml:space="preserve">one or 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>two</w:t>
            </w:r>
            <w:r w:rsidR="00E36279">
              <w:rPr>
                <w:i/>
                <w:iCs/>
                <w:sz w:val="24"/>
                <w:szCs w:val="24"/>
                <w:lang w:val="en-CA"/>
              </w:rPr>
              <w:t xml:space="preserve"> 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>days; and iii) the delivery time after ordering the item exceeded one or two</w:t>
            </w:r>
            <w:r w:rsidR="00E36279">
              <w:rPr>
                <w:i/>
                <w:iCs/>
                <w:sz w:val="24"/>
                <w:szCs w:val="24"/>
                <w:lang w:val="en-CA"/>
              </w:rPr>
              <w:t xml:space="preserve"> </w:t>
            </w:r>
            <w:r w:rsidRPr="00216BB6">
              <w:rPr>
                <w:i/>
                <w:iCs/>
                <w:sz w:val="24"/>
                <w:szCs w:val="24"/>
                <w:lang w:val="en-CA"/>
              </w:rPr>
              <w:t xml:space="preserve">days, depending on the representations made. </w:t>
            </w:r>
          </w:p>
        </w:tc>
      </w:tr>
    </w:tbl>
    <w:p w14:paraId="5A56C3B0" w14:textId="77777777" w:rsidR="00BD2ACF" w:rsidRPr="00E320BF" w:rsidRDefault="00402023" w:rsidP="00E320BF">
      <w:pPr>
        <w:pStyle w:val="Paragrsimple"/>
        <w:spacing w:before="240"/>
        <w:rPr>
          <w:szCs w:val="24"/>
        </w:rPr>
      </w:pPr>
      <w:r w:rsidRPr="00E320BF">
        <w:rPr>
          <w:b/>
          <w:bCs/>
          <w:szCs w:val="24"/>
        </w:rPr>
        <w:lastRenderedPageBreak/>
        <w:t xml:space="preserve">IDENTIFIE </w:t>
      </w:r>
      <w:r w:rsidRPr="00E320BF">
        <w:rPr>
          <w:szCs w:val="24"/>
        </w:rPr>
        <w:t xml:space="preserve">les principales questions de fait et de droit à traiter collectivement comme suit : </w:t>
      </w:r>
    </w:p>
    <w:p w14:paraId="4D9E21DC" w14:textId="77777777" w:rsidR="00BD2ACF" w:rsidRPr="00DE0F43" w:rsidRDefault="00402023" w:rsidP="00E9197B">
      <w:pPr>
        <w:pStyle w:val="Default"/>
        <w:numPr>
          <w:ilvl w:val="0"/>
          <w:numId w:val="11"/>
        </w:numPr>
        <w:spacing w:before="120"/>
        <w:ind w:left="714" w:hanging="357"/>
        <w:jc w:val="both"/>
      </w:pPr>
      <w:r w:rsidRPr="00DE0F43">
        <w:t xml:space="preserve">Les défendeurs ont-ils </w:t>
      </w:r>
      <w:r w:rsidR="00793709">
        <w:t>commis</w:t>
      </w:r>
      <w:r w:rsidRPr="00DE0F43">
        <w:t xml:space="preserve"> des pratiques </w:t>
      </w:r>
      <w:r w:rsidR="00793709">
        <w:t>interdites</w:t>
      </w:r>
      <w:r w:rsidRPr="00DE0F43">
        <w:t xml:space="preserve"> concernant les services de livraison </w:t>
      </w:r>
      <w:r w:rsidRPr="00E8714B">
        <w:rPr>
          <w:i/>
          <w:iCs/>
        </w:rPr>
        <w:t>Prime</w:t>
      </w:r>
      <w:r w:rsidR="00793709">
        <w:rPr>
          <w:i/>
          <w:iCs/>
        </w:rPr>
        <w:t>,</w:t>
      </w:r>
      <w:r w:rsidRPr="00DE0F43">
        <w:t xml:space="preserve"> en violation du </w:t>
      </w:r>
      <w:r w:rsidRPr="00DE0F43">
        <w:rPr>
          <w:i/>
          <w:iCs/>
        </w:rPr>
        <w:t>Code civil du Québec</w:t>
      </w:r>
      <w:r w:rsidRPr="00DE0F43">
        <w:t xml:space="preserve">, de la </w:t>
      </w:r>
      <w:r w:rsidRPr="00DE0F43">
        <w:rPr>
          <w:i/>
          <w:iCs/>
        </w:rPr>
        <w:t>Loi sur la protection du consommateur</w:t>
      </w:r>
      <w:r w:rsidRPr="00DE0F43">
        <w:t xml:space="preserve"> et/ou de la </w:t>
      </w:r>
      <w:r w:rsidRPr="00DE0F43">
        <w:rPr>
          <w:i/>
          <w:iCs/>
        </w:rPr>
        <w:t>Loi sur la concurrence</w:t>
      </w:r>
      <w:r w:rsidRPr="00DE0F43">
        <w:t xml:space="preserve">? </w:t>
      </w:r>
    </w:p>
    <w:p w14:paraId="4685D67A" w14:textId="77777777" w:rsidR="00BD2ACF" w:rsidRPr="00DE0F43" w:rsidRDefault="00402023" w:rsidP="00E9197B">
      <w:pPr>
        <w:pStyle w:val="Default"/>
        <w:numPr>
          <w:ilvl w:val="0"/>
          <w:numId w:val="11"/>
        </w:numPr>
        <w:spacing w:before="120"/>
        <w:ind w:left="714" w:hanging="357"/>
        <w:jc w:val="both"/>
      </w:pPr>
      <w:r w:rsidRPr="00DE0F43">
        <w:t>Les défendeurs sont-ils solidairement responsables en tant qu'auteurs conjoints de la mise en œuvre de pratiques i</w:t>
      </w:r>
      <w:r w:rsidR="00793709">
        <w:t>nterdites</w:t>
      </w:r>
      <w:r w:rsidRPr="00DE0F43">
        <w:t xml:space="preserve">? </w:t>
      </w:r>
    </w:p>
    <w:p w14:paraId="1781F332" w14:textId="77777777" w:rsidR="00BD2ACF" w:rsidRPr="00DE0F43" w:rsidRDefault="00402023" w:rsidP="00E9197B">
      <w:pPr>
        <w:pStyle w:val="Default"/>
        <w:numPr>
          <w:ilvl w:val="0"/>
          <w:numId w:val="11"/>
        </w:numPr>
        <w:spacing w:before="120"/>
        <w:ind w:left="714" w:hanging="357"/>
        <w:jc w:val="both"/>
      </w:pPr>
      <w:r>
        <w:t>L</w:t>
      </w:r>
      <w:r w:rsidRPr="00DE0F43">
        <w:t>es membres du groupe ont</w:t>
      </w:r>
      <w:r w:rsidR="0064687F">
        <w:t>-ils</w:t>
      </w:r>
      <w:r w:rsidRPr="00DE0F43">
        <w:t xml:space="preserve"> droit à des dommages-intérêts compensatoires et/ou à une réduction de</w:t>
      </w:r>
      <w:r w:rsidR="00E9197B">
        <w:t xml:space="preserve"> leurs </w:t>
      </w:r>
      <w:r w:rsidRPr="00DE0F43">
        <w:t xml:space="preserve">obligations, et </w:t>
      </w:r>
      <w:r w:rsidR="00E9197B">
        <w:t>dans l’affirmative</w:t>
      </w:r>
      <w:r w:rsidRPr="00DE0F43">
        <w:t xml:space="preserve">, </w:t>
      </w:r>
      <w:r w:rsidR="00E9197B">
        <w:t>pour</w:t>
      </w:r>
      <w:r w:rsidRPr="00DE0F43">
        <w:t xml:space="preserve"> quel montant</w:t>
      </w:r>
      <w:r>
        <w:t>?</w:t>
      </w:r>
    </w:p>
    <w:p w14:paraId="6F5B75B7" w14:textId="77777777" w:rsidR="00BD2ACF" w:rsidRPr="00DE0F43" w:rsidRDefault="00402023" w:rsidP="00E9197B">
      <w:pPr>
        <w:pStyle w:val="Default"/>
        <w:numPr>
          <w:ilvl w:val="0"/>
          <w:numId w:val="11"/>
        </w:numPr>
        <w:spacing w:before="120" w:after="120"/>
        <w:ind w:left="714" w:hanging="357"/>
        <w:jc w:val="both"/>
      </w:pPr>
      <w:r>
        <w:t>L</w:t>
      </w:r>
      <w:r w:rsidRPr="00DE0F43">
        <w:t>es membres de la classe ont</w:t>
      </w:r>
      <w:r w:rsidR="0064687F">
        <w:t>-ils</w:t>
      </w:r>
      <w:r w:rsidRPr="00DE0F43">
        <w:t xml:space="preserve"> droit à des dommages-intérêts punitifs, et</w:t>
      </w:r>
      <w:r>
        <w:t xml:space="preserve">, dans l’affirmative, pour </w:t>
      </w:r>
      <w:r w:rsidRPr="00DE0F43">
        <w:t xml:space="preserve">quel montant? </w:t>
      </w:r>
    </w:p>
    <w:p w14:paraId="22BFE24C" w14:textId="77777777" w:rsidR="00BD2ACF" w:rsidRPr="00DE0F43" w:rsidRDefault="00402023" w:rsidP="00BD2ACF">
      <w:pPr>
        <w:pStyle w:val="Paragrsimple"/>
        <w:rPr>
          <w:szCs w:val="24"/>
        </w:rPr>
      </w:pPr>
      <w:r w:rsidRPr="00DE0F43">
        <w:rPr>
          <w:b/>
          <w:bCs/>
          <w:szCs w:val="24"/>
        </w:rPr>
        <w:t xml:space="preserve">IDENTIFIE </w:t>
      </w:r>
      <w:r w:rsidRPr="00DE0F43">
        <w:rPr>
          <w:szCs w:val="24"/>
        </w:rPr>
        <w:t>les conclusions recherchées par l</w:t>
      </w:r>
      <w:r w:rsidR="00E64987">
        <w:rPr>
          <w:szCs w:val="24"/>
        </w:rPr>
        <w:t>’action collective comme suit</w:t>
      </w:r>
      <w:r w:rsidRPr="00DE0F43">
        <w:rPr>
          <w:szCs w:val="24"/>
        </w:rPr>
        <w:t xml:space="preserve">: </w:t>
      </w:r>
    </w:p>
    <w:p w14:paraId="365937FB" w14:textId="77777777" w:rsidR="00BD2ACF" w:rsidRPr="00DE0F43" w:rsidRDefault="00402023" w:rsidP="00802A48">
      <w:pPr>
        <w:pStyle w:val="Default"/>
        <w:numPr>
          <w:ilvl w:val="0"/>
          <w:numId w:val="12"/>
        </w:numPr>
        <w:spacing w:before="120" w:after="120"/>
        <w:jc w:val="both"/>
      </w:pPr>
      <w:r w:rsidRPr="00DE0F43">
        <w:t>DÉCLARE</w:t>
      </w:r>
      <w:r w:rsidR="00D409A4" w:rsidRPr="00DE0F43">
        <w:t>R</w:t>
      </w:r>
      <w:r w:rsidRPr="00DE0F43">
        <w:t xml:space="preserve"> qu'Amazon a violé ses obligations contractuelles et violé le </w:t>
      </w:r>
      <w:r w:rsidRPr="00DE0F43">
        <w:rPr>
          <w:i/>
          <w:iCs/>
        </w:rPr>
        <w:t>Code civil</w:t>
      </w:r>
      <w:r w:rsidRPr="00DE0F43">
        <w:t xml:space="preserve">, la </w:t>
      </w:r>
      <w:r w:rsidRPr="00DE0F43">
        <w:rPr>
          <w:i/>
          <w:iCs/>
        </w:rPr>
        <w:t xml:space="preserve">loi sur la concurrence </w:t>
      </w:r>
      <w:r w:rsidRPr="00DE0F43">
        <w:t xml:space="preserve">et la </w:t>
      </w:r>
      <w:r w:rsidRPr="00DE0F43">
        <w:rPr>
          <w:i/>
          <w:iCs/>
        </w:rPr>
        <w:t xml:space="preserve">loi sur la protection des </w:t>
      </w:r>
      <w:r w:rsidRPr="00DE0F43">
        <w:t xml:space="preserve">consommateurs; </w:t>
      </w:r>
    </w:p>
    <w:p w14:paraId="17C55EC5" w14:textId="77777777" w:rsidR="00BD2ACF" w:rsidRPr="00DE0F43" w:rsidRDefault="00402023" w:rsidP="00802A48">
      <w:pPr>
        <w:pStyle w:val="Default"/>
        <w:numPr>
          <w:ilvl w:val="0"/>
          <w:numId w:val="12"/>
        </w:numPr>
        <w:spacing w:before="120" w:after="120"/>
        <w:jc w:val="both"/>
      </w:pPr>
      <w:r w:rsidRPr="00DE0F43">
        <w:t>CONDAMNE</w:t>
      </w:r>
      <w:r w:rsidR="00D409A4" w:rsidRPr="00DE0F43">
        <w:t>R</w:t>
      </w:r>
      <w:r w:rsidRPr="00DE0F43">
        <w:t xml:space="preserve"> Amazon à verser à chaque membre du groupe des dommages-intérêts compensatoires </w:t>
      </w:r>
      <w:r w:rsidR="00E320BF">
        <w:t>comme suit</w:t>
      </w:r>
      <w:r w:rsidRPr="00DE0F43">
        <w:t xml:space="preserve"> : </w:t>
      </w:r>
    </w:p>
    <w:p w14:paraId="09D16318" w14:textId="77777777" w:rsidR="00BD2ACF" w:rsidRPr="00DE0F43" w:rsidRDefault="00402023" w:rsidP="00802A48">
      <w:pPr>
        <w:pStyle w:val="Default"/>
        <w:numPr>
          <w:ilvl w:val="1"/>
          <w:numId w:val="12"/>
        </w:numPr>
        <w:spacing w:before="120" w:after="120"/>
        <w:ind w:left="1797"/>
        <w:jc w:val="both"/>
      </w:pPr>
      <w:r w:rsidRPr="00DE0F43">
        <w:t xml:space="preserve">Le remboursement intégral des cotisations </w:t>
      </w:r>
      <w:r w:rsidRPr="00863A15">
        <w:rPr>
          <w:i/>
          <w:iCs/>
        </w:rPr>
        <w:t>Prime</w:t>
      </w:r>
      <w:r w:rsidRPr="00DE0F43">
        <w:t xml:space="preserve"> payées pendant l</w:t>
      </w:r>
      <w:r w:rsidR="00E9197B">
        <w:t>a</w:t>
      </w:r>
      <w:r w:rsidRPr="00DE0F43">
        <w:t xml:space="preserve"> période</w:t>
      </w:r>
      <w:r w:rsidR="00E9197B">
        <w:t xml:space="preserve"> du recours</w:t>
      </w:r>
      <w:r w:rsidRPr="00DE0F43">
        <w:t xml:space="preserve">; ou alternativement; </w:t>
      </w:r>
    </w:p>
    <w:p w14:paraId="40D333AF" w14:textId="77777777" w:rsidR="00E9197B" w:rsidRDefault="00402023" w:rsidP="00802A48">
      <w:pPr>
        <w:pStyle w:val="Default"/>
        <w:numPr>
          <w:ilvl w:val="1"/>
          <w:numId w:val="12"/>
        </w:numPr>
        <w:spacing w:before="120" w:after="120"/>
        <w:ind w:left="1797"/>
        <w:jc w:val="both"/>
      </w:pPr>
      <w:r w:rsidRPr="00DE0F43">
        <w:t xml:space="preserve">La différence entre les cotisations </w:t>
      </w:r>
      <w:r w:rsidRPr="00863A15">
        <w:rPr>
          <w:i/>
          <w:iCs/>
        </w:rPr>
        <w:t>Prime</w:t>
      </w:r>
      <w:r w:rsidRPr="00DE0F43">
        <w:t xml:space="preserve"> payées et la valeur réelle du service dégradé reçu; </w:t>
      </w:r>
    </w:p>
    <w:p w14:paraId="0172A19C" w14:textId="77777777" w:rsidR="00BD2ACF" w:rsidRPr="00DE0F43" w:rsidRDefault="00402023" w:rsidP="00802A48">
      <w:pPr>
        <w:pStyle w:val="Default"/>
        <w:numPr>
          <w:ilvl w:val="1"/>
          <w:numId w:val="12"/>
        </w:numPr>
        <w:spacing w:before="120" w:after="120"/>
        <w:ind w:left="1797"/>
        <w:jc w:val="both"/>
      </w:pPr>
      <w:r>
        <w:t>Le tout</w:t>
      </w:r>
      <w:r w:rsidR="00381A02">
        <w:t xml:space="preserve">, </w:t>
      </w:r>
      <w:r w:rsidR="0064687F">
        <w:t>majoré d</w:t>
      </w:r>
      <w:r w:rsidRPr="00DE0F43">
        <w:t xml:space="preserve">es intérêts au taux légal et l'indemnité </w:t>
      </w:r>
      <w:r>
        <w:t>additionnelle</w:t>
      </w:r>
      <w:r w:rsidRPr="00DE0F43">
        <w:t xml:space="preserve"> prévue à l'article 1619 C.</w:t>
      </w:r>
      <w:r w:rsidR="00381A02">
        <w:t>c</w:t>
      </w:r>
      <w:r w:rsidRPr="00DE0F43">
        <w:t xml:space="preserve">.Q. à </w:t>
      </w:r>
      <w:r w:rsidR="00E64987">
        <w:t>compter</w:t>
      </w:r>
      <w:r w:rsidRPr="00DE0F43">
        <w:t xml:space="preserve"> de la date de signification; </w:t>
      </w:r>
    </w:p>
    <w:p w14:paraId="25AE99C4" w14:textId="77777777" w:rsidR="00BD2ACF" w:rsidRPr="00DE0F43" w:rsidRDefault="00402023" w:rsidP="00802A48">
      <w:pPr>
        <w:pStyle w:val="Default"/>
        <w:numPr>
          <w:ilvl w:val="0"/>
          <w:numId w:val="12"/>
        </w:numPr>
        <w:spacing w:before="120" w:after="120"/>
        <w:jc w:val="both"/>
      </w:pPr>
      <w:r w:rsidRPr="00DE0F43">
        <w:t>CONDAMNE</w:t>
      </w:r>
      <w:r w:rsidR="00D409A4" w:rsidRPr="00DE0F43">
        <w:t>R</w:t>
      </w:r>
      <w:r w:rsidRPr="00DE0F43">
        <w:t xml:space="preserve"> Amazon à verser des dommages-intérêts punitifs </w:t>
      </w:r>
      <w:r w:rsidR="00E64987">
        <w:t xml:space="preserve">de l’ordre établi </w:t>
      </w:r>
      <w:r w:rsidRPr="00DE0F43">
        <w:t xml:space="preserve">par le </w:t>
      </w:r>
      <w:r w:rsidR="00E9197B">
        <w:t>T</w:t>
      </w:r>
      <w:r w:rsidRPr="00DE0F43">
        <w:t>ribunal à chaque membre d</w:t>
      </w:r>
      <w:r w:rsidR="00E320BF">
        <w:t>u groupe</w:t>
      </w:r>
      <w:r w:rsidRPr="00DE0F43">
        <w:t xml:space="preserve"> pour avoir sciemment facturé pour des services qu'elle ne pouvait pas fournir, en violation des articles 219, 220, 227</w:t>
      </w:r>
      <w:r w:rsidR="008F33AA">
        <w:t>, 272</w:t>
      </w:r>
      <w:r w:rsidRPr="00DE0F43">
        <w:t xml:space="preserve"> et 228 de la </w:t>
      </w:r>
      <w:r w:rsidRPr="00DE0F43">
        <w:rPr>
          <w:i/>
          <w:iCs/>
        </w:rPr>
        <w:t>loi sur la protection du consommateur</w:t>
      </w:r>
      <w:r w:rsidRPr="00BC025F">
        <w:t>;</w:t>
      </w:r>
      <w:r w:rsidRPr="00DE0F43">
        <w:rPr>
          <w:i/>
          <w:iCs/>
        </w:rPr>
        <w:t xml:space="preserve"> </w:t>
      </w:r>
    </w:p>
    <w:p w14:paraId="364DC19B" w14:textId="77777777" w:rsidR="00BD2ACF" w:rsidRPr="00DE0F43" w:rsidRDefault="00402023" w:rsidP="00802A48">
      <w:pPr>
        <w:pStyle w:val="Default"/>
        <w:numPr>
          <w:ilvl w:val="0"/>
          <w:numId w:val="12"/>
        </w:numPr>
        <w:spacing w:before="120" w:after="120"/>
        <w:jc w:val="both"/>
      </w:pPr>
      <w:r w:rsidRPr="00DE0F43">
        <w:lastRenderedPageBreak/>
        <w:t>ORD</w:t>
      </w:r>
      <w:r w:rsidR="00D409A4" w:rsidRPr="00DE0F43">
        <w:t>ONNER</w:t>
      </w:r>
      <w:r w:rsidRPr="00DE0F43">
        <w:t xml:space="preserve"> l</w:t>
      </w:r>
      <w:r w:rsidR="00E320BF">
        <w:t>e recouvrement</w:t>
      </w:r>
      <w:r w:rsidRPr="00DE0F43">
        <w:t xml:space="preserve"> collecti</w:t>
      </w:r>
      <w:r w:rsidR="00E320BF">
        <w:t>f</w:t>
      </w:r>
      <w:r w:rsidRPr="00DE0F43">
        <w:t xml:space="preserve"> de tous les dommages-intérêts dus aux membres d</w:t>
      </w:r>
      <w:r w:rsidR="00E320BF">
        <w:t>u groupe</w:t>
      </w:r>
      <w:r w:rsidRPr="00DE0F43">
        <w:t xml:space="preserve">; </w:t>
      </w:r>
    </w:p>
    <w:p w14:paraId="60092EA3" w14:textId="77777777" w:rsidR="00BD2ACF" w:rsidRPr="00DE0F43" w:rsidRDefault="00402023" w:rsidP="00802A48">
      <w:pPr>
        <w:pStyle w:val="Default"/>
        <w:numPr>
          <w:ilvl w:val="0"/>
          <w:numId w:val="12"/>
        </w:numPr>
        <w:spacing w:before="120" w:after="120"/>
        <w:jc w:val="both"/>
      </w:pPr>
      <w:r w:rsidRPr="00DE0F43">
        <w:t xml:space="preserve">CONDAMNER Amazon à payer tous les frais </w:t>
      </w:r>
      <w:r w:rsidR="00E320BF">
        <w:t>judiciaires</w:t>
      </w:r>
      <w:r w:rsidRPr="00DE0F43">
        <w:t>, y compris les honoraires d'experts, les frais d</w:t>
      </w:r>
      <w:r w:rsidR="00E9197B">
        <w:t>’avis</w:t>
      </w:r>
      <w:r w:rsidRPr="00DE0F43">
        <w:t xml:space="preserve"> et les frais </w:t>
      </w:r>
      <w:r w:rsidR="00E320BF">
        <w:t>d’</w:t>
      </w:r>
      <w:r w:rsidRPr="00DE0F43">
        <w:t>administrati</w:t>
      </w:r>
      <w:r w:rsidR="00E320BF">
        <w:t>on</w:t>
      </w:r>
      <w:r w:rsidR="00E9197B">
        <w:t xml:space="preserve"> d’un recouvrement </w:t>
      </w:r>
      <w:r w:rsidR="00381A02">
        <w:t>éven</w:t>
      </w:r>
      <w:r w:rsidR="00E9197B">
        <w:t>tuel</w:t>
      </w:r>
      <w:r w:rsidRPr="00DE0F43">
        <w:t xml:space="preserve">; </w:t>
      </w:r>
    </w:p>
    <w:p w14:paraId="5B4F04C5" w14:textId="77777777" w:rsidR="00BD2ACF" w:rsidRPr="00DE0F43" w:rsidRDefault="00402023" w:rsidP="00802A48">
      <w:pPr>
        <w:pStyle w:val="Default"/>
        <w:numPr>
          <w:ilvl w:val="0"/>
          <w:numId w:val="12"/>
        </w:numPr>
        <w:spacing w:before="120" w:after="120"/>
        <w:ind w:left="1077" w:hanging="357"/>
        <w:jc w:val="both"/>
      </w:pPr>
      <w:r w:rsidRPr="00DE0F43">
        <w:t xml:space="preserve">RENDRE toute autre ordonnance que cette honorable Cour jugera nécessaire pour assurer une compensation complète des membres du groupe et la dissuasion de conduites similaires. </w:t>
      </w:r>
    </w:p>
    <w:p w14:paraId="0176E671" w14:textId="77777777" w:rsidR="00BD2ACF" w:rsidRPr="00DE0F43" w:rsidRDefault="00402023" w:rsidP="00D409A4">
      <w:pPr>
        <w:pStyle w:val="Paragrsimple"/>
        <w:rPr>
          <w:szCs w:val="24"/>
        </w:rPr>
      </w:pPr>
      <w:r w:rsidRPr="00DE0F43">
        <w:rPr>
          <w:b/>
          <w:bCs/>
          <w:szCs w:val="24"/>
        </w:rPr>
        <w:t xml:space="preserve">DÉCLARE </w:t>
      </w:r>
      <w:r w:rsidRPr="00DE0F43">
        <w:rPr>
          <w:szCs w:val="24"/>
        </w:rPr>
        <w:t>que tout membre d</w:t>
      </w:r>
      <w:r w:rsidR="00E320BF">
        <w:rPr>
          <w:szCs w:val="24"/>
        </w:rPr>
        <w:t>u groupe</w:t>
      </w:r>
      <w:r w:rsidRPr="00DE0F43">
        <w:rPr>
          <w:szCs w:val="24"/>
        </w:rPr>
        <w:t xml:space="preserve"> qui n'a</w:t>
      </w:r>
      <w:r w:rsidR="00E320BF">
        <w:rPr>
          <w:szCs w:val="24"/>
        </w:rPr>
        <w:t>ura</w:t>
      </w:r>
      <w:r w:rsidRPr="00DE0F43">
        <w:rPr>
          <w:szCs w:val="24"/>
        </w:rPr>
        <w:t xml:space="preserve"> pas demandé son exclusion d</w:t>
      </w:r>
      <w:r w:rsidR="00E9197B">
        <w:rPr>
          <w:szCs w:val="24"/>
        </w:rPr>
        <w:t>u groupe</w:t>
      </w:r>
      <w:r w:rsidRPr="00DE0F43">
        <w:rPr>
          <w:szCs w:val="24"/>
        </w:rPr>
        <w:t xml:space="preserve"> </w:t>
      </w:r>
      <w:r w:rsidR="00E320BF">
        <w:rPr>
          <w:szCs w:val="24"/>
        </w:rPr>
        <w:t>sera</w:t>
      </w:r>
      <w:r w:rsidRPr="00DE0F43">
        <w:rPr>
          <w:szCs w:val="24"/>
        </w:rPr>
        <w:t xml:space="preserve"> lié par </w:t>
      </w:r>
      <w:r w:rsidR="00E320BF">
        <w:rPr>
          <w:szCs w:val="24"/>
        </w:rPr>
        <w:t>tout</w:t>
      </w:r>
      <w:r w:rsidRPr="00DE0F43">
        <w:rPr>
          <w:szCs w:val="24"/>
        </w:rPr>
        <w:t xml:space="preserve"> jugement </w:t>
      </w:r>
      <w:r w:rsidR="00CB0FD7">
        <w:rPr>
          <w:szCs w:val="24"/>
        </w:rPr>
        <w:t xml:space="preserve">à intervenir </w:t>
      </w:r>
      <w:r w:rsidRPr="00DE0F43">
        <w:rPr>
          <w:szCs w:val="24"/>
        </w:rPr>
        <w:t xml:space="preserve">dans </w:t>
      </w:r>
      <w:r w:rsidR="00E320BF">
        <w:rPr>
          <w:szCs w:val="24"/>
        </w:rPr>
        <w:t xml:space="preserve">le cadre de </w:t>
      </w:r>
      <w:r w:rsidRPr="00DE0F43">
        <w:rPr>
          <w:szCs w:val="24"/>
        </w:rPr>
        <w:t xml:space="preserve">l'action collective, conformément à la loi; </w:t>
      </w:r>
    </w:p>
    <w:p w14:paraId="49732D9B" w14:textId="77777777" w:rsidR="00BD2ACF" w:rsidRPr="00C62B02" w:rsidRDefault="00402023" w:rsidP="00C62B02">
      <w:pPr>
        <w:pStyle w:val="Paragrsimple"/>
        <w:rPr>
          <w:szCs w:val="24"/>
        </w:rPr>
      </w:pPr>
      <w:r w:rsidRPr="00DE0F43">
        <w:rPr>
          <w:b/>
          <w:bCs/>
          <w:szCs w:val="24"/>
        </w:rPr>
        <w:t xml:space="preserve">FIXE </w:t>
      </w:r>
      <w:r w:rsidRPr="00DE0F43">
        <w:rPr>
          <w:szCs w:val="24"/>
        </w:rPr>
        <w:t xml:space="preserve">le délai d'exclusion à 60 jours </w:t>
      </w:r>
      <w:r w:rsidR="00CB0FD7">
        <w:rPr>
          <w:szCs w:val="24"/>
        </w:rPr>
        <w:t xml:space="preserve">suivant la parution </w:t>
      </w:r>
      <w:r w:rsidR="00E320BF">
        <w:rPr>
          <w:szCs w:val="24"/>
        </w:rPr>
        <w:t>de l’avis aux membres les informant du présent jugement</w:t>
      </w:r>
      <w:r w:rsidR="00BC025F">
        <w:rPr>
          <w:szCs w:val="24"/>
        </w:rPr>
        <w:t>;</w:t>
      </w:r>
    </w:p>
    <w:p w14:paraId="62A961C2" w14:textId="77777777" w:rsidR="00BD2ACF" w:rsidRDefault="00402023" w:rsidP="00D409A4">
      <w:pPr>
        <w:pStyle w:val="Paragrsimple"/>
        <w:rPr>
          <w:szCs w:val="24"/>
        </w:rPr>
      </w:pPr>
      <w:r w:rsidRPr="00244BA0">
        <w:rPr>
          <w:b/>
          <w:bCs/>
          <w:szCs w:val="24"/>
        </w:rPr>
        <w:t>DÉ</w:t>
      </w:r>
      <w:r w:rsidR="00CB0FD7">
        <w:rPr>
          <w:b/>
          <w:bCs/>
          <w:szCs w:val="24"/>
        </w:rPr>
        <w:t>TERMINE</w:t>
      </w:r>
      <w:r>
        <w:rPr>
          <w:szCs w:val="24"/>
        </w:rPr>
        <w:t xml:space="preserve"> que l’action collective devra être entreprise dans le district de Montréal</w:t>
      </w:r>
      <w:r w:rsidR="00BC025F">
        <w:rPr>
          <w:szCs w:val="24"/>
        </w:rPr>
        <w:t>;</w:t>
      </w:r>
      <w:r w:rsidRPr="00DE0F43">
        <w:rPr>
          <w:szCs w:val="24"/>
        </w:rPr>
        <w:t xml:space="preserve"> </w:t>
      </w:r>
    </w:p>
    <w:p w14:paraId="17183B9A" w14:textId="77777777" w:rsidR="00CB0FD7" w:rsidRPr="00CB0FD7" w:rsidRDefault="00402023" w:rsidP="00CB0FD7">
      <w:pPr>
        <w:pStyle w:val="Paragrdouble"/>
        <w:tabs>
          <w:tab w:val="num" w:pos="360"/>
        </w:tabs>
        <w:spacing w:line="240" w:lineRule="auto"/>
      </w:pPr>
      <w:r w:rsidRPr="00AE1584">
        <w:rPr>
          <w:b/>
          <w:bCs/>
        </w:rPr>
        <w:t>CONVOQUE</w:t>
      </w:r>
      <w:r w:rsidRPr="00AE1584">
        <w:t xml:space="preserve"> les parties afin d’approuver le contenu et les modalités de publication de l’avis aux membres du présent jugement;</w:t>
      </w:r>
    </w:p>
    <w:p w14:paraId="17B33A8B" w14:textId="77777777" w:rsidR="00BD2ACF" w:rsidRPr="00DE0F43" w:rsidRDefault="00402023" w:rsidP="00D409A4">
      <w:pPr>
        <w:pStyle w:val="Paragrsimple"/>
        <w:rPr>
          <w:szCs w:val="24"/>
        </w:rPr>
      </w:pPr>
      <w:r w:rsidRPr="00DE0F43">
        <w:rPr>
          <w:b/>
          <w:bCs/>
          <w:szCs w:val="24"/>
        </w:rPr>
        <w:t xml:space="preserve">LE TOUT </w:t>
      </w:r>
      <w:r w:rsidRPr="00DE0F43">
        <w:rPr>
          <w:szCs w:val="24"/>
        </w:rPr>
        <w:t xml:space="preserve">avec les frais </w:t>
      </w:r>
      <w:r w:rsidR="00381A02">
        <w:rPr>
          <w:szCs w:val="24"/>
        </w:rPr>
        <w:t xml:space="preserve">de </w:t>
      </w:r>
      <w:r w:rsidRPr="00DE0F43">
        <w:rPr>
          <w:szCs w:val="24"/>
        </w:rPr>
        <w:t>ju</w:t>
      </w:r>
      <w:r w:rsidR="00381A02">
        <w:rPr>
          <w:szCs w:val="24"/>
        </w:rPr>
        <w:t>stice</w:t>
      </w:r>
      <w:r w:rsidRPr="00DE0F43">
        <w:rPr>
          <w:szCs w:val="24"/>
        </w:rPr>
        <w:t>, y compris le coût de tous les avis</w:t>
      </w:r>
      <w:r w:rsidR="00381A02">
        <w:rPr>
          <w:szCs w:val="24"/>
        </w:rPr>
        <w:t xml:space="preserve"> aux membres</w:t>
      </w:r>
      <w:r w:rsidRPr="00DE0F43">
        <w:rPr>
          <w:szCs w:val="24"/>
        </w:rPr>
        <w:t>.</w:t>
      </w:r>
    </w:p>
    <w:tbl>
      <w:tblPr>
        <w:tblW w:w="10072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670"/>
        <w:gridCol w:w="4638"/>
      </w:tblGrid>
      <w:tr w:rsidR="008533B5" w14:paraId="6F9AE6DC" w14:textId="77777777" w:rsidTr="00906C3C">
        <w:trPr>
          <w:trHeight w:val="576"/>
        </w:trPr>
        <w:tc>
          <w:tcPr>
            <w:tcW w:w="10072" w:type="dxa"/>
            <w:gridSpan w:val="3"/>
          </w:tcPr>
          <w:p w14:paraId="51D9B7CB" w14:textId="77777777" w:rsidR="00121A72" w:rsidRDefault="00121A72" w:rsidP="00D26929">
            <w:pPr>
              <w:keepNext/>
              <w:keepLines/>
            </w:pPr>
          </w:p>
          <w:p w14:paraId="286CC3A9" w14:textId="77777777" w:rsidR="004F20D0" w:rsidRDefault="004F20D0" w:rsidP="00D26929">
            <w:pPr>
              <w:keepNext/>
              <w:keepLines/>
            </w:pPr>
          </w:p>
        </w:tc>
      </w:tr>
      <w:tr w:rsidR="008533B5" w14:paraId="60222107" w14:textId="77777777" w:rsidTr="00906C3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434" w:type="dxa"/>
            <w:gridSpan w:val="2"/>
          </w:tcPr>
          <w:p w14:paraId="2497762B" w14:textId="77777777" w:rsidR="00121A72" w:rsidRDefault="00121A72" w:rsidP="00D26929"/>
        </w:tc>
        <w:tc>
          <w:tcPr>
            <w:tcW w:w="4638" w:type="dxa"/>
          </w:tcPr>
          <w:p w14:paraId="619D06FE" w14:textId="77777777" w:rsidR="00121A72" w:rsidRPr="00F4770B" w:rsidRDefault="00402023" w:rsidP="00E11138">
            <w:pPr>
              <w:pStyle w:val="zSoquijdatSignature3Juge"/>
            </w:pPr>
            <w:r>
              <w:t>___</w:t>
            </w:r>
            <w:r w:rsidR="00F4770B">
              <w:t>_______________________________</w:t>
            </w:r>
            <w:r w:rsidR="00E11138">
              <w:rPr>
                <w:caps/>
              </w:rPr>
              <w:t>DOMINIQUE POULIN, J.C.S.</w:t>
            </w:r>
          </w:p>
        </w:tc>
      </w:tr>
      <w:tr w:rsidR="008533B5" w14:paraId="4DC51DA2" w14:textId="77777777" w:rsidTr="00906C3C">
        <w:tc>
          <w:tcPr>
            <w:tcW w:w="10072" w:type="dxa"/>
            <w:gridSpan w:val="3"/>
          </w:tcPr>
          <w:p w14:paraId="1859F2D2" w14:textId="77777777" w:rsidR="00121A72" w:rsidRPr="00F4770B" w:rsidRDefault="00121A72" w:rsidP="00D26929"/>
        </w:tc>
      </w:tr>
      <w:tr w:rsidR="008533B5" w14:paraId="32C1C649" w14:textId="77777777" w:rsidTr="00906C3C">
        <w:trPr>
          <w:cantSplit/>
        </w:trPr>
        <w:tc>
          <w:tcPr>
            <w:tcW w:w="10072" w:type="dxa"/>
            <w:gridSpan w:val="3"/>
          </w:tcPr>
          <w:p w14:paraId="1E0EA44C" w14:textId="77777777" w:rsidR="00121A72" w:rsidRPr="00F1111E" w:rsidRDefault="00402023" w:rsidP="00F1111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111E">
              <w:rPr>
                <w:rFonts w:eastAsiaTheme="minorHAnsi" w:cs="Arial"/>
                <w:color w:val="000000"/>
                <w:szCs w:val="24"/>
                <w:lang w:eastAsia="en-US"/>
              </w:rPr>
              <w:t>Me Saro Turner</w:t>
            </w:r>
          </w:p>
        </w:tc>
      </w:tr>
      <w:tr w:rsidR="008533B5" w14:paraId="1C754576" w14:textId="77777777" w:rsidTr="00906C3C">
        <w:trPr>
          <w:cantSplit/>
        </w:trPr>
        <w:tc>
          <w:tcPr>
            <w:tcW w:w="10072" w:type="dxa"/>
            <w:gridSpan w:val="3"/>
          </w:tcPr>
          <w:p w14:paraId="4EE0ADB8" w14:textId="77777777" w:rsidR="00121A72" w:rsidRPr="00F1111E" w:rsidRDefault="00402023" w:rsidP="00F1111E">
            <w:pPr>
              <w:pStyle w:val="zSoquijdatCabinetProcureurDem"/>
              <w:rPr>
                <w:szCs w:val="24"/>
              </w:rPr>
            </w:pPr>
            <w:r w:rsidRPr="00F1111E">
              <w:rPr>
                <w:rFonts w:eastAsiaTheme="minorHAnsi" w:cs="Arial"/>
                <w:color w:val="000000"/>
                <w:szCs w:val="24"/>
                <w:lang w:eastAsia="en-US"/>
              </w:rPr>
              <w:t>Me François Pariseau</w:t>
            </w:r>
          </w:p>
        </w:tc>
      </w:tr>
      <w:tr w:rsidR="008533B5" w14:paraId="1C405F6A" w14:textId="77777777" w:rsidTr="00906C3C">
        <w:trPr>
          <w:cantSplit/>
        </w:trPr>
        <w:tc>
          <w:tcPr>
            <w:tcW w:w="10072" w:type="dxa"/>
            <w:gridSpan w:val="3"/>
          </w:tcPr>
          <w:p w14:paraId="59F67CA2" w14:textId="77777777" w:rsidR="00F1111E" w:rsidRPr="00F1111E" w:rsidRDefault="00402023" w:rsidP="00F1111E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Cs w:val="24"/>
                <w:lang w:eastAsia="en-US"/>
              </w:rPr>
            </w:pPr>
            <w:r w:rsidRPr="00F1111E">
              <w:rPr>
                <w:rFonts w:eastAsiaTheme="minorHAnsi" w:cs="Arial"/>
                <w:color w:val="000000"/>
                <w:szCs w:val="24"/>
                <w:lang w:eastAsia="en-US"/>
              </w:rPr>
              <w:t xml:space="preserve">Me Guillaume Savard </w:t>
            </w:r>
          </w:p>
          <w:p w14:paraId="6018389A" w14:textId="77777777" w:rsidR="00121A72" w:rsidRPr="00F1111E" w:rsidRDefault="00402023" w:rsidP="00F1111E">
            <w:pPr>
              <w:pStyle w:val="zSoquijlblProcureurDem"/>
              <w:rPr>
                <w:szCs w:val="24"/>
              </w:rPr>
            </w:pPr>
            <w:r w:rsidRPr="00F1111E">
              <w:rPr>
                <w:szCs w:val="24"/>
                <w:shd w:val="clear" w:color="auto" w:fill="FFFFFF"/>
                <w:lang w:val="en-CA"/>
              </w:rPr>
              <w:t>SLATER VECCHIO LLP</w:t>
            </w:r>
          </w:p>
        </w:tc>
      </w:tr>
      <w:tr w:rsidR="008533B5" w14:paraId="47D9334C" w14:textId="77777777" w:rsidTr="00906C3C">
        <w:trPr>
          <w:cantSplit/>
        </w:trPr>
        <w:tc>
          <w:tcPr>
            <w:tcW w:w="10072" w:type="dxa"/>
            <w:gridSpan w:val="3"/>
          </w:tcPr>
          <w:p w14:paraId="6C991576" w14:textId="77777777" w:rsidR="00121A72" w:rsidRPr="00F1111E" w:rsidRDefault="00402023" w:rsidP="00D26929">
            <w:pPr>
              <w:rPr>
                <w:szCs w:val="24"/>
              </w:rPr>
            </w:pPr>
            <w:r w:rsidRPr="00F1111E">
              <w:rPr>
                <w:szCs w:val="24"/>
              </w:rPr>
              <w:t>Avocats du demandeur</w:t>
            </w:r>
          </w:p>
        </w:tc>
      </w:tr>
      <w:tr w:rsidR="008533B5" w14:paraId="5D63BEDC" w14:textId="77777777" w:rsidTr="00906C3C">
        <w:trPr>
          <w:cantSplit/>
        </w:trPr>
        <w:tc>
          <w:tcPr>
            <w:tcW w:w="10072" w:type="dxa"/>
            <w:gridSpan w:val="3"/>
          </w:tcPr>
          <w:p w14:paraId="7291C5F2" w14:textId="77777777" w:rsidR="00121A72" w:rsidRDefault="00121A72" w:rsidP="00D26929">
            <w:pPr>
              <w:pStyle w:val="zSoquijdatNomProcureurDef"/>
            </w:pPr>
          </w:p>
        </w:tc>
      </w:tr>
      <w:tr w:rsidR="008533B5" w14:paraId="0544EDA6" w14:textId="77777777" w:rsidTr="00906C3C">
        <w:trPr>
          <w:cantSplit/>
        </w:trPr>
        <w:tc>
          <w:tcPr>
            <w:tcW w:w="10072" w:type="dxa"/>
            <w:gridSpan w:val="3"/>
          </w:tcPr>
          <w:p w14:paraId="569DF821" w14:textId="77777777" w:rsidR="00121A72" w:rsidRPr="00F1111E" w:rsidRDefault="00402023" w:rsidP="00F1111E">
            <w:pPr>
              <w:rPr>
                <w:szCs w:val="24"/>
              </w:rPr>
            </w:pPr>
            <w:r w:rsidRPr="00F1111E">
              <w:rPr>
                <w:rFonts w:cs="Arial"/>
                <w:szCs w:val="24"/>
              </w:rPr>
              <w:t xml:space="preserve">Me Quentin Montpetit </w:t>
            </w:r>
          </w:p>
        </w:tc>
      </w:tr>
      <w:tr w:rsidR="008533B5" w14:paraId="62532201" w14:textId="77777777" w:rsidTr="00906C3C">
        <w:trPr>
          <w:cantSplit/>
        </w:trPr>
        <w:tc>
          <w:tcPr>
            <w:tcW w:w="10072" w:type="dxa"/>
            <w:gridSpan w:val="3"/>
          </w:tcPr>
          <w:p w14:paraId="405D9CBF" w14:textId="77777777" w:rsidR="00121A72" w:rsidRPr="00F1111E" w:rsidRDefault="00402023" w:rsidP="00F1111E">
            <w:pPr>
              <w:rPr>
                <w:szCs w:val="24"/>
              </w:rPr>
            </w:pPr>
            <w:r w:rsidRPr="00F1111E">
              <w:rPr>
                <w:szCs w:val="24"/>
              </w:rPr>
              <w:t>Me Alexandre Fallon</w:t>
            </w:r>
          </w:p>
        </w:tc>
      </w:tr>
      <w:tr w:rsidR="008533B5" w14:paraId="4E0AD01D" w14:textId="77777777" w:rsidTr="00906C3C">
        <w:trPr>
          <w:cantSplit/>
        </w:trPr>
        <w:tc>
          <w:tcPr>
            <w:tcW w:w="10072" w:type="dxa"/>
            <w:gridSpan w:val="3"/>
          </w:tcPr>
          <w:p w14:paraId="2A4C594E" w14:textId="77777777" w:rsidR="00F1111E" w:rsidRPr="00F1111E" w:rsidRDefault="00402023" w:rsidP="00F1111E">
            <w:pPr>
              <w:pStyle w:val="zSoquijlblProcureurDef"/>
              <w:rPr>
                <w:szCs w:val="24"/>
                <w:lang w:val="en-CA"/>
              </w:rPr>
            </w:pPr>
            <w:r w:rsidRPr="00F1111E">
              <w:rPr>
                <w:rFonts w:cs="Arial"/>
                <w:szCs w:val="24"/>
                <w:shd w:val="clear" w:color="auto" w:fill="FFFFFF"/>
                <w:lang w:val="en-CA"/>
              </w:rPr>
              <w:t>OSLER, HOSKIN &amp; HARCOURT, S.E.N.C.R.L./S.R.L.</w:t>
            </w:r>
          </w:p>
        </w:tc>
      </w:tr>
      <w:tr w:rsidR="008533B5" w14:paraId="716BDC2E" w14:textId="77777777" w:rsidTr="00906C3C">
        <w:trPr>
          <w:cantSplit/>
        </w:trPr>
        <w:tc>
          <w:tcPr>
            <w:tcW w:w="10072" w:type="dxa"/>
            <w:gridSpan w:val="3"/>
          </w:tcPr>
          <w:p w14:paraId="0FDECD04" w14:textId="77777777" w:rsidR="00F1111E" w:rsidRPr="00F1111E" w:rsidRDefault="00402023" w:rsidP="00F1111E">
            <w:pPr>
              <w:pStyle w:val="zSoquijlblProcureurDef"/>
              <w:rPr>
                <w:szCs w:val="24"/>
                <w:lang w:val="en-CA"/>
              </w:rPr>
            </w:pPr>
            <w:r w:rsidRPr="00F1111E">
              <w:rPr>
                <w:szCs w:val="24"/>
                <w:lang w:val="en-CA"/>
              </w:rPr>
              <w:t>Avocats des défenderesses</w:t>
            </w:r>
          </w:p>
        </w:tc>
      </w:tr>
      <w:tr w:rsidR="008533B5" w14:paraId="36D68458" w14:textId="77777777" w:rsidTr="00906C3C">
        <w:tc>
          <w:tcPr>
            <w:tcW w:w="10072" w:type="dxa"/>
            <w:gridSpan w:val="3"/>
          </w:tcPr>
          <w:p w14:paraId="51EAC6B9" w14:textId="77777777" w:rsidR="00121A72" w:rsidRPr="00F1111E" w:rsidRDefault="00121A72" w:rsidP="00D26929">
            <w:pPr>
              <w:rPr>
                <w:lang w:val="en-CA"/>
              </w:rPr>
            </w:pPr>
          </w:p>
        </w:tc>
      </w:tr>
      <w:tr w:rsidR="008533B5" w14:paraId="7B30E9C1" w14:textId="77777777" w:rsidTr="00906C3C">
        <w:tc>
          <w:tcPr>
            <w:tcW w:w="2764" w:type="dxa"/>
          </w:tcPr>
          <w:p w14:paraId="5E9FF557" w14:textId="77777777" w:rsidR="00121A72" w:rsidRDefault="00402023" w:rsidP="00D26929">
            <w:pPr>
              <w:pStyle w:val="zSoquijlblDateAudience"/>
            </w:pPr>
            <w:r>
              <w:t>Date d’audience :</w:t>
            </w:r>
          </w:p>
        </w:tc>
        <w:tc>
          <w:tcPr>
            <w:tcW w:w="7308" w:type="dxa"/>
            <w:gridSpan w:val="2"/>
          </w:tcPr>
          <w:p w14:paraId="3993EE7C" w14:textId="77777777" w:rsidR="00121A72" w:rsidRDefault="00402023" w:rsidP="00D26929">
            <w:pPr>
              <w:pStyle w:val="zSoquijdatDateAudience"/>
            </w:pPr>
            <w:r>
              <w:t>8 avril 2026</w:t>
            </w:r>
          </w:p>
        </w:tc>
      </w:tr>
    </w:tbl>
    <w:p w14:paraId="1E8481BC" w14:textId="77777777" w:rsidR="00BA153A" w:rsidRDefault="00BA153A" w:rsidP="00D26929"/>
    <w:p w14:paraId="5C71BD12" w14:textId="77777777" w:rsidR="00BA153A" w:rsidRDefault="00BA153A" w:rsidP="0039453E"/>
    <w:p w14:paraId="126F4916" w14:textId="77777777" w:rsidR="00121A72" w:rsidRDefault="00121A72" w:rsidP="00D26929"/>
    <w:sectPr w:rsidR="00121A72" w:rsidSect="00BC025F">
      <w:headerReference w:type="default" r:id="rId11"/>
      <w:footerReference w:type="even" r:id="rId12"/>
      <w:footnotePr>
        <w:numRestart w:val="eachSect"/>
      </w:footnotePr>
      <w:pgSz w:w="12242" w:h="15842" w:code="1"/>
      <w:pgMar w:top="1418" w:right="1009" w:bottom="1361" w:left="1871" w:header="1440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170F" w14:textId="77777777" w:rsidR="000412D1" w:rsidRDefault="00402023">
      <w:r>
        <w:separator/>
      </w:r>
    </w:p>
  </w:endnote>
  <w:endnote w:type="continuationSeparator" w:id="0">
    <w:p w14:paraId="383AB9C0" w14:textId="77777777" w:rsidR="000412D1" w:rsidRDefault="0040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5CEF" w14:textId="77777777" w:rsidR="00121A72" w:rsidRDefault="0040202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3B6EC67" w14:textId="77777777" w:rsidR="00121A72" w:rsidRDefault="00121A7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2C03" w14:textId="77777777" w:rsidR="00160374" w:rsidRDefault="00402023">
      <w:r>
        <w:separator/>
      </w:r>
    </w:p>
  </w:footnote>
  <w:footnote w:type="continuationSeparator" w:id="0">
    <w:p w14:paraId="3C0AF83C" w14:textId="77777777" w:rsidR="00160374" w:rsidRDefault="00402023">
      <w:r>
        <w:continuationSeparator/>
      </w:r>
    </w:p>
  </w:footnote>
  <w:footnote w:id="1">
    <w:p w14:paraId="6472CA8F" w14:textId="77777777" w:rsidR="007D5847" w:rsidRPr="00CF36D0" w:rsidRDefault="00402023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36D0">
        <w:rPr>
          <w:lang w:val="en-CA"/>
        </w:rPr>
        <w:t xml:space="preserve"> </w:t>
      </w:r>
      <w:r w:rsidR="00CF36D0" w:rsidRPr="00CF36D0">
        <w:rPr>
          <w:lang w:val="en-CA"/>
        </w:rPr>
        <w:tab/>
      </w:r>
      <w:r w:rsidR="00CF36D0" w:rsidRPr="00CF36D0">
        <w:rPr>
          <w:i/>
          <w:iCs/>
          <w:color w:val="000000"/>
          <w:lang w:val="en-CA"/>
        </w:rPr>
        <w:t>Amended Application for Authorization to Institute a Class action and Appoint Applicant as Class Representative</w:t>
      </w:r>
      <w:r w:rsidR="00CF36D0">
        <w:rPr>
          <w:color w:val="000000"/>
          <w:lang w:val="en-CA"/>
        </w:rPr>
        <w:t>, p</w:t>
      </w:r>
      <w:r w:rsidRPr="00CF36D0">
        <w:rPr>
          <w:lang w:val="en-CA"/>
        </w:rPr>
        <w:t>ar</w:t>
      </w:r>
      <w:r w:rsidR="00CF36D0">
        <w:rPr>
          <w:lang w:val="en-CA"/>
        </w:rPr>
        <w:t>.</w:t>
      </w:r>
      <w:r w:rsidRPr="00CF36D0">
        <w:rPr>
          <w:lang w:val="en-CA"/>
        </w:rPr>
        <w:t xml:space="preserve"> 5</w:t>
      </w:r>
      <w:r w:rsidR="00CF36D0">
        <w:rPr>
          <w:lang w:val="en-CA"/>
        </w:rPr>
        <w:t>.</w:t>
      </w:r>
    </w:p>
  </w:footnote>
  <w:footnote w:id="2">
    <w:p w14:paraId="22D1B960" w14:textId="77777777" w:rsidR="007D5847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CF36D0">
        <w:tab/>
      </w:r>
      <w:r w:rsidR="00CF36D0" w:rsidRPr="00CF36D0">
        <w:rPr>
          <w:i/>
          <w:iCs/>
        </w:rPr>
        <w:t>Id</w:t>
      </w:r>
      <w:r w:rsidR="00CF36D0">
        <w:t>., p</w:t>
      </w:r>
      <w:r>
        <w:t>ar</w:t>
      </w:r>
      <w:r w:rsidR="00CF36D0">
        <w:t>.</w:t>
      </w:r>
      <w:r>
        <w:t xml:space="preserve"> 5.1</w:t>
      </w:r>
      <w:r w:rsidR="00CF36D0">
        <w:t>.</w:t>
      </w:r>
    </w:p>
  </w:footnote>
  <w:footnote w:id="3">
    <w:p w14:paraId="62C16127" w14:textId="77777777" w:rsidR="002717E7" w:rsidRPr="00CF36D0" w:rsidRDefault="00402023">
      <w:pPr>
        <w:pStyle w:val="Notedebasdepage"/>
        <w:rPr>
          <w:rFonts w:cs="Arial"/>
        </w:rPr>
      </w:pPr>
      <w:r>
        <w:rPr>
          <w:rStyle w:val="Appelnotedebasdep"/>
        </w:rPr>
        <w:footnoteRef/>
      </w:r>
      <w:r>
        <w:t xml:space="preserve"> </w:t>
      </w:r>
      <w:r w:rsidR="00A37D7A">
        <w:tab/>
      </w:r>
      <w:r w:rsidR="00A37D7A" w:rsidRPr="00CF36D0">
        <w:rPr>
          <w:rFonts w:cs="Arial"/>
          <w:i/>
          <w:iCs/>
          <w:shd w:val="clear" w:color="auto" w:fill="FFFFFF"/>
        </w:rPr>
        <w:t>Loi sur la protection du consommateur</w:t>
      </w:r>
      <w:r w:rsidR="00A37D7A" w:rsidRPr="00CF36D0">
        <w:rPr>
          <w:rFonts w:cs="Arial"/>
          <w:shd w:val="clear" w:color="auto" w:fill="FFFFFF"/>
        </w:rPr>
        <w:t>,</w:t>
      </w:r>
      <w:r w:rsidR="00CF36D0">
        <w:rPr>
          <w:rFonts w:cs="Arial"/>
          <w:shd w:val="clear" w:color="auto" w:fill="FFFFFF"/>
        </w:rPr>
        <w:t xml:space="preserve"> </w:t>
      </w:r>
      <w:r w:rsidR="006777D7" w:rsidRPr="00CF36D0">
        <w:rPr>
          <w:rFonts w:cs="Arial"/>
          <w:shd w:val="clear" w:color="auto" w:fill="FFFFFF"/>
        </w:rPr>
        <w:t>R</w:t>
      </w:r>
      <w:r w:rsidR="00A37D7A" w:rsidRPr="00CF36D0">
        <w:rPr>
          <w:rFonts w:cs="Arial"/>
          <w:shd w:val="clear" w:color="auto" w:fill="FFFFFF"/>
        </w:rPr>
        <w:t>LRQ,</w:t>
      </w:r>
      <w:r w:rsidR="00724BAF" w:rsidRPr="00CF36D0">
        <w:rPr>
          <w:rFonts w:cs="Arial"/>
          <w:shd w:val="clear" w:color="auto" w:fill="FFFFFF"/>
        </w:rPr>
        <w:t xml:space="preserve"> </w:t>
      </w:r>
      <w:r w:rsidR="00A37D7A" w:rsidRPr="00CF36D0">
        <w:rPr>
          <w:rFonts w:cs="Arial"/>
          <w:shd w:val="clear" w:color="auto" w:fill="FFFFFF"/>
        </w:rPr>
        <w:t>c</w:t>
      </w:r>
      <w:r w:rsidR="00724BAF" w:rsidRPr="00CF36D0">
        <w:rPr>
          <w:rFonts w:cs="Arial"/>
          <w:shd w:val="clear" w:color="auto" w:fill="FFFFFF"/>
        </w:rPr>
        <w:t xml:space="preserve"> </w:t>
      </w:r>
      <w:r w:rsidR="00A37D7A" w:rsidRPr="00CF36D0">
        <w:rPr>
          <w:rFonts w:cs="Arial"/>
          <w:shd w:val="clear" w:color="auto" w:fill="FFFFFF"/>
        </w:rPr>
        <w:t>P-40</w:t>
      </w:r>
      <w:r w:rsidR="00724BAF" w:rsidRPr="00CF36D0">
        <w:rPr>
          <w:rFonts w:cs="Arial"/>
          <w:shd w:val="clear" w:color="auto" w:fill="FFFFFF"/>
        </w:rPr>
        <w:t>.1.</w:t>
      </w:r>
    </w:p>
  </w:footnote>
  <w:footnote w:id="4">
    <w:p w14:paraId="2FB907BC" w14:textId="77777777" w:rsidR="003B5966" w:rsidRDefault="00402023" w:rsidP="003B596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21894">
        <w:tab/>
      </w:r>
      <w:r>
        <w:t>Pièce P-8.</w:t>
      </w:r>
    </w:p>
  </w:footnote>
  <w:footnote w:id="5">
    <w:p w14:paraId="686A86B8" w14:textId="77777777" w:rsidR="00796175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21894">
        <w:tab/>
      </w:r>
      <w:bookmarkStart w:id="4" w:name="_Hlk228198616"/>
      <w:r>
        <w:t>Pièce</w:t>
      </w:r>
      <w:bookmarkEnd w:id="4"/>
      <w:r>
        <w:t xml:space="preserve"> P-11.</w:t>
      </w:r>
    </w:p>
  </w:footnote>
  <w:footnote w:id="6">
    <w:p w14:paraId="59BF2F5D" w14:textId="77777777" w:rsidR="005C5E9D" w:rsidRDefault="00402023" w:rsidP="005C5E9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21894">
        <w:tab/>
      </w:r>
      <w:r w:rsidR="006777D7">
        <w:t xml:space="preserve">Pièce </w:t>
      </w:r>
      <w:r>
        <w:t>P-19</w:t>
      </w:r>
      <w:r w:rsidR="00F1111E">
        <w:t>.</w:t>
      </w:r>
    </w:p>
  </w:footnote>
  <w:footnote w:id="7">
    <w:p w14:paraId="1688D98E" w14:textId="77777777" w:rsidR="00897B41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21894">
        <w:tab/>
      </w:r>
      <w:r w:rsidR="006777D7">
        <w:t xml:space="preserve">Pièce </w:t>
      </w:r>
      <w:r>
        <w:t>P-12</w:t>
      </w:r>
      <w:r w:rsidR="00F1111E">
        <w:t>.</w:t>
      </w:r>
    </w:p>
  </w:footnote>
  <w:footnote w:id="8">
    <w:p w14:paraId="1B0EDD1A" w14:textId="77777777" w:rsidR="00897B41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21894">
        <w:tab/>
      </w:r>
      <w:r w:rsidR="006777D7">
        <w:t xml:space="preserve">Pièce </w:t>
      </w:r>
      <w:r>
        <w:t>P-13</w:t>
      </w:r>
      <w:r w:rsidR="00F1111E">
        <w:t>.</w:t>
      </w:r>
    </w:p>
  </w:footnote>
  <w:footnote w:id="9">
    <w:p w14:paraId="2444F0FC" w14:textId="77777777" w:rsidR="002639C5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6777D7">
        <w:tab/>
        <w:t xml:space="preserve">Pièces </w:t>
      </w:r>
      <w:r>
        <w:t>P-14</w:t>
      </w:r>
      <w:r w:rsidR="00F1111E">
        <w:t>, P</w:t>
      </w:r>
      <w:r>
        <w:t>-15</w:t>
      </w:r>
      <w:r w:rsidR="00F1111E">
        <w:t xml:space="preserve"> et P</w:t>
      </w:r>
      <w:r>
        <w:t>-16</w:t>
      </w:r>
      <w:r w:rsidR="00F1111E">
        <w:t>.</w:t>
      </w:r>
    </w:p>
  </w:footnote>
  <w:footnote w:id="10">
    <w:p w14:paraId="03DDB26A" w14:textId="77777777" w:rsidR="0058385B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6777D7">
        <w:tab/>
        <w:t xml:space="preserve">Pièce </w:t>
      </w:r>
      <w:r>
        <w:t>P-20</w:t>
      </w:r>
      <w:r w:rsidR="006777D7">
        <w:t>.</w:t>
      </w:r>
    </w:p>
  </w:footnote>
  <w:footnote w:id="11">
    <w:p w14:paraId="6B124F31" w14:textId="77777777" w:rsidR="00FB0C1A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1111E">
        <w:tab/>
        <w:t xml:space="preserve">Pièce </w:t>
      </w:r>
      <w:r>
        <w:t>P-21</w:t>
      </w:r>
      <w:r w:rsidR="00F1111E">
        <w:t>.</w:t>
      </w:r>
    </w:p>
  </w:footnote>
  <w:footnote w:id="12">
    <w:p w14:paraId="3874FDF7" w14:textId="77777777" w:rsidR="00480082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1111E">
        <w:tab/>
        <w:t xml:space="preserve">Pièce </w:t>
      </w:r>
      <w:r>
        <w:t>P-22</w:t>
      </w:r>
      <w:r w:rsidR="00985F22">
        <w:t>.</w:t>
      </w:r>
    </w:p>
  </w:footnote>
  <w:footnote w:id="13">
    <w:p w14:paraId="7B3FCD9C" w14:textId="77777777" w:rsidR="0002301E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1111E">
        <w:tab/>
      </w:r>
      <w:r w:rsidR="00F1111E" w:rsidRPr="00F1111E">
        <w:rPr>
          <w:i/>
          <w:iCs/>
        </w:rPr>
        <w:t>Id</w:t>
      </w:r>
      <w:r w:rsidR="00F1111E">
        <w:t>.</w:t>
      </w:r>
    </w:p>
  </w:footnote>
  <w:footnote w:id="14">
    <w:p w14:paraId="59BFD48E" w14:textId="77777777" w:rsidR="00201828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1111E">
        <w:tab/>
      </w:r>
      <w:r>
        <w:t xml:space="preserve">Pièces AMZ-2 </w:t>
      </w:r>
      <w:r w:rsidR="00242D06">
        <w:t xml:space="preserve">et AMZ-4 </w:t>
      </w:r>
      <w:r>
        <w:t xml:space="preserve">à </w:t>
      </w:r>
      <w:r w:rsidR="00F1111E">
        <w:t>AMZ-</w:t>
      </w:r>
      <w:r>
        <w:t>54.</w:t>
      </w:r>
    </w:p>
  </w:footnote>
  <w:footnote w:id="15">
    <w:p w14:paraId="2F4A213B" w14:textId="77777777" w:rsidR="00C64C8E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1111E">
        <w:tab/>
      </w:r>
      <w:r>
        <w:t>Pièces AMZ-</w:t>
      </w:r>
      <w:r w:rsidRPr="003A295B">
        <w:t>4</w:t>
      </w:r>
      <w:r w:rsidR="00F1111E">
        <w:t>, AMZ</w:t>
      </w:r>
      <w:r w:rsidRPr="003A295B">
        <w:t>-5</w:t>
      </w:r>
      <w:r w:rsidR="00F1111E">
        <w:t>, AMZ</w:t>
      </w:r>
      <w:r w:rsidRPr="003A295B">
        <w:t>-6</w:t>
      </w:r>
      <w:r w:rsidR="00F1111E">
        <w:t>, AMZ</w:t>
      </w:r>
      <w:r w:rsidRPr="003A295B">
        <w:t>-7</w:t>
      </w:r>
      <w:r w:rsidR="00F1111E">
        <w:t>, AMZ</w:t>
      </w:r>
      <w:r w:rsidRPr="003A295B">
        <w:t>-</w:t>
      </w:r>
      <w:r w:rsidR="003A295B">
        <w:t>8</w:t>
      </w:r>
      <w:r w:rsidR="00F1111E">
        <w:t xml:space="preserve"> et AMZ</w:t>
      </w:r>
      <w:r w:rsidR="003A295B">
        <w:t>-9</w:t>
      </w:r>
      <w:r w:rsidR="00F1111E">
        <w:t>.</w:t>
      </w:r>
    </w:p>
  </w:footnote>
  <w:footnote w:id="16">
    <w:p w14:paraId="49E99F83" w14:textId="77777777" w:rsidR="002054AF" w:rsidRPr="00FC081F" w:rsidRDefault="00402023" w:rsidP="002054AF">
      <w:pPr>
        <w:pStyle w:val="Notedebasdepage"/>
        <w:rPr>
          <w:lang w:val="en-CA"/>
        </w:rPr>
      </w:pPr>
      <w:r>
        <w:rPr>
          <w:rStyle w:val="Appelnotedebasdep"/>
          <w:rFonts w:eastAsia="Calibri"/>
        </w:rPr>
        <w:footnoteRef/>
      </w:r>
      <w:r w:rsidRPr="00FC081F">
        <w:rPr>
          <w:lang w:val="en-CA"/>
        </w:rPr>
        <w:t xml:space="preserve"> </w:t>
      </w:r>
      <w:r>
        <w:rPr>
          <w:lang w:val="en-CA"/>
        </w:rPr>
        <w:tab/>
      </w:r>
      <w:r w:rsidRPr="00FC081F">
        <w:rPr>
          <w:rFonts w:cs="Arial"/>
          <w:i/>
          <w:iCs/>
          <w:lang w:val="en-CA"/>
        </w:rPr>
        <w:t xml:space="preserve">Royer </w:t>
      </w:r>
      <w:r w:rsidRPr="00FC081F">
        <w:rPr>
          <w:rFonts w:cs="Arial"/>
          <w:lang w:val="en-CA"/>
        </w:rPr>
        <w:t>c.</w:t>
      </w:r>
      <w:r w:rsidRPr="00FC081F">
        <w:rPr>
          <w:rFonts w:cs="Arial"/>
          <w:i/>
          <w:iCs/>
          <w:lang w:val="en-CA"/>
        </w:rPr>
        <w:t xml:space="preserve"> Capital One Bank Canada Branch</w:t>
      </w:r>
      <w:r w:rsidRPr="006853D0">
        <w:rPr>
          <w:rFonts w:cs="Arial"/>
          <w:i/>
          <w:iCs/>
          <w:lang w:val="en-CA"/>
        </w:rPr>
        <w:t>)</w:t>
      </w:r>
      <w:r w:rsidRPr="006853D0">
        <w:rPr>
          <w:rFonts w:cs="Arial"/>
          <w:lang w:val="en-CA"/>
        </w:rPr>
        <w:t xml:space="preserve">, </w:t>
      </w:r>
      <w:r w:rsidRPr="006853D0">
        <w:rPr>
          <w:rStyle w:val="Hyperlien"/>
          <w:rFonts w:cs="Arial"/>
          <w:color w:val="auto"/>
          <w:u w:val="none"/>
          <w:lang w:val="en-CA"/>
        </w:rPr>
        <w:t>2025 QCCA 217, (</w:t>
      </w:r>
      <w:r w:rsidRPr="004F5EC3">
        <w:rPr>
          <w:lang w:val="en-CA"/>
        </w:rPr>
        <w:t>«</w:t>
      </w:r>
      <w:r w:rsidRPr="00866BA8">
        <w:rPr>
          <w:b/>
          <w:bCs/>
          <w:lang w:val="en-CA"/>
        </w:rPr>
        <w:t> </w:t>
      </w:r>
      <w:r w:rsidRPr="006853D0">
        <w:rPr>
          <w:rStyle w:val="Hyperlien"/>
          <w:rFonts w:cs="Arial"/>
          <w:b/>
          <w:bCs/>
          <w:i/>
          <w:iCs/>
          <w:color w:val="auto"/>
          <w:u w:val="none"/>
          <w:lang w:val="en-CA"/>
        </w:rPr>
        <w:t>Royer</w:t>
      </w:r>
      <w:r>
        <w:rPr>
          <w:rStyle w:val="Hyperlien"/>
          <w:rFonts w:cs="Arial"/>
          <w:b/>
          <w:bCs/>
          <w:i/>
          <w:iCs/>
          <w:color w:val="auto"/>
          <w:u w:val="none"/>
          <w:lang w:val="en-CA"/>
        </w:rPr>
        <w:t> </w:t>
      </w:r>
      <w:r w:rsidRPr="004F5EC3">
        <w:rPr>
          <w:lang w:val="en-CA"/>
        </w:rPr>
        <w:t>»</w:t>
      </w:r>
      <w:r w:rsidRPr="006853D0">
        <w:rPr>
          <w:rStyle w:val="Hyperlien"/>
          <w:rFonts w:cs="Arial"/>
          <w:color w:val="auto"/>
          <w:u w:val="none"/>
          <w:lang w:val="en-CA"/>
        </w:rPr>
        <w:t>), par. 23.</w:t>
      </w:r>
    </w:p>
  </w:footnote>
  <w:footnote w:id="17">
    <w:p w14:paraId="22993E95" w14:textId="77777777" w:rsidR="005E3110" w:rsidRDefault="00402023" w:rsidP="005E3110">
      <w:pPr>
        <w:pStyle w:val="Notedebasdepage"/>
      </w:pPr>
      <w:r w:rsidRPr="000F387D">
        <w:rPr>
          <w:rStyle w:val="Appelnotedebasdep"/>
          <w:rFonts w:cs="Arial"/>
        </w:rPr>
        <w:footnoteRef/>
      </w:r>
      <w:r w:rsidRPr="000F387D">
        <w:rPr>
          <w:rFonts w:cs="Arial"/>
        </w:rPr>
        <w:t xml:space="preserve"> </w:t>
      </w:r>
      <w:r w:rsidRPr="000F387D">
        <w:rPr>
          <w:rFonts w:cs="Arial"/>
        </w:rPr>
        <w:tab/>
      </w:r>
      <w:r w:rsidRPr="002909DF">
        <w:rPr>
          <w:rFonts w:cs="Arial"/>
          <w:i/>
          <w:iCs/>
        </w:rPr>
        <w:t>T</w:t>
      </w:r>
      <w:r w:rsidRPr="000F387D">
        <w:rPr>
          <w:rFonts w:cs="Arial"/>
          <w:i/>
          <w:iCs/>
        </w:rPr>
        <w:t>essier </w:t>
      </w:r>
      <w:r w:rsidRPr="000F387D">
        <w:rPr>
          <w:rFonts w:cs="Arial"/>
        </w:rPr>
        <w:t>c. </w:t>
      </w:r>
      <w:r w:rsidRPr="000F387D">
        <w:rPr>
          <w:rFonts w:cs="Arial"/>
          <w:i/>
          <w:iCs/>
        </w:rPr>
        <w:t>Economical, compagnie mutuelle d’assurance</w:t>
      </w:r>
      <w:r w:rsidRPr="000F387D">
        <w:rPr>
          <w:rFonts w:cs="Arial"/>
        </w:rPr>
        <w:t>, </w:t>
      </w:r>
      <w:r w:rsidRPr="000F387D">
        <w:rPr>
          <w:rStyle w:val="Hyperlien"/>
          <w:rFonts w:cs="Arial"/>
          <w:color w:val="auto"/>
          <w:u w:val="none"/>
        </w:rPr>
        <w:t>2023 QCCA 688</w:t>
      </w:r>
      <w:r w:rsidRPr="000F387D">
        <w:t>,</w:t>
      </w:r>
      <w:r w:rsidRPr="006040AF">
        <w:t xml:space="preserve"> (</w:t>
      </w:r>
      <w:bookmarkStart w:id="6" w:name="_Hlk204843591"/>
      <w:r w:rsidRPr="004F5EC3">
        <w:t>«</w:t>
      </w:r>
      <w:bookmarkEnd w:id="6"/>
      <w:r w:rsidRPr="004F5EC3">
        <w:t> </w:t>
      </w:r>
      <w:r w:rsidRPr="006040AF">
        <w:rPr>
          <w:b/>
          <w:bCs/>
          <w:i/>
          <w:iCs/>
        </w:rPr>
        <w:t>Tessier</w:t>
      </w:r>
      <w:r w:rsidRPr="004F5EC3">
        <w:rPr>
          <w:i/>
          <w:iCs/>
        </w:rPr>
        <w:t> </w:t>
      </w:r>
      <w:bookmarkStart w:id="7" w:name="_Hlk204843606"/>
      <w:r w:rsidRPr="004F5EC3">
        <w:t>»</w:t>
      </w:r>
      <w:bookmarkEnd w:id="7"/>
      <w:r w:rsidRPr="004F5EC3">
        <w:t xml:space="preserve">), </w:t>
      </w:r>
      <w:r w:rsidRPr="006040AF">
        <w:t xml:space="preserve">par. 27, </w:t>
      </w:r>
      <w:r w:rsidRPr="00B84C91">
        <w:t>citant </w:t>
      </w:r>
      <w:bookmarkStart w:id="8" w:name="_Hlk204850254"/>
      <w:r w:rsidRPr="00B84C91">
        <w:rPr>
          <w:i/>
          <w:iCs/>
        </w:rPr>
        <w:t>L’</w:t>
      </w:r>
      <w:r w:rsidRPr="006040AF">
        <w:rPr>
          <w:i/>
          <w:iCs/>
        </w:rPr>
        <w:t>Oratoire Saint</w:t>
      </w:r>
      <w:r w:rsidRPr="006040AF">
        <w:rPr>
          <w:i/>
          <w:iCs/>
        </w:rPr>
        <w:noBreakHyphen/>
        <w:t>Joseph du Mont</w:t>
      </w:r>
      <w:r w:rsidRPr="006040AF">
        <w:rPr>
          <w:i/>
          <w:iCs/>
        </w:rPr>
        <w:noBreakHyphen/>
        <w:t>Royal </w:t>
      </w:r>
      <w:r w:rsidRPr="006040AF">
        <w:t>c. </w:t>
      </w:r>
      <w:r w:rsidRPr="006040AF">
        <w:rPr>
          <w:i/>
          <w:iCs/>
        </w:rPr>
        <w:t>J.J</w:t>
      </w:r>
      <w:bookmarkEnd w:id="8"/>
      <w:r w:rsidRPr="006040AF">
        <w:rPr>
          <w:i/>
          <w:iCs/>
        </w:rPr>
        <w:t>.</w:t>
      </w:r>
      <w:r w:rsidRPr="006040AF">
        <w:t>, </w:t>
      </w:r>
      <w:r w:rsidRPr="00B84C91">
        <w:rPr>
          <w:rStyle w:val="Hyperlien"/>
          <w:color w:val="auto"/>
          <w:u w:val="none"/>
        </w:rPr>
        <w:t>2019 CSC 35</w:t>
      </w:r>
      <w:r w:rsidRPr="00B84C91">
        <w:t xml:space="preserve">, </w:t>
      </w:r>
      <w:r w:rsidRPr="006040AF">
        <w:t xml:space="preserve">[2019] 2 RCS 831, </w:t>
      </w:r>
      <w:r w:rsidR="002A1FBE" w:rsidRPr="006040AF">
        <w:t>(</w:t>
      </w:r>
      <w:r w:rsidR="002A1FBE" w:rsidRPr="004F5EC3">
        <w:t>« </w:t>
      </w:r>
      <w:r w:rsidR="002A1FBE" w:rsidRPr="002A1FBE">
        <w:rPr>
          <w:b/>
          <w:bCs/>
          <w:i/>
          <w:iCs/>
        </w:rPr>
        <w:t>L’Oratoire Saint</w:t>
      </w:r>
      <w:r w:rsidR="002A1FBE" w:rsidRPr="002A1FBE">
        <w:rPr>
          <w:b/>
          <w:bCs/>
          <w:i/>
          <w:iCs/>
        </w:rPr>
        <w:noBreakHyphen/>
        <w:t>Joseph</w:t>
      </w:r>
      <w:r w:rsidR="002A1FBE" w:rsidRPr="004F5EC3">
        <w:rPr>
          <w:i/>
          <w:iCs/>
        </w:rPr>
        <w:t> </w:t>
      </w:r>
      <w:r w:rsidR="002A1FBE" w:rsidRPr="004F5EC3">
        <w:t>»),</w:t>
      </w:r>
      <w:r w:rsidR="002A1FBE">
        <w:t xml:space="preserve"> </w:t>
      </w:r>
      <w:r w:rsidRPr="006040AF">
        <w:t>par. 59 et 60.</w:t>
      </w:r>
    </w:p>
  </w:footnote>
  <w:footnote w:id="18">
    <w:p w14:paraId="6C02935F" w14:textId="77777777" w:rsidR="00B360A8" w:rsidRDefault="0040202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1111E">
        <w:tab/>
      </w:r>
      <w:r w:rsidRPr="002B18CF">
        <w:rPr>
          <w:i/>
          <w:iCs/>
        </w:rPr>
        <w:t xml:space="preserve">Infineon Technologies AG </w:t>
      </w:r>
      <w:r w:rsidRPr="002B18CF">
        <w:t>v.</w:t>
      </w:r>
      <w:r w:rsidRPr="002B18CF">
        <w:rPr>
          <w:i/>
          <w:iCs/>
        </w:rPr>
        <w:t xml:space="preserve"> Option consommateurs</w:t>
      </w:r>
      <w:r w:rsidRPr="002B18CF">
        <w:t>, 2013 SCC 59, par</w:t>
      </w:r>
      <w:r w:rsidR="002B18CF" w:rsidRPr="002B18CF">
        <w:t>.</w:t>
      </w:r>
      <w:r w:rsidRPr="002B18CF">
        <w:t xml:space="preserve"> 134 </w:t>
      </w:r>
      <w:r w:rsidR="002B18CF" w:rsidRPr="002B18CF">
        <w:t>(« </w:t>
      </w:r>
      <w:r w:rsidRPr="002B18CF">
        <w:rPr>
          <w:b/>
          <w:bCs/>
          <w:i/>
          <w:iCs/>
        </w:rPr>
        <w:t>Infineon</w:t>
      </w:r>
      <w:r w:rsidR="002B18CF" w:rsidRPr="002B18CF">
        <w:rPr>
          <w:i/>
          <w:iCs/>
        </w:rPr>
        <w:t> </w:t>
      </w:r>
      <w:r w:rsidR="002B18CF" w:rsidRPr="002B18CF">
        <w:t>»)</w:t>
      </w:r>
      <w:r w:rsidRPr="002B18CF">
        <w:t>.</w:t>
      </w:r>
    </w:p>
  </w:footnote>
  <w:footnote w:id="19">
    <w:p w14:paraId="39DC9B06" w14:textId="77777777" w:rsidR="005E3110" w:rsidRPr="007A3998" w:rsidRDefault="00402023" w:rsidP="005E3110">
      <w:pPr>
        <w:pStyle w:val="Notedebasdepage"/>
      </w:pPr>
      <w:r>
        <w:rPr>
          <w:rStyle w:val="Appelnotedebasdep"/>
        </w:rPr>
        <w:footnoteRef/>
      </w:r>
      <w:r w:rsidRPr="002A1FBE">
        <w:t xml:space="preserve"> </w:t>
      </w:r>
      <w:r w:rsidRPr="002A1FBE">
        <w:tab/>
      </w:r>
      <w:r w:rsidRPr="002A1FBE">
        <w:rPr>
          <w:i/>
          <w:iCs/>
        </w:rPr>
        <w:t>Royer</w:t>
      </w:r>
      <w:r w:rsidR="00985F22">
        <w:t>, préc., note 16</w:t>
      </w:r>
      <w:r w:rsidR="002B18CF" w:rsidRPr="002A1FBE">
        <w:t>,</w:t>
      </w:r>
      <w:r w:rsidRPr="002A1FBE">
        <w:t xml:space="preserve"> par. 24</w:t>
      </w:r>
      <w:r w:rsidR="002B18CF" w:rsidRPr="002A1FBE">
        <w:t>;</w:t>
      </w:r>
      <w:r w:rsidR="006E32D2" w:rsidRPr="002A1FBE">
        <w:t xml:space="preserve"> </w:t>
      </w:r>
      <w:r w:rsidR="006E32D2" w:rsidRPr="002A1FBE">
        <w:rPr>
          <w:i/>
          <w:iCs/>
        </w:rPr>
        <w:t>Homsy</w:t>
      </w:r>
      <w:r w:rsidR="006E32D2">
        <w:t xml:space="preserve"> </w:t>
      </w:r>
      <w:r w:rsidR="002A1FBE">
        <w:t xml:space="preserve">c. </w:t>
      </w:r>
      <w:r w:rsidR="002A1FBE" w:rsidRPr="002A1FBE">
        <w:rPr>
          <w:i/>
          <w:iCs/>
        </w:rPr>
        <w:t>Google</w:t>
      </w:r>
      <w:r w:rsidR="002A1FBE">
        <w:t xml:space="preserve">, </w:t>
      </w:r>
      <w:r w:rsidR="006E32D2">
        <w:t>2023 QCCA 1220, par</w:t>
      </w:r>
      <w:r w:rsidR="002A1FBE">
        <w:t>.</w:t>
      </w:r>
      <w:r w:rsidR="006E32D2">
        <w:t xml:space="preserve"> 17.</w:t>
      </w:r>
    </w:p>
  </w:footnote>
  <w:footnote w:id="20">
    <w:p w14:paraId="5F34043A" w14:textId="77777777" w:rsidR="00E7259F" w:rsidRDefault="00402023" w:rsidP="00E7259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B84C91">
        <w:rPr>
          <w:i/>
          <w:iCs/>
        </w:rPr>
        <w:t>L’</w:t>
      </w:r>
      <w:r w:rsidRPr="006040AF">
        <w:rPr>
          <w:i/>
          <w:iCs/>
        </w:rPr>
        <w:t>Oratoire Saint</w:t>
      </w:r>
      <w:r w:rsidRPr="006040AF">
        <w:rPr>
          <w:i/>
          <w:iCs/>
        </w:rPr>
        <w:noBreakHyphen/>
        <w:t>Joseph</w:t>
      </w:r>
      <w:r w:rsidR="002A1FBE" w:rsidRPr="002A1FBE">
        <w:t>,</w:t>
      </w:r>
      <w:r w:rsidRPr="006040AF">
        <w:rPr>
          <w:i/>
          <w:iCs/>
        </w:rPr>
        <w:t xml:space="preserve"> </w:t>
      </w:r>
      <w:r w:rsidR="002A1FBE" w:rsidRPr="00131002">
        <w:t>préc., note 1</w:t>
      </w:r>
      <w:r w:rsidR="00131002" w:rsidRPr="00131002">
        <w:t>7</w:t>
      </w:r>
      <w:r w:rsidRPr="004802BD">
        <w:rPr>
          <w:rFonts w:cs="Arial"/>
        </w:rPr>
        <w:t>,</w:t>
      </w:r>
      <w:r w:rsidRPr="004802BD">
        <w:t xml:space="preserve"> </w:t>
      </w:r>
      <w:r w:rsidRPr="005A55AD">
        <w:t>par. 55.</w:t>
      </w:r>
    </w:p>
  </w:footnote>
  <w:footnote w:id="21">
    <w:p w14:paraId="6993171C" w14:textId="77777777" w:rsidR="00787F35" w:rsidRDefault="00402023" w:rsidP="00787F3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6040AF">
        <w:rPr>
          <w:i/>
          <w:iCs/>
        </w:rPr>
        <w:t>Davies</w:t>
      </w:r>
      <w:r w:rsidRPr="006040AF">
        <w:t> c. </w:t>
      </w:r>
      <w:r w:rsidRPr="006040AF">
        <w:rPr>
          <w:i/>
          <w:iCs/>
        </w:rPr>
        <w:t>Air Canada</w:t>
      </w:r>
      <w:r w:rsidRPr="006040AF">
        <w:t>, </w:t>
      </w:r>
      <w:r w:rsidRPr="00862B1F">
        <w:rPr>
          <w:rStyle w:val="Hyperlien"/>
          <w:color w:val="auto"/>
          <w:u w:val="none"/>
        </w:rPr>
        <w:t>2022 QCCA 1551</w:t>
      </w:r>
      <w:r w:rsidRPr="00862B1F">
        <w:t>, par. </w:t>
      </w:r>
      <w:r w:rsidRPr="00862B1F">
        <w:rPr>
          <w:rStyle w:val="Hyperlien"/>
          <w:color w:val="auto"/>
          <w:u w:val="none"/>
        </w:rPr>
        <w:t>16 et 30</w:t>
      </w:r>
      <w:r w:rsidRPr="00862B1F">
        <w:t>. Voir également </w:t>
      </w:r>
      <w:r w:rsidRPr="00862B1F">
        <w:rPr>
          <w:i/>
          <w:iCs/>
        </w:rPr>
        <w:t>Benjamin </w:t>
      </w:r>
      <w:r w:rsidRPr="00862B1F">
        <w:t>c. </w:t>
      </w:r>
      <w:r w:rsidRPr="00862B1F">
        <w:rPr>
          <w:i/>
          <w:iCs/>
        </w:rPr>
        <w:t>Crédit VW Canada inc</w:t>
      </w:r>
      <w:r w:rsidRPr="00862B1F">
        <w:t>, </w:t>
      </w:r>
      <w:r w:rsidRPr="00862B1F">
        <w:rPr>
          <w:rStyle w:val="Hyperlien"/>
          <w:color w:val="auto"/>
          <w:u w:val="none"/>
        </w:rPr>
        <w:t>2022 QCCA 1383</w:t>
      </w:r>
      <w:r w:rsidRPr="00862B1F">
        <w:t>, par. </w:t>
      </w:r>
      <w:r w:rsidRPr="00862B1F">
        <w:rPr>
          <w:rStyle w:val="Hyperlien"/>
          <w:color w:val="auto"/>
          <w:u w:val="none"/>
        </w:rPr>
        <w:t>45 et 46</w:t>
      </w:r>
      <w:r>
        <w:t xml:space="preserve">; </w:t>
      </w:r>
      <w:r w:rsidRPr="00F312AF">
        <w:rPr>
          <w:rFonts w:cs="Arial"/>
          <w:i/>
          <w:iCs/>
          <w:shd w:val="clear" w:color="auto" w:fill="FFFFFF"/>
        </w:rPr>
        <w:t xml:space="preserve">Gauthier </w:t>
      </w:r>
      <w:r w:rsidRPr="00F312AF">
        <w:rPr>
          <w:rFonts w:cs="Arial"/>
          <w:shd w:val="clear" w:color="auto" w:fill="FFFFFF"/>
        </w:rPr>
        <w:t>c.</w:t>
      </w:r>
      <w:r w:rsidRPr="00F312AF">
        <w:rPr>
          <w:rFonts w:cs="Arial"/>
          <w:i/>
          <w:iCs/>
          <w:shd w:val="clear" w:color="auto" w:fill="FFFFFF"/>
        </w:rPr>
        <w:t xml:space="preserve"> Bombardier inc</w:t>
      </w:r>
      <w:r w:rsidRPr="00F312AF">
        <w:rPr>
          <w:rFonts w:cs="Arial"/>
          <w:shd w:val="clear" w:color="auto" w:fill="FFFFFF"/>
        </w:rPr>
        <w:t>., 2026 QCCA 148.</w:t>
      </w:r>
    </w:p>
    <w:p w14:paraId="4AEA788B" w14:textId="77777777" w:rsidR="00E7259F" w:rsidRDefault="00E7259F" w:rsidP="00E7259F">
      <w:pPr>
        <w:pStyle w:val="Notedebasdepage"/>
      </w:pPr>
    </w:p>
  </w:footnote>
  <w:footnote w:id="22">
    <w:p w14:paraId="201F5180" w14:textId="77777777" w:rsidR="00C25632" w:rsidRDefault="00402023" w:rsidP="00C2563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C00C8A">
        <w:rPr>
          <w:i/>
          <w:iCs/>
        </w:rPr>
        <w:t>Tessier</w:t>
      </w:r>
      <w:r>
        <w:t xml:space="preserve">, </w:t>
      </w:r>
      <w:r w:rsidRPr="00985F22">
        <w:t>préc.</w:t>
      </w:r>
      <w:r w:rsidRPr="000955C6">
        <w:t xml:space="preserve">, </w:t>
      </w:r>
      <w:r w:rsidRPr="00443473">
        <w:t xml:space="preserve">note </w:t>
      </w:r>
      <w:r w:rsidR="002A1FBE" w:rsidRPr="00443473">
        <w:t>1</w:t>
      </w:r>
      <w:r w:rsidR="00443473" w:rsidRPr="00443473">
        <w:t>7</w:t>
      </w:r>
      <w:r>
        <w:t>, par. 26</w:t>
      </w:r>
      <w:r w:rsidR="002A1FBE">
        <w:t xml:space="preserve"> et </w:t>
      </w:r>
      <w:r w:rsidR="005E6DE2">
        <w:t>28.</w:t>
      </w:r>
    </w:p>
  </w:footnote>
  <w:footnote w:id="23">
    <w:p w14:paraId="6C866FA4" w14:textId="77777777" w:rsidR="00C25632" w:rsidRDefault="00402023" w:rsidP="00C2563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E9197B" w:rsidRPr="00C35CAF">
        <w:rPr>
          <w:i/>
          <w:iCs/>
        </w:rPr>
        <w:t>Id</w:t>
      </w:r>
      <w:r w:rsidR="00E9197B">
        <w:t>.</w:t>
      </w:r>
      <w:r w:rsidRPr="00E13C60">
        <w:t>, par</w:t>
      </w:r>
      <w:r>
        <w:t>. 28.</w:t>
      </w:r>
    </w:p>
  </w:footnote>
  <w:footnote w:id="24">
    <w:p w14:paraId="7C75E61A" w14:textId="77777777" w:rsidR="00B5782A" w:rsidRDefault="00402023" w:rsidP="00B5782A">
      <w:pPr>
        <w:pStyle w:val="Notedebasdepage"/>
      </w:pPr>
      <w:r w:rsidRPr="00C85D28">
        <w:rPr>
          <w:rStyle w:val="Appelnotedebasdep"/>
        </w:rPr>
        <w:footnoteRef/>
      </w:r>
      <w:r>
        <w:t xml:space="preserve"> </w:t>
      </w:r>
      <w:r>
        <w:tab/>
      </w:r>
      <w:r w:rsidRPr="00C35CAF">
        <w:rPr>
          <w:i/>
          <w:iCs/>
        </w:rPr>
        <w:t>Id</w:t>
      </w:r>
      <w:r>
        <w:t>., par. 29.</w:t>
      </w:r>
    </w:p>
  </w:footnote>
  <w:footnote w:id="25">
    <w:p w14:paraId="520979A4" w14:textId="77777777" w:rsidR="00B5782A" w:rsidRDefault="00402023" w:rsidP="00B5782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678AC">
        <w:tab/>
      </w:r>
      <w:r w:rsidRPr="00882D42">
        <w:rPr>
          <w:rStyle w:val="Hyperlien"/>
          <w:rFonts w:cs="Arial"/>
          <w:i/>
          <w:iCs/>
          <w:color w:val="auto"/>
          <w:u w:val="none"/>
          <w:shd w:val="clear" w:color="auto" w:fill="FFFFFF"/>
        </w:rPr>
        <w:t>Infineon</w:t>
      </w:r>
      <w:r w:rsidRPr="00882D42">
        <w:rPr>
          <w:rFonts w:cs="Arial"/>
          <w:shd w:val="clear" w:color="auto" w:fill="FFFFFF"/>
        </w:rPr>
        <w:t>, </w:t>
      </w:r>
      <w:r w:rsidR="002A1FBE" w:rsidRPr="002B2977">
        <w:rPr>
          <w:rStyle w:val="reference"/>
          <w:rFonts w:cs="Arial"/>
          <w:shd w:val="clear" w:color="auto" w:fill="FFFFFF"/>
        </w:rPr>
        <w:t>préc., note 1</w:t>
      </w:r>
      <w:r w:rsidR="002B2977" w:rsidRPr="002B2977">
        <w:rPr>
          <w:rStyle w:val="reference"/>
          <w:rFonts w:cs="Arial"/>
          <w:shd w:val="clear" w:color="auto" w:fill="FFFFFF"/>
        </w:rPr>
        <w:t>8</w:t>
      </w:r>
      <w:r w:rsidRPr="002B2977">
        <w:rPr>
          <w:rStyle w:val="reference"/>
          <w:rFonts w:cs="Arial"/>
          <w:shd w:val="clear" w:color="auto" w:fill="FFFFFF"/>
        </w:rPr>
        <w:t>,</w:t>
      </w:r>
      <w:r w:rsidRPr="001C00E5">
        <w:rPr>
          <w:rStyle w:val="reference"/>
          <w:rFonts w:cs="Arial"/>
          <w:shd w:val="clear" w:color="auto" w:fill="FFFFFF"/>
        </w:rPr>
        <w:t xml:space="preserve"> </w:t>
      </w:r>
      <w:r w:rsidRPr="001C00E5">
        <w:rPr>
          <w:rFonts w:cs="Arial"/>
        </w:rPr>
        <w:t>par. 149.</w:t>
      </w:r>
    </w:p>
  </w:footnote>
  <w:footnote w:id="26">
    <w:p w14:paraId="508C6EB4" w14:textId="77777777" w:rsidR="00B5782A" w:rsidRDefault="00402023" w:rsidP="00B5782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DC3D16">
        <w:rPr>
          <w:i/>
          <w:iCs/>
        </w:rPr>
        <w:t>Tenzer</w:t>
      </w:r>
      <w:r>
        <w:rPr>
          <w:i/>
          <w:iCs/>
        </w:rPr>
        <w:t xml:space="preserve"> </w:t>
      </w:r>
      <w:r w:rsidRPr="00DC3D16">
        <w:t>c.</w:t>
      </w:r>
      <w:r>
        <w:t xml:space="preserve"> </w:t>
      </w:r>
      <w:r w:rsidRPr="00DC3D16">
        <w:rPr>
          <w:i/>
          <w:iCs/>
        </w:rPr>
        <w:t>Huawei Techniologies Canada Co. Ltd</w:t>
      </w:r>
      <w:r w:rsidRPr="00DC3D16">
        <w:t>,</w:t>
      </w:r>
      <w:r>
        <w:t xml:space="preserve"> </w:t>
      </w:r>
      <w:r w:rsidRPr="00971BDE">
        <w:rPr>
          <w:rStyle w:val="Hyperlien"/>
          <w:color w:val="auto"/>
          <w:u w:val="none"/>
        </w:rPr>
        <w:t>2020 QCCA 633</w:t>
      </w:r>
      <w:r w:rsidRPr="00971BDE">
        <w:t>, par.</w:t>
      </w:r>
      <w:r>
        <w:t xml:space="preserve"> </w:t>
      </w:r>
      <w:r w:rsidRPr="00971BDE">
        <w:rPr>
          <w:rStyle w:val="Hyperlien"/>
          <w:color w:val="auto"/>
          <w:u w:val="none"/>
        </w:rPr>
        <w:t>30</w:t>
      </w:r>
      <w:r w:rsidRPr="00971BDE">
        <w:t xml:space="preserve">, </w:t>
      </w:r>
      <w:r w:rsidRPr="00DC3D16">
        <w:t>citant les enseignements du professeur Pierre-Claude Lafond,</w:t>
      </w:r>
      <w:r>
        <w:t xml:space="preserve"> </w:t>
      </w:r>
      <w:r w:rsidRPr="00DC3D16">
        <w:rPr>
          <w:i/>
          <w:iCs/>
        </w:rPr>
        <w:t>Le recours collectif comme voie d’accès à la justice pour les consommateurs</w:t>
      </w:r>
      <w:r w:rsidRPr="00DC3D16">
        <w:t>, Montréal, Éditions Thémis, 1996, p. 419.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788B" w14:textId="77777777" w:rsidR="00121A72" w:rsidRDefault="00402023">
    <w:pPr>
      <w:tabs>
        <w:tab w:val="center" w:pos="4709"/>
        <w:tab w:val="right" w:pos="9360"/>
      </w:tabs>
      <w:ind w:right="524"/>
    </w:pPr>
    <w:r>
      <w:t>500-06-001358-254</w:t>
    </w:r>
    <w:r>
      <w:tab/>
    </w:r>
    <w:r>
      <w:tab/>
      <w:t xml:space="preserve">PAGE :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  <w:p w14:paraId="13552931" w14:textId="77777777" w:rsidR="00121A72" w:rsidRDefault="00121A72">
    <w:pPr>
      <w:tabs>
        <w:tab w:val="center" w:pos="4709"/>
        <w:tab w:val="right" w:pos="9090"/>
      </w:tabs>
      <w:ind w:right="5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24F"/>
    <w:multiLevelType w:val="hybridMultilevel"/>
    <w:tmpl w:val="9CBEAA4A"/>
    <w:lvl w:ilvl="0" w:tplc="58088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9C817C" w:tentative="1">
      <w:start w:val="1"/>
      <w:numFmt w:val="lowerLetter"/>
      <w:lvlText w:val="%2."/>
      <w:lvlJc w:val="left"/>
      <w:pPr>
        <w:ind w:left="1440" w:hanging="360"/>
      </w:pPr>
    </w:lvl>
    <w:lvl w:ilvl="2" w:tplc="0D1438EA" w:tentative="1">
      <w:start w:val="1"/>
      <w:numFmt w:val="lowerRoman"/>
      <w:lvlText w:val="%3."/>
      <w:lvlJc w:val="right"/>
      <w:pPr>
        <w:ind w:left="2160" w:hanging="180"/>
      </w:pPr>
    </w:lvl>
    <w:lvl w:ilvl="3" w:tplc="D312DC18" w:tentative="1">
      <w:start w:val="1"/>
      <w:numFmt w:val="decimal"/>
      <w:lvlText w:val="%4."/>
      <w:lvlJc w:val="left"/>
      <w:pPr>
        <w:ind w:left="2880" w:hanging="360"/>
      </w:pPr>
    </w:lvl>
    <w:lvl w:ilvl="4" w:tplc="01A43474" w:tentative="1">
      <w:start w:val="1"/>
      <w:numFmt w:val="lowerLetter"/>
      <w:lvlText w:val="%5."/>
      <w:lvlJc w:val="left"/>
      <w:pPr>
        <w:ind w:left="3600" w:hanging="360"/>
      </w:pPr>
    </w:lvl>
    <w:lvl w:ilvl="5" w:tplc="A4EED5D0" w:tentative="1">
      <w:start w:val="1"/>
      <w:numFmt w:val="lowerRoman"/>
      <w:lvlText w:val="%6."/>
      <w:lvlJc w:val="right"/>
      <w:pPr>
        <w:ind w:left="4320" w:hanging="180"/>
      </w:pPr>
    </w:lvl>
    <w:lvl w:ilvl="6" w:tplc="3E48E2B0" w:tentative="1">
      <w:start w:val="1"/>
      <w:numFmt w:val="decimal"/>
      <w:lvlText w:val="%7."/>
      <w:lvlJc w:val="left"/>
      <w:pPr>
        <w:ind w:left="5040" w:hanging="360"/>
      </w:pPr>
    </w:lvl>
    <w:lvl w:ilvl="7" w:tplc="21F0414E" w:tentative="1">
      <w:start w:val="1"/>
      <w:numFmt w:val="lowerLetter"/>
      <w:lvlText w:val="%8."/>
      <w:lvlJc w:val="left"/>
      <w:pPr>
        <w:ind w:left="5760" w:hanging="360"/>
      </w:pPr>
    </w:lvl>
    <w:lvl w:ilvl="8" w:tplc="CB285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74C3"/>
    <w:multiLevelType w:val="hybridMultilevel"/>
    <w:tmpl w:val="67DA9E7A"/>
    <w:lvl w:ilvl="0" w:tplc="5B0A0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958E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3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E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2B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8E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65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47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AA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366D"/>
    <w:multiLevelType w:val="hybridMultilevel"/>
    <w:tmpl w:val="636ED80A"/>
    <w:lvl w:ilvl="0" w:tplc="D7F80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2904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26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5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6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09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0F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2F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0F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11B71"/>
    <w:multiLevelType w:val="multilevel"/>
    <w:tmpl w:val="ABB0F778"/>
    <w:name w:val="Style1"/>
    <w:styleLink w:val="Style1"/>
    <w:lvl w:ilvl="0">
      <w:start w:val="1"/>
      <w:numFmt w:val="decimal"/>
      <w:pStyle w:val="Titre2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Titre4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Titre5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Titre6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4" w15:restartNumberingAfterBreak="0">
    <w:nsid w:val="2ABB00AC"/>
    <w:multiLevelType w:val="multilevel"/>
    <w:tmpl w:val="B8565C9A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30C9558C"/>
    <w:multiLevelType w:val="hybridMultilevel"/>
    <w:tmpl w:val="36C6B16C"/>
    <w:lvl w:ilvl="0" w:tplc="ADD4139A">
      <w:start w:val="1"/>
      <w:numFmt w:val="lowerLetter"/>
      <w:lvlText w:val="%1)"/>
      <w:lvlJc w:val="left"/>
      <w:pPr>
        <w:ind w:left="720" w:hanging="360"/>
      </w:pPr>
    </w:lvl>
    <w:lvl w:ilvl="1" w:tplc="47BA26D8" w:tentative="1">
      <w:start w:val="1"/>
      <w:numFmt w:val="lowerLetter"/>
      <w:lvlText w:val="%2."/>
      <w:lvlJc w:val="left"/>
      <w:pPr>
        <w:ind w:left="1440" w:hanging="360"/>
      </w:pPr>
    </w:lvl>
    <w:lvl w:ilvl="2" w:tplc="7D06DBCC" w:tentative="1">
      <w:start w:val="1"/>
      <w:numFmt w:val="lowerRoman"/>
      <w:lvlText w:val="%3."/>
      <w:lvlJc w:val="right"/>
      <w:pPr>
        <w:ind w:left="2160" w:hanging="180"/>
      </w:pPr>
    </w:lvl>
    <w:lvl w:ilvl="3" w:tplc="A9687172" w:tentative="1">
      <w:start w:val="1"/>
      <w:numFmt w:val="decimal"/>
      <w:lvlText w:val="%4."/>
      <w:lvlJc w:val="left"/>
      <w:pPr>
        <w:ind w:left="2880" w:hanging="360"/>
      </w:pPr>
    </w:lvl>
    <w:lvl w:ilvl="4" w:tplc="BF360B0A" w:tentative="1">
      <w:start w:val="1"/>
      <w:numFmt w:val="lowerLetter"/>
      <w:lvlText w:val="%5."/>
      <w:lvlJc w:val="left"/>
      <w:pPr>
        <w:ind w:left="3600" w:hanging="360"/>
      </w:pPr>
    </w:lvl>
    <w:lvl w:ilvl="5" w:tplc="DAE667A0" w:tentative="1">
      <w:start w:val="1"/>
      <w:numFmt w:val="lowerRoman"/>
      <w:lvlText w:val="%6."/>
      <w:lvlJc w:val="right"/>
      <w:pPr>
        <w:ind w:left="4320" w:hanging="180"/>
      </w:pPr>
    </w:lvl>
    <w:lvl w:ilvl="6" w:tplc="E37CC98E" w:tentative="1">
      <w:start w:val="1"/>
      <w:numFmt w:val="decimal"/>
      <w:lvlText w:val="%7."/>
      <w:lvlJc w:val="left"/>
      <w:pPr>
        <w:ind w:left="5040" w:hanging="360"/>
      </w:pPr>
    </w:lvl>
    <w:lvl w:ilvl="7" w:tplc="E92E3180" w:tentative="1">
      <w:start w:val="1"/>
      <w:numFmt w:val="lowerLetter"/>
      <w:lvlText w:val="%8."/>
      <w:lvlJc w:val="left"/>
      <w:pPr>
        <w:ind w:left="5760" w:hanging="360"/>
      </w:pPr>
    </w:lvl>
    <w:lvl w:ilvl="8" w:tplc="690C8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5E5F"/>
    <w:multiLevelType w:val="hybridMultilevel"/>
    <w:tmpl w:val="06182394"/>
    <w:lvl w:ilvl="0" w:tplc="C3484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13E9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8C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8C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4F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0E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25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C9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D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30AA"/>
    <w:multiLevelType w:val="hybridMultilevel"/>
    <w:tmpl w:val="4F5E31A2"/>
    <w:lvl w:ilvl="0" w:tplc="2202EA38">
      <w:start w:val="1"/>
      <w:numFmt w:val="lowerLetter"/>
      <w:lvlText w:val="%1)"/>
      <w:lvlJc w:val="left"/>
      <w:pPr>
        <w:ind w:left="1080" w:hanging="360"/>
      </w:pPr>
    </w:lvl>
    <w:lvl w:ilvl="1" w:tplc="F852065E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91166C70">
      <w:start w:val="1"/>
      <w:numFmt w:val="lowerRoman"/>
      <w:lvlText w:val="%3."/>
      <w:lvlJc w:val="right"/>
      <w:pPr>
        <w:ind w:left="2520" w:hanging="180"/>
      </w:pPr>
    </w:lvl>
    <w:lvl w:ilvl="3" w:tplc="6C8A7BC6">
      <w:start w:val="1"/>
      <w:numFmt w:val="decimal"/>
      <w:lvlText w:val="%4."/>
      <w:lvlJc w:val="left"/>
      <w:pPr>
        <w:ind w:left="3240" w:hanging="360"/>
      </w:pPr>
    </w:lvl>
    <w:lvl w:ilvl="4" w:tplc="F404053C" w:tentative="1">
      <w:start w:val="1"/>
      <w:numFmt w:val="lowerLetter"/>
      <w:lvlText w:val="%5."/>
      <w:lvlJc w:val="left"/>
      <w:pPr>
        <w:ind w:left="3960" w:hanging="360"/>
      </w:pPr>
    </w:lvl>
    <w:lvl w:ilvl="5" w:tplc="32EE3FB8" w:tentative="1">
      <w:start w:val="1"/>
      <w:numFmt w:val="lowerRoman"/>
      <w:lvlText w:val="%6."/>
      <w:lvlJc w:val="right"/>
      <w:pPr>
        <w:ind w:left="4680" w:hanging="180"/>
      </w:pPr>
    </w:lvl>
    <w:lvl w:ilvl="6" w:tplc="008AE46E" w:tentative="1">
      <w:start w:val="1"/>
      <w:numFmt w:val="decimal"/>
      <w:lvlText w:val="%7."/>
      <w:lvlJc w:val="left"/>
      <w:pPr>
        <w:ind w:left="5400" w:hanging="360"/>
      </w:pPr>
    </w:lvl>
    <w:lvl w:ilvl="7" w:tplc="DEC0FF46" w:tentative="1">
      <w:start w:val="1"/>
      <w:numFmt w:val="lowerLetter"/>
      <w:lvlText w:val="%8."/>
      <w:lvlJc w:val="left"/>
      <w:pPr>
        <w:ind w:left="6120" w:hanging="360"/>
      </w:pPr>
    </w:lvl>
    <w:lvl w:ilvl="8" w:tplc="C5469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7B7427"/>
    <w:multiLevelType w:val="hybridMultilevel"/>
    <w:tmpl w:val="84C851F2"/>
    <w:lvl w:ilvl="0" w:tplc="C5DAB71C">
      <w:numFmt w:val="bullet"/>
      <w:lvlText w:val="-"/>
      <w:lvlJc w:val="left"/>
      <w:pPr>
        <w:ind w:left="1822" w:hanging="360"/>
      </w:pPr>
      <w:rPr>
        <w:rFonts w:ascii="Arial" w:eastAsia="Times New Roman" w:hAnsi="Arial" w:cs="Arial" w:hint="default"/>
      </w:rPr>
    </w:lvl>
    <w:lvl w:ilvl="1" w:tplc="5D227B8C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25DE05B4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FACBD70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1178ADDC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7504B0AC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32984D1C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90BC017A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E3C88D0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9" w15:restartNumberingAfterBreak="0">
    <w:nsid w:val="4BF423AA"/>
    <w:multiLevelType w:val="multilevel"/>
    <w:tmpl w:val="ABB0F778"/>
    <w:name w:val="Style12"/>
    <w:numStyleLink w:val="Style1"/>
  </w:abstractNum>
  <w:abstractNum w:abstractNumId="10" w15:restartNumberingAfterBreak="0">
    <w:nsid w:val="5A0C4719"/>
    <w:multiLevelType w:val="multilevel"/>
    <w:tmpl w:val="ABB0F778"/>
    <w:name w:val="Style13"/>
    <w:numStyleLink w:val="Style1"/>
  </w:abstractNum>
  <w:abstractNum w:abstractNumId="11" w15:restartNumberingAfterBreak="0">
    <w:nsid w:val="609C0DCC"/>
    <w:multiLevelType w:val="multilevel"/>
    <w:tmpl w:val="5720EF72"/>
    <w:lvl w:ilvl="0">
      <w:start w:val="1"/>
      <w:numFmt w:val="decimal"/>
      <w:pStyle w:val="Paragrdouble"/>
      <w:lvlText w:val="[%1]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Sous-paragraphe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57698486">
    <w:abstractNumId w:val="11"/>
  </w:num>
  <w:num w:numId="2" w16cid:durableId="1877039368">
    <w:abstractNumId w:val="11"/>
  </w:num>
  <w:num w:numId="3" w16cid:durableId="775173384">
    <w:abstractNumId w:val="11"/>
  </w:num>
  <w:num w:numId="4" w16cid:durableId="180551879">
    <w:abstractNumId w:val="4"/>
  </w:num>
  <w:num w:numId="5" w16cid:durableId="902133974">
    <w:abstractNumId w:val="3"/>
    <w:lvlOverride w:ilvl="0">
      <w:lvl w:ilvl="0">
        <w:start w:val="1"/>
        <w:numFmt w:val="decimal"/>
        <w:pStyle w:val="Titre2"/>
        <w:lvlText w:val="%1."/>
        <w:lvlJc w:val="left"/>
        <w:pPr>
          <w:ind w:left="431" w:hanging="431"/>
        </w:pPr>
      </w:lvl>
    </w:lvlOverride>
    <w:lvlOverride w:ilvl="1">
      <w:lvl w:ilvl="1">
        <w:start w:val="1"/>
        <w:numFmt w:val="decimal"/>
        <w:pStyle w:val="Titre3"/>
        <w:lvlText w:val="%1.%2"/>
        <w:lvlJc w:val="left"/>
        <w:pPr>
          <w:ind w:left="431" w:hanging="431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4"/>
        <w:lvlText w:val="%1.%2.%3"/>
        <w:lvlJc w:val="left"/>
        <w:pPr>
          <w:ind w:left="431" w:hanging="431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5"/>
        <w:lvlText w:val="%1.%2.%3.%4"/>
        <w:lvlJc w:val="left"/>
        <w:pPr>
          <w:ind w:left="431" w:hanging="431"/>
        </w:pPr>
        <w:rPr>
          <w:rFonts w:hint="default"/>
        </w:rPr>
      </w:lvl>
    </w:lvlOverride>
  </w:num>
  <w:num w:numId="6" w16cid:durableId="1024596157">
    <w:abstractNumId w:val="6"/>
  </w:num>
  <w:num w:numId="7" w16cid:durableId="23021265">
    <w:abstractNumId w:val="0"/>
  </w:num>
  <w:num w:numId="8" w16cid:durableId="1677002878">
    <w:abstractNumId w:val="8"/>
  </w:num>
  <w:num w:numId="9" w16cid:durableId="546380460">
    <w:abstractNumId w:val="1"/>
  </w:num>
  <w:num w:numId="10" w16cid:durableId="342052929">
    <w:abstractNumId w:val="2"/>
  </w:num>
  <w:num w:numId="11" w16cid:durableId="1164976386">
    <w:abstractNumId w:val="5"/>
  </w:num>
  <w:num w:numId="12" w16cid:durableId="935671390">
    <w:abstractNumId w:val="7"/>
  </w:num>
  <w:num w:numId="13" w16cid:durableId="147760192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3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8F"/>
    <w:rsid w:val="00007687"/>
    <w:rsid w:val="00007A1D"/>
    <w:rsid w:val="00014F32"/>
    <w:rsid w:val="00020104"/>
    <w:rsid w:val="00020EAA"/>
    <w:rsid w:val="0002301E"/>
    <w:rsid w:val="00024C82"/>
    <w:rsid w:val="000254F7"/>
    <w:rsid w:val="00026C30"/>
    <w:rsid w:val="000406C4"/>
    <w:rsid w:val="00040DD5"/>
    <w:rsid w:val="000412D1"/>
    <w:rsid w:val="00044DC8"/>
    <w:rsid w:val="00051223"/>
    <w:rsid w:val="000658F8"/>
    <w:rsid w:val="00071051"/>
    <w:rsid w:val="00077149"/>
    <w:rsid w:val="00085BFC"/>
    <w:rsid w:val="0008748F"/>
    <w:rsid w:val="00090CCB"/>
    <w:rsid w:val="00092D5E"/>
    <w:rsid w:val="000941CC"/>
    <w:rsid w:val="000955C6"/>
    <w:rsid w:val="00097396"/>
    <w:rsid w:val="000A3312"/>
    <w:rsid w:val="000A685E"/>
    <w:rsid w:val="000B1989"/>
    <w:rsid w:val="000F378F"/>
    <w:rsid w:val="000F387D"/>
    <w:rsid w:val="000F7E1F"/>
    <w:rsid w:val="001074A2"/>
    <w:rsid w:val="00110CBA"/>
    <w:rsid w:val="00121188"/>
    <w:rsid w:val="00121A72"/>
    <w:rsid w:val="00131002"/>
    <w:rsid w:val="0013540F"/>
    <w:rsid w:val="00144BFB"/>
    <w:rsid w:val="00144C43"/>
    <w:rsid w:val="00145784"/>
    <w:rsid w:val="00154088"/>
    <w:rsid w:val="00160374"/>
    <w:rsid w:val="00184ADF"/>
    <w:rsid w:val="001850D9"/>
    <w:rsid w:val="00196803"/>
    <w:rsid w:val="00197812"/>
    <w:rsid w:val="001A5CE0"/>
    <w:rsid w:val="001B0B0A"/>
    <w:rsid w:val="001B0DA6"/>
    <w:rsid w:val="001C00E5"/>
    <w:rsid w:val="001C4FB2"/>
    <w:rsid w:val="001C53FD"/>
    <w:rsid w:val="001D5F69"/>
    <w:rsid w:val="001E63EE"/>
    <w:rsid w:val="001E66F8"/>
    <w:rsid w:val="001E75F3"/>
    <w:rsid w:val="001F6521"/>
    <w:rsid w:val="00200FF3"/>
    <w:rsid w:val="00201828"/>
    <w:rsid w:val="00204AFD"/>
    <w:rsid w:val="002054AF"/>
    <w:rsid w:val="00206608"/>
    <w:rsid w:val="002075A9"/>
    <w:rsid w:val="00216BB6"/>
    <w:rsid w:val="00222196"/>
    <w:rsid w:val="0022468D"/>
    <w:rsid w:val="00224998"/>
    <w:rsid w:val="0022515A"/>
    <w:rsid w:val="002275F6"/>
    <w:rsid w:val="00237DF7"/>
    <w:rsid w:val="00240CC5"/>
    <w:rsid w:val="00242D06"/>
    <w:rsid w:val="00244948"/>
    <w:rsid w:val="00244BA0"/>
    <w:rsid w:val="002528CF"/>
    <w:rsid w:val="002639C5"/>
    <w:rsid w:val="00266109"/>
    <w:rsid w:val="002677E8"/>
    <w:rsid w:val="002678AC"/>
    <w:rsid w:val="00271404"/>
    <w:rsid w:val="002717E7"/>
    <w:rsid w:val="00276887"/>
    <w:rsid w:val="00276DBE"/>
    <w:rsid w:val="0028331D"/>
    <w:rsid w:val="002857E5"/>
    <w:rsid w:val="002909DF"/>
    <w:rsid w:val="002A1B9F"/>
    <w:rsid w:val="002A1FBE"/>
    <w:rsid w:val="002A3A83"/>
    <w:rsid w:val="002A7B92"/>
    <w:rsid w:val="002B18CF"/>
    <w:rsid w:val="002B2977"/>
    <w:rsid w:val="002B78CB"/>
    <w:rsid w:val="002C4CF4"/>
    <w:rsid w:val="002D38C3"/>
    <w:rsid w:val="002F3906"/>
    <w:rsid w:val="00302A12"/>
    <w:rsid w:val="00302B08"/>
    <w:rsid w:val="003065EF"/>
    <w:rsid w:val="00311D4F"/>
    <w:rsid w:val="003133EC"/>
    <w:rsid w:val="00324E5E"/>
    <w:rsid w:val="00325B06"/>
    <w:rsid w:val="00331A19"/>
    <w:rsid w:val="0033249D"/>
    <w:rsid w:val="0033631E"/>
    <w:rsid w:val="003532E2"/>
    <w:rsid w:val="00375A53"/>
    <w:rsid w:val="00381A02"/>
    <w:rsid w:val="0039218A"/>
    <w:rsid w:val="0039264B"/>
    <w:rsid w:val="00393DA9"/>
    <w:rsid w:val="0039406E"/>
    <w:rsid w:val="0039453E"/>
    <w:rsid w:val="00396961"/>
    <w:rsid w:val="00396F79"/>
    <w:rsid w:val="003A12A1"/>
    <w:rsid w:val="003A295B"/>
    <w:rsid w:val="003A48BA"/>
    <w:rsid w:val="003B5966"/>
    <w:rsid w:val="003B6959"/>
    <w:rsid w:val="003D04AC"/>
    <w:rsid w:val="003E073C"/>
    <w:rsid w:val="003E7AD6"/>
    <w:rsid w:val="003F0D86"/>
    <w:rsid w:val="003F11F5"/>
    <w:rsid w:val="003F1FCF"/>
    <w:rsid w:val="003F51F0"/>
    <w:rsid w:val="004003E6"/>
    <w:rsid w:val="00402023"/>
    <w:rsid w:val="00404506"/>
    <w:rsid w:val="00410754"/>
    <w:rsid w:val="00415F9A"/>
    <w:rsid w:val="004210C5"/>
    <w:rsid w:val="00421894"/>
    <w:rsid w:val="00437B95"/>
    <w:rsid w:val="00440C5B"/>
    <w:rsid w:val="00443473"/>
    <w:rsid w:val="00457F9B"/>
    <w:rsid w:val="00462230"/>
    <w:rsid w:val="004758C1"/>
    <w:rsid w:val="00480082"/>
    <w:rsid w:val="004802BD"/>
    <w:rsid w:val="00487B13"/>
    <w:rsid w:val="004D5444"/>
    <w:rsid w:val="004E2436"/>
    <w:rsid w:val="004F04CC"/>
    <w:rsid w:val="004F20D0"/>
    <w:rsid w:val="004F5EC3"/>
    <w:rsid w:val="0051520E"/>
    <w:rsid w:val="005169D9"/>
    <w:rsid w:val="00533AE8"/>
    <w:rsid w:val="00535E94"/>
    <w:rsid w:val="00540D96"/>
    <w:rsid w:val="00544FE9"/>
    <w:rsid w:val="00552D8A"/>
    <w:rsid w:val="0056215F"/>
    <w:rsid w:val="00562391"/>
    <w:rsid w:val="00562A41"/>
    <w:rsid w:val="00562AB2"/>
    <w:rsid w:val="005761E4"/>
    <w:rsid w:val="0058385B"/>
    <w:rsid w:val="00593CC0"/>
    <w:rsid w:val="005A1993"/>
    <w:rsid w:val="005A55AD"/>
    <w:rsid w:val="005A72E7"/>
    <w:rsid w:val="005B0E9B"/>
    <w:rsid w:val="005B1706"/>
    <w:rsid w:val="005C5E10"/>
    <w:rsid w:val="005C5E9D"/>
    <w:rsid w:val="005D41ED"/>
    <w:rsid w:val="005E3110"/>
    <w:rsid w:val="005E3149"/>
    <w:rsid w:val="005E3958"/>
    <w:rsid w:val="005E6858"/>
    <w:rsid w:val="005E6DE2"/>
    <w:rsid w:val="005F42A4"/>
    <w:rsid w:val="00603FDB"/>
    <w:rsid w:val="006040AF"/>
    <w:rsid w:val="00604347"/>
    <w:rsid w:val="006049C6"/>
    <w:rsid w:val="00606BD4"/>
    <w:rsid w:val="006121D4"/>
    <w:rsid w:val="006152B3"/>
    <w:rsid w:val="00623BD0"/>
    <w:rsid w:val="00633B6C"/>
    <w:rsid w:val="0063430C"/>
    <w:rsid w:val="00635E99"/>
    <w:rsid w:val="00636278"/>
    <w:rsid w:val="006367FE"/>
    <w:rsid w:val="0064687F"/>
    <w:rsid w:val="0066117D"/>
    <w:rsid w:val="0066193B"/>
    <w:rsid w:val="00661F3B"/>
    <w:rsid w:val="00662104"/>
    <w:rsid w:val="006658DA"/>
    <w:rsid w:val="006777D7"/>
    <w:rsid w:val="006853D0"/>
    <w:rsid w:val="00695F89"/>
    <w:rsid w:val="00697CB7"/>
    <w:rsid w:val="006A4190"/>
    <w:rsid w:val="006A6506"/>
    <w:rsid w:val="006C258C"/>
    <w:rsid w:val="006C7135"/>
    <w:rsid w:val="006D0AC2"/>
    <w:rsid w:val="006D3F79"/>
    <w:rsid w:val="006D4F4A"/>
    <w:rsid w:val="006D5BBB"/>
    <w:rsid w:val="006E085F"/>
    <w:rsid w:val="006E32D2"/>
    <w:rsid w:val="006F30AC"/>
    <w:rsid w:val="006F312F"/>
    <w:rsid w:val="006F4870"/>
    <w:rsid w:val="00701B6D"/>
    <w:rsid w:val="00707D7D"/>
    <w:rsid w:val="00710C1E"/>
    <w:rsid w:val="00724BAF"/>
    <w:rsid w:val="00744CCA"/>
    <w:rsid w:val="007468CE"/>
    <w:rsid w:val="00753603"/>
    <w:rsid w:val="00760A8B"/>
    <w:rsid w:val="00772542"/>
    <w:rsid w:val="00775402"/>
    <w:rsid w:val="007757E5"/>
    <w:rsid w:val="00782C4B"/>
    <w:rsid w:val="00787D4E"/>
    <w:rsid w:val="00787F35"/>
    <w:rsid w:val="007931B7"/>
    <w:rsid w:val="00793709"/>
    <w:rsid w:val="007944DB"/>
    <w:rsid w:val="00796175"/>
    <w:rsid w:val="007A2674"/>
    <w:rsid w:val="007A3998"/>
    <w:rsid w:val="007A535E"/>
    <w:rsid w:val="007B1212"/>
    <w:rsid w:val="007B309C"/>
    <w:rsid w:val="007B36C6"/>
    <w:rsid w:val="007B467A"/>
    <w:rsid w:val="007B6AB2"/>
    <w:rsid w:val="007C7316"/>
    <w:rsid w:val="007D5847"/>
    <w:rsid w:val="007D76D9"/>
    <w:rsid w:val="007E0CEE"/>
    <w:rsid w:val="007E6099"/>
    <w:rsid w:val="007F4D32"/>
    <w:rsid w:val="007F6FF7"/>
    <w:rsid w:val="00802A48"/>
    <w:rsid w:val="008034D9"/>
    <w:rsid w:val="00804D9D"/>
    <w:rsid w:val="00825B48"/>
    <w:rsid w:val="008276A3"/>
    <w:rsid w:val="00830F59"/>
    <w:rsid w:val="00833010"/>
    <w:rsid w:val="00841AE0"/>
    <w:rsid w:val="0084539D"/>
    <w:rsid w:val="00847547"/>
    <w:rsid w:val="0085062A"/>
    <w:rsid w:val="008533B5"/>
    <w:rsid w:val="00860A13"/>
    <w:rsid w:val="00862B1F"/>
    <w:rsid w:val="00863A15"/>
    <w:rsid w:val="00863D38"/>
    <w:rsid w:val="00864E2D"/>
    <w:rsid w:val="00866BA8"/>
    <w:rsid w:val="00870D6D"/>
    <w:rsid w:val="00882D42"/>
    <w:rsid w:val="008830AE"/>
    <w:rsid w:val="00897B41"/>
    <w:rsid w:val="008A16DC"/>
    <w:rsid w:val="008A4532"/>
    <w:rsid w:val="008A5221"/>
    <w:rsid w:val="008A7A44"/>
    <w:rsid w:val="008A7DDE"/>
    <w:rsid w:val="008B4FE0"/>
    <w:rsid w:val="008B79DE"/>
    <w:rsid w:val="008D124C"/>
    <w:rsid w:val="008E082B"/>
    <w:rsid w:val="008E48F2"/>
    <w:rsid w:val="008E67B2"/>
    <w:rsid w:val="008F2561"/>
    <w:rsid w:val="008F33AA"/>
    <w:rsid w:val="008F489A"/>
    <w:rsid w:val="008F60C7"/>
    <w:rsid w:val="00906C3C"/>
    <w:rsid w:val="00911851"/>
    <w:rsid w:val="00911A03"/>
    <w:rsid w:val="00916092"/>
    <w:rsid w:val="00925B55"/>
    <w:rsid w:val="009601D3"/>
    <w:rsid w:val="009628C1"/>
    <w:rsid w:val="00962902"/>
    <w:rsid w:val="00970312"/>
    <w:rsid w:val="00971BDE"/>
    <w:rsid w:val="00976EBE"/>
    <w:rsid w:val="00981A9B"/>
    <w:rsid w:val="00985F22"/>
    <w:rsid w:val="00986BB2"/>
    <w:rsid w:val="00992D23"/>
    <w:rsid w:val="009A63DC"/>
    <w:rsid w:val="009B36C6"/>
    <w:rsid w:val="009C2044"/>
    <w:rsid w:val="009C7615"/>
    <w:rsid w:val="009C7CD4"/>
    <w:rsid w:val="009C7E93"/>
    <w:rsid w:val="009E05FC"/>
    <w:rsid w:val="009E7E11"/>
    <w:rsid w:val="00A1789E"/>
    <w:rsid w:val="00A3455B"/>
    <w:rsid w:val="00A37D7A"/>
    <w:rsid w:val="00A45FC8"/>
    <w:rsid w:val="00A460F9"/>
    <w:rsid w:val="00A560F9"/>
    <w:rsid w:val="00A64057"/>
    <w:rsid w:val="00A70351"/>
    <w:rsid w:val="00A75B3D"/>
    <w:rsid w:val="00A861DB"/>
    <w:rsid w:val="00A86983"/>
    <w:rsid w:val="00A9057E"/>
    <w:rsid w:val="00AB5EB8"/>
    <w:rsid w:val="00AC406B"/>
    <w:rsid w:val="00AC4CD2"/>
    <w:rsid w:val="00AC55B9"/>
    <w:rsid w:val="00AC6864"/>
    <w:rsid w:val="00AD0675"/>
    <w:rsid w:val="00AD1730"/>
    <w:rsid w:val="00AE1584"/>
    <w:rsid w:val="00AE586E"/>
    <w:rsid w:val="00AE680E"/>
    <w:rsid w:val="00AE79EC"/>
    <w:rsid w:val="00AF1575"/>
    <w:rsid w:val="00AF1616"/>
    <w:rsid w:val="00AF6CD8"/>
    <w:rsid w:val="00AF706C"/>
    <w:rsid w:val="00B016D5"/>
    <w:rsid w:val="00B02BE7"/>
    <w:rsid w:val="00B05C92"/>
    <w:rsid w:val="00B11D39"/>
    <w:rsid w:val="00B204CA"/>
    <w:rsid w:val="00B25DD4"/>
    <w:rsid w:val="00B307B9"/>
    <w:rsid w:val="00B3352D"/>
    <w:rsid w:val="00B360A8"/>
    <w:rsid w:val="00B42928"/>
    <w:rsid w:val="00B46A64"/>
    <w:rsid w:val="00B5782A"/>
    <w:rsid w:val="00B606A7"/>
    <w:rsid w:val="00B613BC"/>
    <w:rsid w:val="00B67DB9"/>
    <w:rsid w:val="00B70541"/>
    <w:rsid w:val="00B72F11"/>
    <w:rsid w:val="00B7383D"/>
    <w:rsid w:val="00B84C91"/>
    <w:rsid w:val="00B91FA5"/>
    <w:rsid w:val="00BA153A"/>
    <w:rsid w:val="00BA370D"/>
    <w:rsid w:val="00BA548B"/>
    <w:rsid w:val="00BB35D3"/>
    <w:rsid w:val="00BB7857"/>
    <w:rsid w:val="00BC025F"/>
    <w:rsid w:val="00BC5077"/>
    <w:rsid w:val="00BC7680"/>
    <w:rsid w:val="00BD21A3"/>
    <w:rsid w:val="00BD2ACF"/>
    <w:rsid w:val="00BD49A8"/>
    <w:rsid w:val="00BD79BF"/>
    <w:rsid w:val="00BF0453"/>
    <w:rsid w:val="00BF4A78"/>
    <w:rsid w:val="00C00C8A"/>
    <w:rsid w:val="00C025FC"/>
    <w:rsid w:val="00C1539D"/>
    <w:rsid w:val="00C15F28"/>
    <w:rsid w:val="00C20DA1"/>
    <w:rsid w:val="00C25632"/>
    <w:rsid w:val="00C35CAF"/>
    <w:rsid w:val="00C4538A"/>
    <w:rsid w:val="00C50E62"/>
    <w:rsid w:val="00C52C1A"/>
    <w:rsid w:val="00C60AFE"/>
    <w:rsid w:val="00C619EF"/>
    <w:rsid w:val="00C62B02"/>
    <w:rsid w:val="00C64C8E"/>
    <w:rsid w:val="00C7254F"/>
    <w:rsid w:val="00C747B9"/>
    <w:rsid w:val="00C83E69"/>
    <w:rsid w:val="00C849F0"/>
    <w:rsid w:val="00C92683"/>
    <w:rsid w:val="00CB0FD7"/>
    <w:rsid w:val="00CD19D9"/>
    <w:rsid w:val="00CD32E2"/>
    <w:rsid w:val="00CD67C9"/>
    <w:rsid w:val="00CD79F5"/>
    <w:rsid w:val="00CE1C86"/>
    <w:rsid w:val="00CE1CAF"/>
    <w:rsid w:val="00CE4E5F"/>
    <w:rsid w:val="00CE5A4C"/>
    <w:rsid w:val="00CF36D0"/>
    <w:rsid w:val="00CF51ED"/>
    <w:rsid w:val="00D03057"/>
    <w:rsid w:val="00D075F5"/>
    <w:rsid w:val="00D12D92"/>
    <w:rsid w:val="00D2226C"/>
    <w:rsid w:val="00D23390"/>
    <w:rsid w:val="00D26929"/>
    <w:rsid w:val="00D409A4"/>
    <w:rsid w:val="00D47A26"/>
    <w:rsid w:val="00D51A11"/>
    <w:rsid w:val="00D51B43"/>
    <w:rsid w:val="00D54C78"/>
    <w:rsid w:val="00D63C26"/>
    <w:rsid w:val="00D713AF"/>
    <w:rsid w:val="00D737D1"/>
    <w:rsid w:val="00DA1F14"/>
    <w:rsid w:val="00DA3485"/>
    <w:rsid w:val="00DB5E8D"/>
    <w:rsid w:val="00DC3D16"/>
    <w:rsid w:val="00DC4560"/>
    <w:rsid w:val="00DD10DA"/>
    <w:rsid w:val="00DE0F43"/>
    <w:rsid w:val="00DE14EF"/>
    <w:rsid w:val="00DF39EE"/>
    <w:rsid w:val="00E01F8D"/>
    <w:rsid w:val="00E04CE3"/>
    <w:rsid w:val="00E11138"/>
    <w:rsid w:val="00E13B97"/>
    <w:rsid w:val="00E13C60"/>
    <w:rsid w:val="00E319E1"/>
    <w:rsid w:val="00E320BF"/>
    <w:rsid w:val="00E36279"/>
    <w:rsid w:val="00E40644"/>
    <w:rsid w:val="00E55246"/>
    <w:rsid w:val="00E64987"/>
    <w:rsid w:val="00E6673F"/>
    <w:rsid w:val="00E66B8C"/>
    <w:rsid w:val="00E7259F"/>
    <w:rsid w:val="00E7374E"/>
    <w:rsid w:val="00E849BE"/>
    <w:rsid w:val="00E8714B"/>
    <w:rsid w:val="00E9197B"/>
    <w:rsid w:val="00EA620B"/>
    <w:rsid w:val="00EA62AB"/>
    <w:rsid w:val="00EB10FD"/>
    <w:rsid w:val="00EB1107"/>
    <w:rsid w:val="00EB3AB7"/>
    <w:rsid w:val="00EC4868"/>
    <w:rsid w:val="00EC705F"/>
    <w:rsid w:val="00EE37DE"/>
    <w:rsid w:val="00EF600C"/>
    <w:rsid w:val="00F008D2"/>
    <w:rsid w:val="00F1055D"/>
    <w:rsid w:val="00F1111E"/>
    <w:rsid w:val="00F14171"/>
    <w:rsid w:val="00F312AF"/>
    <w:rsid w:val="00F379DC"/>
    <w:rsid w:val="00F4770B"/>
    <w:rsid w:val="00F57872"/>
    <w:rsid w:val="00F70C17"/>
    <w:rsid w:val="00F759A3"/>
    <w:rsid w:val="00FA3E06"/>
    <w:rsid w:val="00FA4D02"/>
    <w:rsid w:val="00FB0C1A"/>
    <w:rsid w:val="00FB14F1"/>
    <w:rsid w:val="00FB3C6F"/>
    <w:rsid w:val="00FC081F"/>
    <w:rsid w:val="00FC2DC4"/>
    <w:rsid w:val="00FC4D58"/>
    <w:rsid w:val="00FD07AE"/>
    <w:rsid w:val="00FD0EC0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8086E"/>
  <w15:chartTrackingRefBased/>
  <w15:docId w15:val="{E729AC5C-254C-41C9-8ECE-0FB48F9C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Paragrdouble"/>
    <w:qFormat/>
    <w:rsid w:val="00D12D92"/>
    <w:pPr>
      <w:keepNext/>
      <w:spacing w:before="240" w:after="60"/>
      <w:ind w:left="432" w:hanging="432"/>
      <w:outlineLvl w:val="0"/>
    </w:pPr>
    <w:rPr>
      <w:b/>
      <w:kern w:val="28"/>
      <w:u w:val="single"/>
    </w:rPr>
  </w:style>
  <w:style w:type="paragraph" w:styleId="Titre2">
    <w:name w:val="heading 2"/>
    <w:basedOn w:val="Normal"/>
    <w:next w:val="Paragrdouble"/>
    <w:qFormat/>
    <w:rsid w:val="00BA153A"/>
    <w:pPr>
      <w:keepNext/>
      <w:numPr>
        <w:numId w:val="5"/>
      </w:numPr>
      <w:spacing w:before="240" w:after="60"/>
      <w:ind w:left="709" w:hanging="709"/>
      <w:outlineLvl w:val="1"/>
    </w:pPr>
    <w:rPr>
      <w:b/>
      <w:caps/>
      <w:u w:val="single"/>
    </w:rPr>
  </w:style>
  <w:style w:type="paragraph" w:styleId="Titre3">
    <w:name w:val="heading 3"/>
    <w:basedOn w:val="Normal"/>
    <w:next w:val="Paragrdouble"/>
    <w:qFormat/>
    <w:rsid w:val="00AF1575"/>
    <w:pPr>
      <w:keepNext/>
      <w:numPr>
        <w:ilvl w:val="1"/>
        <w:numId w:val="5"/>
      </w:numPr>
      <w:spacing w:before="240" w:after="60"/>
      <w:ind w:left="1162"/>
      <w:outlineLvl w:val="2"/>
    </w:pPr>
    <w:rPr>
      <w:b/>
    </w:rPr>
  </w:style>
  <w:style w:type="paragraph" w:styleId="Titre4">
    <w:name w:val="heading 4"/>
    <w:basedOn w:val="Normal"/>
    <w:next w:val="Paragrdouble"/>
    <w:qFormat/>
    <w:rsid w:val="00AF1575"/>
    <w:pPr>
      <w:keepNext/>
      <w:numPr>
        <w:ilvl w:val="2"/>
        <w:numId w:val="5"/>
      </w:numPr>
      <w:spacing w:before="240" w:after="60"/>
      <w:ind w:left="1985" w:hanging="851"/>
      <w:outlineLvl w:val="3"/>
    </w:pPr>
    <w:rPr>
      <w:b/>
    </w:rPr>
  </w:style>
  <w:style w:type="paragraph" w:styleId="Titre5">
    <w:name w:val="heading 5"/>
    <w:basedOn w:val="Titre4"/>
    <w:next w:val="Paragrdouble"/>
    <w:qFormat/>
    <w:rsid w:val="001B0DA6"/>
    <w:pPr>
      <w:numPr>
        <w:ilvl w:val="3"/>
      </w:numPr>
      <w:ind w:left="2495" w:hanging="1077"/>
      <w:outlineLvl w:val="4"/>
    </w:pPr>
  </w:style>
  <w:style w:type="paragraph" w:styleId="Titre6">
    <w:name w:val="heading 6"/>
    <w:basedOn w:val="Titre5"/>
    <w:next w:val="Paragrdouble"/>
    <w:qFormat/>
    <w:rsid w:val="00C025FC"/>
    <w:pPr>
      <w:numPr>
        <w:ilvl w:val="4"/>
      </w:numPr>
      <w:ind w:left="3657" w:hanging="1247"/>
      <w:outlineLvl w:val="5"/>
    </w:pPr>
  </w:style>
  <w:style w:type="paragraph" w:styleId="Titre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double">
    <w:name w:val="Paragr. double"/>
    <w:basedOn w:val="Normal"/>
    <w:rsid w:val="00AF1575"/>
    <w:pPr>
      <w:numPr>
        <w:numId w:val="2"/>
      </w:numPr>
      <w:tabs>
        <w:tab w:val="clear" w:pos="360"/>
      </w:tabs>
      <w:spacing w:before="120" w:after="120" w:line="500" w:lineRule="exact"/>
      <w:jc w:val="both"/>
    </w:pPr>
    <w:rPr>
      <w:kern w:val="28"/>
    </w:rPr>
  </w:style>
  <w:style w:type="paragraph" w:customStyle="1" w:styleId="Citationenretrait">
    <w:name w:val="Citation en retrait"/>
    <w:basedOn w:val="Normal"/>
    <w:pPr>
      <w:spacing w:before="120" w:after="120"/>
      <w:ind w:left="720" w:right="720"/>
      <w:jc w:val="both"/>
    </w:pPr>
    <w:rPr>
      <w:kern w:val="24"/>
      <w:sz w:val="22"/>
    </w:rPr>
  </w:style>
  <w:style w:type="character" w:customStyle="1" w:styleId="Citationintgre">
    <w:name w:val="Citation intégrée"/>
    <w:rPr>
      <w:rFonts w:ascii="Arial" w:hAnsi="Arial"/>
      <w:i/>
      <w:noProof w:val="0"/>
      <w:sz w:val="22"/>
      <w:lang w:val="fr-CA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Notedebasdepage">
    <w:name w:val="footnote text"/>
    <w:aliases w:val="Note de bas de page + 10pt,Note de bas de page art 65,fn"/>
    <w:basedOn w:val="Normal"/>
    <w:link w:val="NotedebasdepageCar"/>
    <w:uiPriority w:val="99"/>
    <w:qFormat/>
    <w:pPr>
      <w:ind w:left="360" w:hanging="360"/>
      <w:jc w:val="both"/>
    </w:pPr>
    <w:rPr>
      <w:sz w:val="20"/>
    </w:rPr>
  </w:style>
  <w:style w:type="paragraph" w:styleId="Notedefin">
    <w:name w:val="endnote text"/>
    <w:basedOn w:val="Normal"/>
    <w:semiHidden/>
    <w:pPr>
      <w:ind w:left="-360"/>
      <w:jc w:val="both"/>
    </w:pPr>
    <w:rPr>
      <w:sz w:val="20"/>
    </w:rPr>
  </w:style>
  <w:style w:type="paragraph" w:customStyle="1" w:styleId="zSoquijlblCour">
    <w:name w:val="zSoquij_lblCour"/>
    <w:basedOn w:val="Normal"/>
    <w:pPr>
      <w:jc w:val="center"/>
    </w:pPr>
    <w:rPr>
      <w:b/>
      <w:sz w:val="36"/>
    </w:rPr>
  </w:style>
  <w:style w:type="paragraph" w:customStyle="1" w:styleId="zSoquijlblPays">
    <w:name w:val="zSoquij_lblPays"/>
    <w:basedOn w:val="Normal"/>
    <w:rsid w:val="00C025FC"/>
    <w:rPr>
      <w:caps/>
    </w:rPr>
  </w:style>
  <w:style w:type="paragraph" w:customStyle="1" w:styleId="zSoquijlblProvince">
    <w:name w:val="zSoquij_lblProvince"/>
    <w:basedOn w:val="Normal"/>
    <w:rsid w:val="00C025FC"/>
    <w:rPr>
      <w:caps/>
    </w:rPr>
  </w:style>
  <w:style w:type="paragraph" w:customStyle="1" w:styleId="zSoquijlblGreffe">
    <w:name w:val="zSoquij_lblGreffe"/>
    <w:basedOn w:val="Normal"/>
    <w:rsid w:val="00C025FC"/>
    <w:pPr>
      <w:ind w:left="70"/>
    </w:pPr>
    <w:rPr>
      <w:caps/>
    </w:rPr>
  </w:style>
  <w:style w:type="paragraph" w:customStyle="1" w:styleId="zSoquijdatGreffe">
    <w:name w:val="zSoquij_datGreffe"/>
    <w:basedOn w:val="Normal"/>
    <w:rsid w:val="00C025FC"/>
    <w:pPr>
      <w:ind w:left="29"/>
    </w:pPr>
    <w:rPr>
      <w:caps/>
    </w:rPr>
  </w:style>
  <w:style w:type="paragraph" w:customStyle="1" w:styleId="zSoquijdatDivision">
    <w:name w:val="zSoquij_datDivision"/>
    <w:basedOn w:val="Normal"/>
    <w:pPr>
      <w:jc w:val="center"/>
    </w:pPr>
    <w:rPr>
      <w:sz w:val="22"/>
    </w:rPr>
  </w:style>
  <w:style w:type="paragraph" w:customStyle="1" w:styleId="zSoquijlblNoDossier">
    <w:name w:val="zSoquij_lblNoDossier"/>
    <w:basedOn w:val="Normal"/>
  </w:style>
  <w:style w:type="paragraph" w:customStyle="1" w:styleId="zSoquijdatNoDossier">
    <w:name w:val="zSoquij_datNoDossier"/>
    <w:basedOn w:val="Normal"/>
  </w:style>
  <w:style w:type="paragraph" w:customStyle="1" w:styleId="zSoquijdatNoDossierAnt">
    <w:name w:val="zSoquij_datNoDossierAnt"/>
    <w:basedOn w:val="Normal"/>
  </w:style>
  <w:style w:type="paragraph" w:customStyle="1" w:styleId="zSoquijdatDateJugement">
    <w:name w:val="zSoquij_datDateJugement"/>
    <w:basedOn w:val="Normal"/>
  </w:style>
  <w:style w:type="paragraph" w:customStyle="1" w:styleId="zSoquijlblDateJugement">
    <w:name w:val="zSoquij_lblDateJugement"/>
    <w:basedOn w:val="Normal"/>
  </w:style>
  <w:style w:type="paragraph" w:customStyle="1" w:styleId="zSoquijlblJuge">
    <w:name w:val="zSoquij_lblJuge"/>
    <w:basedOn w:val="Normal"/>
    <w:rsid w:val="00C025FC"/>
    <w:pPr>
      <w:ind w:left="70"/>
    </w:pPr>
    <w:rPr>
      <w:b/>
      <w:caps/>
    </w:rPr>
  </w:style>
  <w:style w:type="paragraph" w:customStyle="1" w:styleId="zSoquijdatQteJuge">
    <w:name w:val="zSoquij_datQteJuge"/>
    <w:basedOn w:val="Normal"/>
    <w:rsid w:val="00C025FC"/>
    <w:pPr>
      <w:ind w:left="29"/>
    </w:pPr>
    <w:rPr>
      <w:b/>
      <w:caps/>
    </w:rPr>
  </w:style>
  <w:style w:type="paragraph" w:customStyle="1" w:styleId="zSoquijdatJuge">
    <w:name w:val="zSoquij_datJuge"/>
    <w:basedOn w:val="Normal"/>
    <w:rsid w:val="00BA153A"/>
    <w:pPr>
      <w:ind w:left="52"/>
    </w:pPr>
    <w:rPr>
      <w:b/>
      <w:caps/>
    </w:rPr>
  </w:style>
  <w:style w:type="paragraph" w:customStyle="1" w:styleId="zSoquijdatNomPartieDem">
    <w:name w:val="zSoquij_datNomPartieDem"/>
    <w:basedOn w:val="Normal"/>
    <w:rPr>
      <w:b/>
      <w:bCs/>
    </w:rPr>
  </w:style>
  <w:style w:type="paragraph" w:customStyle="1" w:styleId="zSoquijdatQtePartieDem">
    <w:name w:val="zSoquij_datQtePartieDem"/>
    <w:basedOn w:val="Normal"/>
    <w:pPr>
      <w:ind w:left="708"/>
    </w:pPr>
  </w:style>
  <w:style w:type="paragraph" w:customStyle="1" w:styleId="zSoquijlblLienParties">
    <w:name w:val="zSoquij_lblLienParties"/>
    <w:basedOn w:val="Normal"/>
  </w:style>
  <w:style w:type="paragraph" w:customStyle="1" w:styleId="zSoquijdatNomPartieDef">
    <w:name w:val="zSoquij_datNomPartieDef"/>
    <w:basedOn w:val="Normal"/>
    <w:rPr>
      <w:b/>
      <w:bCs/>
    </w:rPr>
  </w:style>
  <w:style w:type="paragraph" w:customStyle="1" w:styleId="zSoquijdatQtePartieDef">
    <w:name w:val="zSoquij_datQtePartieDef"/>
    <w:basedOn w:val="Normal"/>
    <w:pPr>
      <w:ind w:left="708"/>
    </w:pPr>
  </w:style>
  <w:style w:type="paragraph" w:customStyle="1" w:styleId="zSoquijlblTypeDocument">
    <w:name w:val="zSoquij_lblTypeDocument"/>
    <w:basedOn w:val="Normal"/>
    <w:rsid w:val="00C025FC"/>
    <w:pPr>
      <w:jc w:val="center"/>
    </w:pPr>
    <w:rPr>
      <w:caps/>
    </w:rPr>
  </w:style>
  <w:style w:type="paragraph" w:customStyle="1" w:styleId="zSoquijlblProcureurDem">
    <w:name w:val="zSoquij_lblProcureurDem"/>
    <w:basedOn w:val="Normal"/>
  </w:style>
  <w:style w:type="paragraph" w:customStyle="1" w:styleId="zSoquijlblProcureurDef">
    <w:name w:val="zSoquij_lblProcureurDef"/>
    <w:basedOn w:val="Normal"/>
  </w:style>
  <w:style w:type="paragraph" w:customStyle="1" w:styleId="zSoquijlblDateAudience">
    <w:name w:val="zSoquij_lblDateAudience"/>
    <w:basedOn w:val="Normal"/>
  </w:style>
  <w:style w:type="paragraph" w:customStyle="1" w:styleId="zSoquijdatDateAudience">
    <w:name w:val="zSoquij_datDateAudience"/>
    <w:basedOn w:val="Normal"/>
  </w:style>
  <w:style w:type="paragraph" w:customStyle="1" w:styleId="zSoquijlblNomChambre">
    <w:name w:val="zSoquij_lblNomChambre"/>
    <w:basedOn w:val="Normal"/>
  </w:style>
  <w:style w:type="paragraph" w:customStyle="1" w:styleId="zSoquijlblOpinionJuge">
    <w:name w:val="zSoquij_lblOpinionJuge"/>
    <w:basedOn w:val="Normal"/>
    <w:pPr>
      <w:tabs>
        <w:tab w:val="left" w:pos="720"/>
      </w:tabs>
      <w:jc w:val="center"/>
    </w:pPr>
  </w:style>
  <w:style w:type="character" w:customStyle="1" w:styleId="zSoquijlblEntNoDossier">
    <w:name w:val="zSoquij_lblEntNoDossier"/>
    <w:rPr>
      <w:lang w:val="fr-CA"/>
    </w:rPr>
  </w:style>
  <w:style w:type="paragraph" w:customStyle="1" w:styleId="zSoquijlblTitrePartie">
    <w:name w:val="zSoquij_lblTitrePartie"/>
    <w:basedOn w:val="Normal"/>
  </w:style>
  <w:style w:type="paragraph" w:customStyle="1" w:styleId="zSoquijdatSignature3Juge">
    <w:name w:val="zSoquij_datSignature3Juge"/>
    <w:basedOn w:val="Normal"/>
  </w:style>
  <w:style w:type="paragraph" w:customStyle="1" w:styleId="ParagNonNum">
    <w:name w:val="ParagNonNum"/>
    <w:basedOn w:val="Paragrdouble"/>
    <w:pPr>
      <w:numPr>
        <w:numId w:val="0"/>
      </w:numPr>
      <w:ind w:firstLine="734"/>
    </w:pPr>
  </w:style>
  <w:style w:type="paragraph" w:customStyle="1" w:styleId="zSoquijdatIdJuge">
    <w:name w:val="zSoquij_datIdJuge"/>
    <w:basedOn w:val="Normal"/>
    <w:pPr>
      <w:jc w:val="center"/>
    </w:pPr>
    <w:rPr>
      <w:sz w:val="20"/>
    </w:rPr>
  </w:style>
  <w:style w:type="paragraph" w:customStyle="1" w:styleId="Sous-paragraphe">
    <w:name w:val="Sous-paragraphe"/>
    <w:basedOn w:val="Normal"/>
    <w:rsid w:val="00CF51ED"/>
    <w:pPr>
      <w:widowControl w:val="0"/>
      <w:numPr>
        <w:ilvl w:val="1"/>
        <w:numId w:val="3"/>
      </w:numPr>
      <w:spacing w:before="120" w:after="120"/>
      <w:ind w:left="1462" w:hanging="731"/>
      <w:jc w:val="both"/>
    </w:pPr>
    <w:rPr>
      <w:kern w:val="28"/>
    </w:rPr>
  </w:style>
  <w:style w:type="paragraph" w:customStyle="1" w:styleId="zSoquijdatNomProcureurDem">
    <w:name w:val="zSoquij_datNomProcureurDem"/>
    <w:basedOn w:val="zSoquijlblProcureurDem"/>
  </w:style>
  <w:style w:type="paragraph" w:customStyle="1" w:styleId="zSoquijdatNomProcureurDef">
    <w:name w:val="zSoquij_datNomProcureurDef"/>
    <w:basedOn w:val="zSoquijlblProcureurDef"/>
  </w:style>
  <w:style w:type="paragraph" w:customStyle="1" w:styleId="zSoquijdatCabinetProcureurDem">
    <w:name w:val="zSoquij_datCabinetProcureurDem"/>
    <w:basedOn w:val="Normal"/>
  </w:style>
  <w:style w:type="paragraph" w:customStyle="1" w:styleId="zSoquijdatCabinetProcureurDef">
    <w:name w:val="zSoquij_datCabinetProcureurDef"/>
    <w:basedOn w:val="zSoquijlblProcureurDef"/>
  </w:style>
  <w:style w:type="paragraph" w:customStyle="1" w:styleId="zSoquijdatSignatureJuge1">
    <w:name w:val="zSoquij_datSignatureJuge1"/>
    <w:basedOn w:val="Normal"/>
  </w:style>
  <w:style w:type="paragraph" w:customStyle="1" w:styleId="zSoquijdatSignatureJuge2">
    <w:name w:val="zSoquij_datSignatureJuge2"/>
    <w:basedOn w:val="Normal"/>
  </w:style>
  <w:style w:type="paragraph" w:customStyle="1" w:styleId="zSoquijdatSignatureJuge3">
    <w:name w:val="zSoquij_datSignatureJuge3"/>
    <w:basedOn w:val="Normal"/>
  </w:style>
  <w:style w:type="paragraph" w:customStyle="1" w:styleId="zSoquijdatRepertorie">
    <w:name w:val="zSoquij_datRepertorie"/>
    <w:basedOn w:val="zSoquijlblCour"/>
    <w:pPr>
      <w:jc w:val="left"/>
    </w:pPr>
    <w:rPr>
      <w:noProof/>
      <w:sz w:val="22"/>
    </w:rPr>
  </w:style>
  <w:style w:type="paragraph" w:customStyle="1" w:styleId="zSoquijdatRefNeutre">
    <w:name w:val="zSoquij_datRefNeutre"/>
    <w:basedOn w:val="zSoquijlblCour"/>
    <w:pPr>
      <w:jc w:val="left"/>
    </w:pPr>
    <w:rPr>
      <w:noProof/>
      <w:sz w:val="22"/>
    </w:rPr>
  </w:style>
  <w:style w:type="paragraph" w:customStyle="1" w:styleId="zSoquijdatSignature2Juge">
    <w:name w:val="zSoquij_datSignature2Juge"/>
    <w:basedOn w:val="zSoquijdatSignatureJuge3"/>
  </w:style>
  <w:style w:type="paragraph" w:customStyle="1" w:styleId="ParagAlaMarge">
    <w:name w:val="ParagAlaMarge"/>
    <w:basedOn w:val="ParagNonNum"/>
    <w:next w:val="Paragrdouble"/>
    <w:rsid w:val="00CF51ED"/>
    <w:pPr>
      <w:ind w:firstLine="0"/>
    </w:pPr>
  </w:style>
  <w:style w:type="paragraph" w:customStyle="1" w:styleId="zSoquijlblAssesseurs">
    <w:name w:val="zSoquij_lblAssesseurs"/>
    <w:basedOn w:val="Normal"/>
    <w:pPr>
      <w:ind w:left="14" w:right="-67"/>
    </w:pPr>
  </w:style>
  <w:style w:type="paragraph" w:customStyle="1" w:styleId="zSoquijdatAssesseurs">
    <w:name w:val="zSoquij_datAssesseurs"/>
    <w:basedOn w:val="Normal"/>
    <w:pPr>
      <w:ind w:left="14" w:right="-67"/>
    </w:pPr>
  </w:style>
  <w:style w:type="paragraph" w:customStyle="1" w:styleId="zSoquijlblLocalite">
    <w:name w:val="zSoquij_lblLocalite"/>
    <w:basedOn w:val="zSoquijlblGreffe"/>
  </w:style>
  <w:style w:type="paragraph" w:customStyle="1" w:styleId="zSoquijdatLocalite">
    <w:name w:val="zSoquij_datLocalite"/>
    <w:basedOn w:val="zSoquijdatGreffe"/>
  </w:style>
  <w:style w:type="numbering" w:customStyle="1" w:styleId="Style1">
    <w:name w:val="Style1"/>
    <w:uiPriority w:val="99"/>
    <w:rsid w:val="00CE1CAF"/>
    <w:pPr>
      <w:numPr>
        <w:numId w:val="13"/>
      </w:numPr>
    </w:pPr>
  </w:style>
  <w:style w:type="paragraph" w:customStyle="1" w:styleId="Paragrsimple">
    <w:name w:val="Paragr. simple"/>
    <w:basedOn w:val="Paragrdouble"/>
    <w:next w:val="Paragrdouble"/>
    <w:qFormat/>
    <w:rsid w:val="00BA153A"/>
    <w:pPr>
      <w:spacing w:line="240" w:lineRule="auto"/>
    </w:pPr>
  </w:style>
  <w:style w:type="paragraph" w:styleId="En-ttedetabledesmatires">
    <w:name w:val="TOC Heading"/>
    <w:basedOn w:val="Titre1"/>
    <w:next w:val="Normal"/>
    <w:uiPriority w:val="39"/>
    <w:qFormat/>
    <w:rsid w:val="00BA153A"/>
    <w:pPr>
      <w:keepLines/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u w:val="none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BA153A"/>
  </w:style>
  <w:style w:type="paragraph" w:styleId="TM2">
    <w:name w:val="toc 2"/>
    <w:basedOn w:val="Normal"/>
    <w:next w:val="Normal"/>
    <w:autoRedefine/>
    <w:uiPriority w:val="39"/>
    <w:unhideWhenUsed/>
    <w:rsid w:val="00BA153A"/>
    <w:pPr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BA153A"/>
    <w:pPr>
      <w:ind w:left="480"/>
    </w:pPr>
  </w:style>
  <w:style w:type="character" w:styleId="Hyperlien">
    <w:name w:val="Hyperlink"/>
    <w:uiPriority w:val="99"/>
    <w:unhideWhenUsed/>
    <w:rsid w:val="00BA153A"/>
    <w:rPr>
      <w:color w:val="0000FF"/>
      <w:u w:val="single"/>
      <w:lang w:val="fr-CA"/>
    </w:rPr>
  </w:style>
  <w:style w:type="paragraph" w:styleId="Explorateurdedocuments">
    <w:name w:val="Document Map"/>
    <w:basedOn w:val="Normal"/>
    <w:semiHidden/>
    <w:rsid w:val="00007687"/>
    <w:pPr>
      <w:shd w:val="clear" w:color="auto" w:fill="000080"/>
    </w:pPr>
    <w:rPr>
      <w:rFonts w:ascii="Tahoma" w:hAnsi="Tahoma" w:cs="Tahoma"/>
      <w:sz w:val="20"/>
    </w:rPr>
  </w:style>
  <w:style w:type="paragraph" w:styleId="Titre">
    <w:name w:val="Title"/>
    <w:basedOn w:val="Normal"/>
    <w:qFormat/>
    <w:rsid w:val="008A453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A370D"/>
    <w:pPr>
      <w:ind w:left="720"/>
      <w:contextualSpacing/>
    </w:pPr>
  </w:style>
  <w:style w:type="character" w:styleId="Appelnotedebasdep">
    <w:name w:val="footnote reference"/>
    <w:basedOn w:val="Policepardfaut"/>
    <w:uiPriority w:val="99"/>
    <w:unhideWhenUsed/>
    <w:qFormat/>
    <w:rsid w:val="007D5847"/>
    <w:rPr>
      <w:vertAlign w:val="superscript"/>
    </w:rPr>
  </w:style>
  <w:style w:type="paragraph" w:styleId="Citation">
    <w:name w:val="Quote"/>
    <w:basedOn w:val="Normal"/>
    <w:next w:val="Normal"/>
    <w:link w:val="CitationCar"/>
    <w:uiPriority w:val="29"/>
    <w:qFormat/>
    <w:rsid w:val="00E40644"/>
    <w:pPr>
      <w:spacing w:after="240"/>
      <w:ind w:left="1134" w:right="720"/>
      <w:jc w:val="both"/>
    </w:pPr>
    <w:rPr>
      <w:rFonts w:eastAsia="Calibri"/>
      <w:i/>
      <w:sz w:val="22"/>
      <w:szCs w:val="22"/>
      <w:lang w:val="en-US" w:eastAsia="en-US"/>
      <w:specVanish/>
    </w:rPr>
  </w:style>
  <w:style w:type="character" w:customStyle="1" w:styleId="CitationCar">
    <w:name w:val="Citation Car"/>
    <w:basedOn w:val="Policepardfaut"/>
    <w:link w:val="Citation"/>
    <w:uiPriority w:val="29"/>
    <w:rsid w:val="00E40644"/>
    <w:rPr>
      <w:rFonts w:ascii="Arial" w:eastAsia="Calibri" w:hAnsi="Arial"/>
      <w:i/>
      <w:sz w:val="22"/>
      <w:szCs w:val="22"/>
      <w:lang w:val="en-US" w:eastAsia="en-US"/>
      <w:specVanish/>
    </w:rPr>
  </w:style>
  <w:style w:type="paragraph" w:customStyle="1" w:styleId="a">
    <w:name w:val="a"/>
    <w:basedOn w:val="Normal"/>
    <w:link w:val="aChar"/>
    <w:qFormat/>
    <w:rsid w:val="006F4870"/>
    <w:pPr>
      <w:spacing w:before="160" w:after="160" w:line="276" w:lineRule="auto"/>
      <w:ind w:left="992" w:hanging="425"/>
      <w:jc w:val="both"/>
    </w:pPr>
    <w:rPr>
      <w:rFonts w:eastAsia="Calibri" w:cs="Arial"/>
      <w:sz w:val="22"/>
      <w:szCs w:val="22"/>
      <w:lang w:eastAsia="en-CA"/>
      <w:specVanish/>
    </w:rPr>
  </w:style>
  <w:style w:type="character" w:customStyle="1" w:styleId="aChar">
    <w:name w:val="a Char"/>
    <w:basedOn w:val="Policepardfaut"/>
    <w:link w:val="a"/>
    <w:rsid w:val="006F4870"/>
    <w:rPr>
      <w:rFonts w:ascii="Arial" w:eastAsia="Calibri" w:hAnsi="Arial" w:cs="Arial"/>
      <w:sz w:val="22"/>
      <w:szCs w:val="22"/>
      <w:lang w:eastAsia="en-CA"/>
      <w:specVanish/>
    </w:rPr>
  </w:style>
  <w:style w:type="character" w:customStyle="1" w:styleId="NotedebasdepageCar">
    <w:name w:val="Note de bas de page Car"/>
    <w:aliases w:val="Note de bas de page + 10pt Car,Note de bas de page art 65 Car,fn Car"/>
    <w:basedOn w:val="Policepardfaut"/>
    <w:link w:val="Notedebasdepage"/>
    <w:uiPriority w:val="99"/>
    <w:rsid w:val="005E3110"/>
    <w:rPr>
      <w:rFonts w:ascii="Arial" w:hAnsi="Arial"/>
      <w:lang w:eastAsia="fr-FR"/>
    </w:rPr>
  </w:style>
  <w:style w:type="character" w:customStyle="1" w:styleId="reference">
    <w:name w:val="reference"/>
    <w:basedOn w:val="Policepardfaut"/>
    <w:rsid w:val="00B5782A"/>
  </w:style>
  <w:style w:type="paragraph" w:styleId="En-tte">
    <w:name w:val="header"/>
    <w:basedOn w:val="Normal"/>
    <w:link w:val="En-tteCar"/>
    <w:uiPriority w:val="99"/>
    <w:unhideWhenUsed/>
    <w:rsid w:val="0042189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21894"/>
    <w:rPr>
      <w:rFonts w:ascii="Arial" w:hAnsi="Arial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189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894"/>
    <w:rPr>
      <w:rFonts w:ascii="Arial" w:hAnsi="Arial"/>
      <w:sz w:val="24"/>
      <w:lang w:eastAsia="fr-FR"/>
    </w:rPr>
  </w:style>
  <w:style w:type="character" w:customStyle="1" w:styleId="label-section">
    <w:name w:val="label-section"/>
    <w:basedOn w:val="Policepardfaut"/>
    <w:rsid w:val="00A37D7A"/>
  </w:style>
  <w:style w:type="character" w:customStyle="1" w:styleId="subsection">
    <w:name w:val="subsection"/>
    <w:basedOn w:val="Policepardfaut"/>
    <w:rsid w:val="00A37D7A"/>
  </w:style>
  <w:style w:type="paragraph" w:customStyle="1" w:styleId="Default">
    <w:name w:val="Default"/>
    <w:rsid w:val="00BD2A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table" w:styleId="Grilledutableau">
    <w:name w:val="Table Grid"/>
    <w:basedOn w:val="TableauNormal"/>
    <w:uiPriority w:val="59"/>
    <w:rsid w:val="0021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6912949D2844AB29BCE062F10EE47" ma:contentTypeVersion="2" ma:contentTypeDescription="Crée un document." ma:contentTypeScope="" ma:versionID="b8dd427ebd6f3d314ca5e88f91283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b02700a3604451f1e16efd2d3689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1385-B317-4A73-AB5B-447180BDB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D3F2B-15EA-492A-8B48-2CF10FE3B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6EA7D-5931-4824-BFC9-7AD817D1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EE282-6C98-4CF4-812D-252C5FD406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6dec78-7ded-4395-975c-6edbb7d10b16}" enabled="0" method="" siteId="{3f6dec78-7ded-4395-975c-6edbb7d10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4088</Words>
  <Characters>22485</Characters>
  <Application>Microsoft Office Word</Application>
  <DocSecurity>0</DocSecurity>
  <Lines>187</Lines>
  <Paragraphs>53</Paragraphs>
  <ScaleCrop>false</ScaleCrop>
  <Company/>
  <LinksUpToDate>false</LinksUpToDate>
  <CharactersWithSpaces>26520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Deschênes, Gabrielle</cp:lastModifiedBy>
  <cp:revision>6</cp:revision>
  <dcterms:created xsi:type="dcterms:W3CDTF">2026-05-14T05:09:00Z</dcterms:created>
  <dcterms:modified xsi:type="dcterms:W3CDTF">2026-05-14T11:31:00Z</dcterms:modified>
</cp:coreProperties>
</file>