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7A2931" w:rsidRPr="007A2931" w:rsidTr="007A2931">
        <w:trPr>
          <w:trHeight w:val="1786"/>
        </w:trPr>
        <w:tc>
          <w:tcPr>
            <w:tcW w:w="5000" w:type="pct"/>
            <w:gridSpan w:val="4"/>
          </w:tcPr>
          <w:p w:rsidR="007A2931" w:rsidRPr="007A2931" w:rsidRDefault="007A2931" w:rsidP="007A2931">
            <w:pPr>
              <w:jc w:val="center"/>
              <w:rPr>
                <w:b/>
                <w:lang w:val="fr-CA"/>
              </w:rPr>
            </w:pPr>
            <w:r w:rsidRPr="007A2931">
              <w:rPr>
                <w:b/>
                <w:noProof/>
                <w:lang w:val="fr-CA" w:eastAsia="fr-CA"/>
              </w:rPr>
              <w:drawing>
                <wp:inline distT="0" distB="0" distL="0" distR="0" wp14:anchorId="77384F6D" wp14:editId="464C02F5">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rsidR="007A2931" w:rsidRPr="007A2931" w:rsidRDefault="007A2931" w:rsidP="007A2931">
            <w:pPr>
              <w:spacing w:before="120" w:after="100" w:afterAutospacing="1"/>
              <w:jc w:val="center"/>
              <w:rPr>
                <w:lang w:val="fr-CA"/>
              </w:rPr>
            </w:pPr>
            <w:r w:rsidRPr="007A2931">
              <w:rPr>
                <w:b/>
                <w:lang w:val="fr-CA"/>
              </w:rPr>
              <w:t>COUR SUPRÊME DU CANADA</w:t>
            </w:r>
          </w:p>
        </w:tc>
      </w:tr>
      <w:tr w:rsidR="007A2931" w:rsidRPr="0023370F" w:rsidTr="007A2931">
        <w:tblPrEx>
          <w:tblCellMar>
            <w:top w:w="58" w:type="dxa"/>
            <w:left w:w="58" w:type="dxa"/>
            <w:bottom w:w="58" w:type="dxa"/>
            <w:right w:w="58" w:type="dxa"/>
          </w:tblCellMar>
        </w:tblPrEx>
        <w:tc>
          <w:tcPr>
            <w:tcW w:w="2110" w:type="pct"/>
            <w:gridSpan w:val="2"/>
          </w:tcPr>
          <w:p w:rsidR="007A2931" w:rsidRPr="007A2931" w:rsidRDefault="007A2931" w:rsidP="007A2931">
            <w:pPr>
              <w:rPr>
                <w:b/>
                <w:smallCaps/>
                <w:lang w:val="fr-CA"/>
              </w:rPr>
            </w:pPr>
          </w:p>
          <w:p w:rsidR="007A2931" w:rsidRPr="007A2931" w:rsidRDefault="007A2931" w:rsidP="007A2931">
            <w:pPr>
              <w:rPr>
                <w:b/>
                <w:smallCaps/>
                <w:lang w:val="fr-CA"/>
              </w:rPr>
            </w:pPr>
            <w:r w:rsidRPr="007A2931">
              <w:rPr>
                <w:b/>
                <w:smallCaps/>
                <w:lang w:val="fr-CA"/>
              </w:rPr>
              <w:t>Référence :</w:t>
            </w:r>
            <w:r w:rsidRPr="007A2931">
              <w:rPr>
                <w:lang w:val="fr-CA"/>
              </w:rPr>
              <w:t xml:space="preserve"> R. </w:t>
            </w:r>
            <w:r w:rsidRPr="007A2931">
              <w:rPr>
                <w:i/>
                <w:lang w:val="fr-CA"/>
              </w:rPr>
              <w:t>c.</w:t>
            </w:r>
            <w:r w:rsidRPr="007A2931">
              <w:rPr>
                <w:lang w:val="fr-CA"/>
              </w:rPr>
              <w:t xml:space="preserve"> Berg, 2026 CSC 21</w:t>
            </w:r>
          </w:p>
        </w:tc>
        <w:tc>
          <w:tcPr>
            <w:tcW w:w="780" w:type="pct"/>
          </w:tcPr>
          <w:p w:rsidR="007A2931" w:rsidRPr="007A2931" w:rsidRDefault="007A2931" w:rsidP="007A2931">
            <w:pPr>
              <w:rPr>
                <w:lang w:val="fr-CA"/>
              </w:rPr>
            </w:pPr>
          </w:p>
        </w:tc>
        <w:tc>
          <w:tcPr>
            <w:tcW w:w="2110" w:type="pct"/>
          </w:tcPr>
          <w:p w:rsidR="007A2931" w:rsidRPr="007A2931" w:rsidRDefault="007A2931" w:rsidP="007A2931">
            <w:pPr>
              <w:jc w:val="both"/>
              <w:rPr>
                <w:b/>
                <w:smallCaps/>
                <w:lang w:val="fr-CA"/>
              </w:rPr>
            </w:pPr>
          </w:p>
          <w:p w:rsidR="007A2931" w:rsidRPr="007A2931" w:rsidRDefault="007A2931" w:rsidP="007A2931">
            <w:pPr>
              <w:rPr>
                <w:lang w:val="fr-CA"/>
              </w:rPr>
            </w:pPr>
            <w:r w:rsidRPr="007A2931">
              <w:rPr>
                <w:b/>
                <w:smallCaps/>
                <w:lang w:val="fr-CA"/>
              </w:rPr>
              <w:t>Appel entendu et jugement rendu :</w:t>
            </w:r>
            <w:r w:rsidRPr="007A2931">
              <w:rPr>
                <w:lang w:val="fr-CA"/>
              </w:rPr>
              <w:t xml:space="preserve"> 14 avril 2026</w:t>
            </w:r>
          </w:p>
          <w:p w:rsidR="007A2931" w:rsidRPr="007A2931" w:rsidRDefault="007A2931" w:rsidP="007A2931">
            <w:pPr>
              <w:rPr>
                <w:b/>
                <w:smallCaps/>
                <w:lang w:val="fr-CA"/>
              </w:rPr>
            </w:pPr>
            <w:r w:rsidRPr="007A2931">
              <w:rPr>
                <w:b/>
                <w:smallCaps/>
                <w:lang w:val="fr-CA"/>
              </w:rPr>
              <w:t xml:space="preserve">Motifs de jugement : </w:t>
            </w:r>
            <w:r w:rsidRPr="007A2931">
              <w:rPr>
                <w:lang w:val="fr-CA"/>
              </w:rPr>
              <w:t>5 juin 2026</w:t>
            </w:r>
          </w:p>
          <w:p w:rsidR="007A2931" w:rsidRPr="007A2931" w:rsidRDefault="007A2931" w:rsidP="007A2931">
            <w:pPr>
              <w:rPr>
                <w:lang w:val="fr-CA"/>
              </w:rPr>
            </w:pPr>
            <w:r w:rsidRPr="007A2931">
              <w:rPr>
                <w:b/>
                <w:smallCaps/>
                <w:lang w:val="fr-CA"/>
              </w:rPr>
              <w:t>Dossier :</w:t>
            </w:r>
            <w:r w:rsidRPr="007A2931">
              <w:rPr>
                <w:lang w:val="fr-CA"/>
              </w:rPr>
              <w:t xml:space="preserve"> 41980</w:t>
            </w:r>
          </w:p>
        </w:tc>
      </w:tr>
      <w:tr w:rsidR="007A2931" w:rsidRPr="007A2931" w:rsidTr="007A2931">
        <w:tblPrEx>
          <w:tblCellMar>
            <w:top w:w="58" w:type="dxa"/>
            <w:left w:w="58" w:type="dxa"/>
            <w:bottom w:w="58" w:type="dxa"/>
            <w:right w:w="58" w:type="dxa"/>
          </w:tblCellMar>
        </w:tblPrEx>
        <w:tc>
          <w:tcPr>
            <w:tcW w:w="5000" w:type="pct"/>
            <w:gridSpan w:val="4"/>
          </w:tcPr>
          <w:p w:rsidR="007A2931" w:rsidRPr="007A2931" w:rsidRDefault="007A2931" w:rsidP="007A2931">
            <w:pPr>
              <w:rPr>
                <w:lang w:val="fr-CA"/>
              </w:rPr>
            </w:pPr>
          </w:p>
          <w:p w:rsidR="007A2931" w:rsidRPr="007A2931" w:rsidRDefault="007A2931" w:rsidP="007A2931">
            <w:pPr>
              <w:rPr>
                <w:b/>
                <w:smallCaps/>
                <w:lang w:val="fr-CA"/>
              </w:rPr>
            </w:pPr>
            <w:r w:rsidRPr="007A2931">
              <w:rPr>
                <w:b/>
                <w:smallCaps/>
                <w:lang w:val="fr-CA"/>
              </w:rPr>
              <w:t>Entre :</w:t>
            </w:r>
          </w:p>
          <w:p w:rsidR="007A2931" w:rsidRPr="007A2931" w:rsidRDefault="007A2931" w:rsidP="007A2931">
            <w:pPr>
              <w:rPr>
                <w:lang w:val="fr-CA"/>
              </w:rPr>
            </w:pPr>
          </w:p>
          <w:p w:rsidR="007A2931" w:rsidRPr="007A2931" w:rsidRDefault="007A2931" w:rsidP="007A2931">
            <w:pPr>
              <w:jc w:val="center"/>
              <w:rPr>
                <w:b/>
                <w:lang w:val="fr-CA"/>
              </w:rPr>
            </w:pPr>
            <w:r w:rsidRPr="007A2931">
              <w:rPr>
                <w:b/>
                <w:lang w:val="fr-CA"/>
              </w:rPr>
              <w:t>Matthew Berg</w:t>
            </w:r>
          </w:p>
          <w:p w:rsidR="007A2931" w:rsidRPr="007A2931" w:rsidRDefault="007A2931" w:rsidP="007A2931">
            <w:pPr>
              <w:jc w:val="center"/>
              <w:rPr>
                <w:lang w:val="fr-CA"/>
              </w:rPr>
            </w:pPr>
            <w:r w:rsidRPr="007A2931">
              <w:rPr>
                <w:lang w:val="fr-CA"/>
              </w:rPr>
              <w:t>Appelant</w:t>
            </w:r>
          </w:p>
          <w:p w:rsidR="007A2931" w:rsidRPr="007A2931" w:rsidRDefault="007A2931" w:rsidP="007A2931">
            <w:pPr>
              <w:rPr>
                <w:lang w:val="fr-CA"/>
              </w:rPr>
            </w:pPr>
          </w:p>
          <w:p w:rsidR="007A2931" w:rsidRPr="007A2931" w:rsidRDefault="007A2931" w:rsidP="007A2931">
            <w:pPr>
              <w:jc w:val="center"/>
              <w:rPr>
                <w:lang w:val="fr-CA"/>
              </w:rPr>
            </w:pPr>
            <w:proofErr w:type="gramStart"/>
            <w:r w:rsidRPr="007A2931">
              <w:rPr>
                <w:lang w:val="fr-CA"/>
              </w:rPr>
              <w:t>et</w:t>
            </w:r>
            <w:proofErr w:type="gramEnd"/>
          </w:p>
          <w:p w:rsidR="007A2931" w:rsidRPr="007A2931" w:rsidRDefault="007A2931" w:rsidP="007A2931">
            <w:pPr>
              <w:rPr>
                <w:lang w:val="fr-CA"/>
              </w:rPr>
            </w:pPr>
          </w:p>
          <w:p w:rsidR="007A2931" w:rsidRPr="007A2931" w:rsidRDefault="007A2931" w:rsidP="007A2931">
            <w:pPr>
              <w:jc w:val="center"/>
              <w:rPr>
                <w:b/>
                <w:lang w:val="fr-CA"/>
              </w:rPr>
            </w:pPr>
            <w:r w:rsidRPr="007A2931">
              <w:rPr>
                <w:b/>
                <w:lang w:val="fr-CA"/>
              </w:rPr>
              <w:t>Sa Majesté le Roi</w:t>
            </w:r>
          </w:p>
          <w:p w:rsidR="007A2931" w:rsidRPr="007A2931" w:rsidRDefault="007A2931" w:rsidP="007A2931">
            <w:pPr>
              <w:jc w:val="center"/>
              <w:rPr>
                <w:lang w:val="fr-CA"/>
              </w:rPr>
            </w:pPr>
            <w:r w:rsidRPr="007A2931">
              <w:rPr>
                <w:lang w:val="fr-CA"/>
              </w:rPr>
              <w:t>Intimé</w:t>
            </w:r>
          </w:p>
          <w:p w:rsidR="007A2931" w:rsidRPr="007A2931" w:rsidRDefault="007A2931" w:rsidP="007A2931">
            <w:pPr>
              <w:rPr>
                <w:lang w:val="fr-CA"/>
              </w:rPr>
            </w:pPr>
          </w:p>
          <w:p w:rsidR="007A2931" w:rsidRPr="007A2931" w:rsidRDefault="007A2931" w:rsidP="007A2931">
            <w:pPr>
              <w:jc w:val="center"/>
              <w:rPr>
                <w:b/>
                <w:smallCaps/>
                <w:lang w:val="fr-CA"/>
              </w:rPr>
            </w:pPr>
            <w:r w:rsidRPr="007A2931">
              <w:rPr>
                <w:b/>
                <w:smallCaps/>
                <w:lang w:val="fr-CA"/>
              </w:rPr>
              <w:t>Traduction française officielle</w:t>
            </w:r>
          </w:p>
          <w:p w:rsidR="007A2931" w:rsidRPr="007A2931" w:rsidRDefault="007A2931" w:rsidP="007A2931">
            <w:pPr>
              <w:rPr>
                <w:b/>
                <w:smallCaps/>
                <w:lang w:val="fr-CA"/>
              </w:rPr>
            </w:pPr>
          </w:p>
        </w:tc>
      </w:tr>
      <w:tr w:rsidR="007A2931" w:rsidRPr="0023370F" w:rsidTr="007A2931">
        <w:tblPrEx>
          <w:tblCellMar>
            <w:top w:w="58" w:type="dxa"/>
            <w:left w:w="58" w:type="dxa"/>
            <w:bottom w:w="58" w:type="dxa"/>
            <w:right w:w="58" w:type="dxa"/>
          </w:tblCellMar>
        </w:tblPrEx>
        <w:trPr>
          <w:trHeight w:val="504"/>
        </w:trPr>
        <w:tc>
          <w:tcPr>
            <w:tcW w:w="5000" w:type="pct"/>
            <w:gridSpan w:val="4"/>
          </w:tcPr>
          <w:p w:rsidR="007A2931" w:rsidRPr="007A2931" w:rsidRDefault="007A2931" w:rsidP="007A2931">
            <w:pPr>
              <w:spacing w:before="120"/>
              <w:rPr>
                <w:lang w:val="fr-CA"/>
              </w:rPr>
            </w:pPr>
            <w:r w:rsidRPr="007A2931">
              <w:rPr>
                <w:b/>
                <w:smallCaps/>
                <w:lang w:val="fr-CA"/>
              </w:rPr>
              <w:t>Coram</w:t>
            </w:r>
            <w:r w:rsidRPr="007A2931">
              <w:rPr>
                <w:b/>
                <w:lang w:val="fr-CA"/>
              </w:rPr>
              <w:t> :</w:t>
            </w:r>
            <w:r w:rsidRPr="007A2931">
              <w:rPr>
                <w:lang w:val="fr-CA"/>
              </w:rPr>
              <w:t xml:space="preserve"> </w:t>
            </w:r>
            <w:r w:rsidRPr="007A2931">
              <w:rPr>
                <w:color w:val="000000"/>
                <w:lang w:val="fr-CA"/>
              </w:rPr>
              <w:t>Le juge en chef Wagner et les juges Karakatsanis, Côté, Rowe, Martin, Kasirer, Jamal, O’Bonsawin et Moreau</w:t>
            </w:r>
          </w:p>
        </w:tc>
      </w:tr>
      <w:tr w:rsidR="007A2931" w:rsidRPr="007A2931" w:rsidTr="007A2931">
        <w:tblPrEx>
          <w:tblCellMar>
            <w:top w:w="58" w:type="dxa"/>
            <w:left w:w="58" w:type="dxa"/>
            <w:bottom w:w="58" w:type="dxa"/>
            <w:right w:w="58" w:type="dxa"/>
          </w:tblCellMar>
        </w:tblPrEx>
        <w:trPr>
          <w:trHeight w:val="504"/>
        </w:trPr>
        <w:tc>
          <w:tcPr>
            <w:tcW w:w="1251" w:type="pct"/>
          </w:tcPr>
          <w:p w:rsidR="007A2931" w:rsidRPr="007A2931" w:rsidRDefault="007A2931" w:rsidP="007A2931">
            <w:pPr>
              <w:rPr>
                <w:b/>
                <w:smallCaps/>
                <w:lang w:val="fr-CA"/>
              </w:rPr>
            </w:pPr>
            <w:r w:rsidRPr="007A2931">
              <w:rPr>
                <w:b/>
                <w:smallCaps/>
                <w:lang w:val="fr-CA"/>
              </w:rPr>
              <w:t>Motifs de jugement :</w:t>
            </w:r>
          </w:p>
          <w:p w:rsidR="007A2931" w:rsidRPr="007A2931" w:rsidRDefault="007A2931" w:rsidP="007A2931">
            <w:pPr>
              <w:rPr>
                <w:lang w:val="fr-CA"/>
              </w:rPr>
            </w:pPr>
            <w:r w:rsidRPr="007A2931">
              <w:rPr>
                <w:lang w:val="fr-CA"/>
              </w:rPr>
              <w:t>(</w:t>
            </w:r>
            <w:proofErr w:type="gramStart"/>
            <w:r w:rsidRPr="007A2931">
              <w:rPr>
                <w:lang w:val="fr-CA"/>
              </w:rPr>
              <w:t>par</w:t>
            </w:r>
            <w:proofErr w:type="gramEnd"/>
            <w:r w:rsidRPr="007A2931">
              <w:rPr>
                <w:lang w:val="fr-CA"/>
              </w:rPr>
              <w:t>. 1 à 12)</w:t>
            </w:r>
          </w:p>
        </w:tc>
        <w:tc>
          <w:tcPr>
            <w:tcW w:w="3749" w:type="pct"/>
            <w:gridSpan w:val="3"/>
          </w:tcPr>
          <w:p w:rsidR="007A2931" w:rsidRPr="007A2931" w:rsidRDefault="007A2931" w:rsidP="007A2931">
            <w:pPr>
              <w:rPr>
                <w:lang w:val="fr-CA"/>
              </w:rPr>
            </w:pPr>
            <w:r w:rsidRPr="007A2931">
              <w:rPr>
                <w:lang w:val="fr-CA"/>
              </w:rPr>
              <w:t>La Cour</w:t>
            </w:r>
          </w:p>
        </w:tc>
      </w:tr>
    </w:tbl>
    <w:p w:rsidR="007A2931" w:rsidRPr="007A2931" w:rsidRDefault="007A2931" w:rsidP="007A2931">
      <w:pPr>
        <w:rPr>
          <w:rFonts w:eastAsiaTheme="minorHAnsi" w:cstheme="minorBidi"/>
          <w:szCs w:val="24"/>
          <w:lang w:val="fr-CA" w:eastAsia="en-US"/>
        </w:rPr>
      </w:pPr>
    </w:p>
    <w:p w:rsidR="007A2931" w:rsidRPr="007A2931" w:rsidRDefault="007A2931" w:rsidP="007A2931">
      <w:pPr>
        <w:rPr>
          <w:rFonts w:eastAsiaTheme="minorHAnsi" w:cstheme="minorBidi"/>
          <w:szCs w:val="24"/>
          <w:lang w:val="fr-CA" w:eastAsia="en-US"/>
        </w:rPr>
      </w:pPr>
    </w:p>
    <w:p w:rsidR="007A2931" w:rsidRPr="007A2931" w:rsidRDefault="007A2931" w:rsidP="007A2931">
      <w:pPr>
        <w:rPr>
          <w:rFonts w:eastAsiaTheme="minorHAnsi" w:cstheme="minorBidi"/>
          <w:szCs w:val="24"/>
          <w:lang w:val="fr-CA" w:eastAsia="en-US"/>
        </w:rPr>
      </w:pPr>
      <w:r w:rsidRPr="007A2931">
        <w:rPr>
          <w:rFonts w:eastAsiaTheme="minorHAnsi" w:cstheme="minorBidi"/>
          <w:b/>
          <w:smallCaps/>
          <w:szCs w:val="24"/>
          <w:lang w:val="fr-CA" w:eastAsia="en-US"/>
        </w:rPr>
        <w:t>Note :</w:t>
      </w:r>
      <w:r w:rsidRPr="007A2931">
        <w:rPr>
          <w:rFonts w:eastAsiaTheme="minorHAnsi" w:cstheme="minorBidi"/>
          <w:b/>
          <w:szCs w:val="24"/>
          <w:lang w:val="fr-CA" w:eastAsia="en-US"/>
        </w:rPr>
        <w:t xml:space="preserve"> </w:t>
      </w:r>
      <w:r w:rsidRPr="007A2931">
        <w:rPr>
          <w:rFonts w:eastAsiaTheme="minorHAnsi" w:cstheme="minorBidi"/>
          <w:szCs w:val="24"/>
          <w:lang w:val="fr-CA" w:eastAsia="en-US"/>
        </w:rPr>
        <w:t xml:space="preserve">Ce document fera l’objet de retouches de forme avant la parution de sa version définitive dans le </w:t>
      </w:r>
      <w:r w:rsidRPr="007A2931">
        <w:rPr>
          <w:rFonts w:eastAsiaTheme="minorHAnsi" w:cstheme="minorBidi"/>
          <w:i/>
          <w:szCs w:val="24"/>
          <w:lang w:val="fr-CA" w:eastAsia="en-US"/>
        </w:rPr>
        <w:t>Recueil des arrêts de la Cour suprême du Canada</w:t>
      </w:r>
      <w:r w:rsidRPr="007A2931">
        <w:rPr>
          <w:rFonts w:eastAsiaTheme="minorHAnsi" w:cstheme="minorBidi"/>
          <w:szCs w:val="24"/>
          <w:lang w:val="fr-CA" w:eastAsia="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7A2931" w:rsidRPr="0023370F" w:rsidTr="0072513A">
        <w:tc>
          <w:tcPr>
            <w:tcW w:w="1500" w:type="pct"/>
            <w:tcMar>
              <w:top w:w="284" w:type="dxa"/>
            </w:tcMar>
          </w:tcPr>
          <w:p w:rsidR="007A2931" w:rsidRPr="007A2931" w:rsidRDefault="007A2931" w:rsidP="007A2931">
            <w:pPr>
              <w:rPr>
                <w:lang w:val="fr-CA"/>
              </w:rPr>
            </w:pPr>
          </w:p>
        </w:tc>
        <w:tc>
          <w:tcPr>
            <w:tcW w:w="2000" w:type="pct"/>
            <w:tcBorders>
              <w:bottom w:val="single" w:sz="4" w:space="0" w:color="auto"/>
            </w:tcBorders>
            <w:tcMar>
              <w:top w:w="284" w:type="dxa"/>
            </w:tcMar>
          </w:tcPr>
          <w:p w:rsidR="007A2931" w:rsidRPr="007A2931" w:rsidRDefault="007A2931" w:rsidP="007A2931">
            <w:pPr>
              <w:rPr>
                <w:lang w:val="fr-CA"/>
              </w:rPr>
            </w:pPr>
          </w:p>
        </w:tc>
        <w:tc>
          <w:tcPr>
            <w:tcW w:w="1500" w:type="pct"/>
            <w:tcMar>
              <w:top w:w="284" w:type="dxa"/>
            </w:tcMar>
          </w:tcPr>
          <w:p w:rsidR="007A2931" w:rsidRPr="007A2931" w:rsidRDefault="007A2931" w:rsidP="007A2931">
            <w:pPr>
              <w:rPr>
                <w:lang w:val="fr-CA"/>
              </w:rPr>
            </w:pPr>
          </w:p>
        </w:tc>
      </w:tr>
    </w:tbl>
    <w:p w:rsidR="007A2931" w:rsidRPr="007A2931" w:rsidRDefault="007A2931" w:rsidP="007A2931">
      <w:pPr>
        <w:rPr>
          <w:rFonts w:eastAsiaTheme="minorHAnsi" w:cstheme="minorBidi"/>
          <w:szCs w:val="24"/>
          <w:lang w:val="fr-CA" w:eastAsia="en-US"/>
        </w:rPr>
      </w:pPr>
    </w:p>
    <w:p w:rsidR="007A2931" w:rsidRPr="007A2931" w:rsidRDefault="007A2931">
      <w:pPr>
        <w:rPr>
          <w:b/>
          <w:lang w:val="fr-CA"/>
        </w:rPr>
      </w:pPr>
      <w:r w:rsidRPr="007A2931">
        <w:rPr>
          <w:lang w:val="fr-CA"/>
        </w:rPr>
        <w:br w:type="page"/>
      </w:r>
    </w:p>
    <w:p w:rsidR="00FC682E" w:rsidRPr="007A2931" w:rsidRDefault="001D4A6A">
      <w:pPr>
        <w:pStyle w:val="SCCLsocLastPartyInRole"/>
        <w:rPr>
          <w:lang w:val="fr-CA"/>
        </w:rPr>
      </w:pPr>
      <w:r w:rsidRPr="007A2931">
        <w:rPr>
          <w:lang w:val="fr-CA"/>
        </w:rPr>
        <w:lastRenderedPageBreak/>
        <w:t>Matthew Berg</w:t>
      </w:r>
      <w:r w:rsidRPr="007A2931">
        <w:rPr>
          <w:rStyle w:val="SCCLsocPartyRole"/>
          <w:lang w:val="fr-CA"/>
        </w:rPr>
        <w:tab/>
        <w:t>Appelant</w:t>
      </w:r>
    </w:p>
    <w:p w:rsidR="00FC682E" w:rsidRPr="007A2931" w:rsidRDefault="001D4A6A">
      <w:pPr>
        <w:pStyle w:val="SCCLsocVersus"/>
        <w:rPr>
          <w:lang w:val="fr-CA"/>
        </w:rPr>
      </w:pPr>
      <w:r w:rsidRPr="007A2931">
        <w:rPr>
          <w:lang w:val="fr-CA"/>
        </w:rPr>
        <w:t>c.</w:t>
      </w:r>
    </w:p>
    <w:p w:rsidR="00FC682E" w:rsidRPr="007A2931" w:rsidRDefault="001D4A6A">
      <w:pPr>
        <w:pStyle w:val="SCCLsocLastPartyInRole"/>
        <w:rPr>
          <w:lang w:val="fr-CA"/>
        </w:rPr>
      </w:pPr>
      <w:r w:rsidRPr="007A2931">
        <w:rPr>
          <w:lang w:val="fr-CA"/>
        </w:rPr>
        <w:t>Sa Majesté le Roi</w:t>
      </w:r>
      <w:r w:rsidRPr="007A2931">
        <w:rPr>
          <w:rStyle w:val="SCCLsocPartyRole"/>
          <w:lang w:val="fr-CA"/>
        </w:rPr>
        <w:tab/>
        <w:t>Intimé</w:t>
      </w:r>
    </w:p>
    <w:p w:rsidR="004D7D95" w:rsidRPr="007A2931" w:rsidRDefault="004D7D95" w:rsidP="00063177">
      <w:pPr>
        <w:spacing w:after="720"/>
        <w:jc w:val="both"/>
        <w:rPr>
          <w:b/>
          <w:lang w:val="fr-CA"/>
        </w:rPr>
      </w:pPr>
      <w:r w:rsidRPr="007A2931">
        <w:rPr>
          <w:b/>
          <w:lang w:val="fr-CA"/>
        </w:rPr>
        <w:t>Répertorié :</w:t>
      </w:r>
      <w:r w:rsidR="00063177" w:rsidRPr="007A2931">
        <w:rPr>
          <w:b/>
          <w:lang w:val="fr-CA"/>
        </w:rPr>
        <w:t xml:space="preserve"> R. </w:t>
      </w:r>
      <w:r w:rsidR="00063177" w:rsidRPr="007A2931">
        <w:rPr>
          <w:b/>
          <w:i/>
          <w:lang w:val="fr-CA"/>
        </w:rPr>
        <w:t>c.</w:t>
      </w:r>
      <w:r w:rsidR="00063177" w:rsidRPr="007A2931">
        <w:rPr>
          <w:b/>
          <w:lang w:val="fr-CA"/>
        </w:rPr>
        <w:t xml:space="preserve"> Berg</w:t>
      </w:r>
    </w:p>
    <w:p w:rsidR="004D7D95" w:rsidRPr="007A2931" w:rsidRDefault="00AE0196" w:rsidP="00063177">
      <w:pPr>
        <w:spacing w:after="720"/>
        <w:jc w:val="both"/>
        <w:rPr>
          <w:b/>
          <w:lang w:val="fr-CA"/>
        </w:rPr>
      </w:pPr>
      <w:r w:rsidRPr="007A2931">
        <w:rPr>
          <w:b/>
          <w:lang w:val="fr-CA"/>
        </w:rPr>
        <w:t>2026</w:t>
      </w:r>
      <w:r w:rsidR="004D7D95" w:rsidRPr="007A2931">
        <w:rPr>
          <w:b/>
          <w:lang w:val="fr-CA"/>
        </w:rPr>
        <w:t xml:space="preserve"> CSC</w:t>
      </w:r>
      <w:r w:rsidR="00063177" w:rsidRPr="007A2931">
        <w:rPr>
          <w:b/>
          <w:lang w:val="fr-CA"/>
        </w:rPr>
        <w:t xml:space="preserve"> </w:t>
      </w:r>
      <w:r w:rsidR="004B34F6" w:rsidRPr="007A2931">
        <w:rPr>
          <w:b/>
          <w:lang w:val="fr-CA"/>
        </w:rPr>
        <w:t>2</w:t>
      </w:r>
      <w:r w:rsidR="00A27C69" w:rsidRPr="007A2931">
        <w:rPr>
          <w:b/>
          <w:lang w:val="fr-CA"/>
        </w:rPr>
        <w:t>1</w:t>
      </w:r>
    </w:p>
    <w:p w:rsidR="004D7D95" w:rsidRPr="007A2931" w:rsidRDefault="004D7D95" w:rsidP="00063177">
      <w:pPr>
        <w:spacing w:after="720"/>
        <w:jc w:val="both"/>
        <w:rPr>
          <w:lang w:val="fr-CA"/>
        </w:rPr>
      </w:pPr>
      <w:r w:rsidRPr="007A2931">
        <w:rPr>
          <w:lang w:val="fr-CA"/>
        </w:rPr>
        <w:t>N</w:t>
      </w:r>
      <w:r w:rsidRPr="007A2931">
        <w:rPr>
          <w:vertAlign w:val="superscript"/>
          <w:lang w:val="fr-CA"/>
        </w:rPr>
        <w:t>o</w:t>
      </w:r>
      <w:r w:rsidRPr="007A2931">
        <w:rPr>
          <w:lang w:val="fr-CA"/>
        </w:rPr>
        <w:t xml:space="preserve"> du greffe :</w:t>
      </w:r>
      <w:r w:rsidR="009A720D" w:rsidRPr="007A2931">
        <w:rPr>
          <w:lang w:val="fr-CA"/>
        </w:rPr>
        <w:t xml:space="preserve"> </w:t>
      </w:r>
      <w:r w:rsidRPr="007A2931">
        <w:rPr>
          <w:lang w:val="fr-CA"/>
        </w:rPr>
        <w:t>41980.</w:t>
      </w:r>
    </w:p>
    <w:p w:rsidR="00063177" w:rsidRPr="007A2931" w:rsidRDefault="00063177" w:rsidP="000D3835">
      <w:pPr>
        <w:jc w:val="both"/>
        <w:rPr>
          <w:lang w:val="fr-CA"/>
        </w:rPr>
      </w:pPr>
      <w:r w:rsidRPr="007A2931">
        <w:rPr>
          <w:lang w:val="fr-CA"/>
        </w:rPr>
        <w:t xml:space="preserve">Audition et jugement : </w:t>
      </w:r>
      <w:r w:rsidR="00BC0EEA" w:rsidRPr="007A2931">
        <w:rPr>
          <w:lang w:val="fr-CA"/>
        </w:rPr>
        <w:t>14</w:t>
      </w:r>
      <w:r w:rsidRPr="007A2931">
        <w:rPr>
          <w:lang w:val="fr-CA"/>
        </w:rPr>
        <w:t xml:space="preserve"> avril 2026.</w:t>
      </w:r>
    </w:p>
    <w:p w:rsidR="00063177" w:rsidRPr="007A2931" w:rsidRDefault="00063177" w:rsidP="00063177">
      <w:pPr>
        <w:spacing w:after="720"/>
        <w:jc w:val="both"/>
        <w:rPr>
          <w:lang w:val="fr-CA"/>
        </w:rPr>
      </w:pPr>
      <w:r w:rsidRPr="007A2931">
        <w:rPr>
          <w:lang w:val="fr-CA"/>
        </w:rPr>
        <w:t xml:space="preserve">Motifs déposés : </w:t>
      </w:r>
      <w:r w:rsidR="001838D1" w:rsidRPr="007A2931">
        <w:rPr>
          <w:lang w:val="fr-CA"/>
        </w:rPr>
        <w:t>5 juin</w:t>
      </w:r>
      <w:r w:rsidRPr="007A2931">
        <w:rPr>
          <w:lang w:val="fr-CA"/>
        </w:rPr>
        <w:t xml:space="preserve"> 2026.</w:t>
      </w:r>
    </w:p>
    <w:p w:rsidR="004D7D95" w:rsidRPr="007A2931" w:rsidRDefault="004D7D95" w:rsidP="00063177">
      <w:pPr>
        <w:spacing w:after="720"/>
        <w:jc w:val="both"/>
        <w:rPr>
          <w:lang w:val="fr-CA"/>
        </w:rPr>
      </w:pPr>
      <w:r w:rsidRPr="007A2931">
        <w:rPr>
          <w:lang w:val="fr-CA"/>
        </w:rPr>
        <w:t>Présents :</w:t>
      </w:r>
      <w:r w:rsidR="009A720D" w:rsidRPr="007A2931">
        <w:rPr>
          <w:lang w:val="fr-CA"/>
        </w:rPr>
        <w:t xml:space="preserve"> </w:t>
      </w:r>
      <w:r w:rsidRPr="007A2931">
        <w:rPr>
          <w:lang w:val="fr-CA"/>
        </w:rPr>
        <w:t>Le juge en chef Wagner et les juges Karakatsanis, Côté, Rowe, Martin, Kasirer, Jamal, O’Bonsawin et Moreau.</w:t>
      </w:r>
    </w:p>
    <w:p w:rsidR="004D7D95" w:rsidRPr="007A2931" w:rsidRDefault="004D7D95" w:rsidP="00063177">
      <w:pPr>
        <w:spacing w:after="720"/>
        <w:jc w:val="both"/>
        <w:rPr>
          <w:b/>
          <w:smallCaps/>
          <w:lang w:val="fr-CA"/>
        </w:rPr>
      </w:pPr>
      <w:r w:rsidRPr="007A2931">
        <w:rPr>
          <w:smallCaps/>
          <w:lang w:val="fr-CA"/>
        </w:rPr>
        <w:t>en appel de la cour d’appel de la saskatchewan</w:t>
      </w:r>
    </w:p>
    <w:p w:rsidR="005A118F" w:rsidRPr="007A2931" w:rsidRDefault="004D7D95" w:rsidP="002A2851">
      <w:pPr>
        <w:pStyle w:val="SCCNormalKeyWords"/>
        <w:spacing w:after="480"/>
      </w:pPr>
      <w:r w:rsidRPr="007A2931">
        <w:tab/>
      </w:r>
      <w:r w:rsidR="005A118F" w:rsidRPr="007A2931">
        <w:t>Droit criminel — Preuve — Appréciation — Crédibilité — Accusé inculpé d’agression sexuelle — Rejet par le juge du procès du témoignage de l’accusé notamment parce qu’il a accepté le témoignage de la plaignante — Appel par l’accusé de la déclaration de culpabilité au motif que le juge du procès n’a pas résolu les incohérences dans le témoignage de la plaignante et a utilisé celui-ci à tort pour rejeter son témoignage — Confirmation de la déclaration de culpabilité par la Cour d’appel à la majorité — Le juge du procès a-t-il commis une erreur en appréciant la crédibilité de l’accusé?</w:t>
      </w:r>
    </w:p>
    <w:p w:rsidR="005A118F" w:rsidRPr="007A2931" w:rsidRDefault="005A118F" w:rsidP="002A2851">
      <w:pPr>
        <w:pStyle w:val="SCCNormalDoubleSpacing"/>
        <w:spacing w:after="480"/>
        <w:rPr>
          <w:lang w:val="fr-CA"/>
        </w:rPr>
      </w:pPr>
      <w:r w:rsidRPr="007A2931">
        <w:rPr>
          <w:lang w:val="fr-CA"/>
        </w:rPr>
        <w:lastRenderedPageBreak/>
        <w:tab/>
        <w:t>L’accusé a été inculpé d’agression sexuelle. La question principale soumise au juge du procès était de savoir si la plaignante avait consenti à avoir du sexe avec l’accusé. Les deux ont témoigné au procès. Selon la plaignante, elle n’a pas consenti à l’activité sexuelle; l’accusé a prétendu que toute l’activité avait été consensuelle. Le juge du procès a rejeté la version de l’accusé, et ce dernier a été reconnu coupable d’agression sexuelle. La Cour d’appel a rejeté à la majorité les arguments de l’accusé suivant lesquels le juge du procès n’avait pas résolu les incohérences importantes dans le témoignage de la plaignante et n’avait pas évalué le témoignage de la plaignante à la lumière de l’ensemble de la preuve, et l’avait utilisé à tort pour rejeter la version de l’accusé.</w:t>
      </w:r>
    </w:p>
    <w:p w:rsidR="005A118F" w:rsidRPr="007A2931" w:rsidRDefault="005A118F" w:rsidP="002441BC">
      <w:pPr>
        <w:pStyle w:val="SCCNormalDoubleSpacing"/>
        <w:spacing w:after="480"/>
        <w:rPr>
          <w:lang w:val="fr-CA"/>
        </w:rPr>
      </w:pPr>
      <w:r w:rsidRPr="007A2931">
        <w:rPr>
          <w:lang w:val="fr-CA"/>
        </w:rPr>
        <w:tab/>
      </w:r>
      <w:r w:rsidRPr="007A2931">
        <w:rPr>
          <w:rStyle w:val="QuoteChar"/>
          <w:color w:val="auto"/>
          <w:lang w:val="fr-CA"/>
        </w:rPr>
        <w:t>Arrêt</w:t>
      </w:r>
      <w:r w:rsidR="002A2851" w:rsidRPr="007A2931">
        <w:rPr>
          <w:rStyle w:val="QuoteChar"/>
          <w:color w:val="auto"/>
          <w:lang w:val="fr-CA"/>
        </w:rPr>
        <w:t> </w:t>
      </w:r>
      <w:r w:rsidRPr="007A2931">
        <w:rPr>
          <w:rStyle w:val="QuoteChar"/>
          <w:i w:val="0"/>
          <w:color w:val="auto"/>
          <w:lang w:val="fr-CA"/>
        </w:rPr>
        <w:t>:</w:t>
      </w:r>
      <w:r w:rsidRPr="007A2931">
        <w:rPr>
          <w:lang w:val="fr-CA"/>
        </w:rPr>
        <w:t xml:space="preserve"> Le pourvoi est </w:t>
      </w:r>
      <w:r w:rsidR="003C4112" w:rsidRPr="007A2931">
        <w:rPr>
          <w:lang w:val="fr-CA"/>
        </w:rPr>
        <w:t>rejeté</w:t>
      </w:r>
      <w:r w:rsidRPr="007A2931">
        <w:rPr>
          <w:lang w:val="fr-CA"/>
        </w:rPr>
        <w:t>.</w:t>
      </w:r>
    </w:p>
    <w:p w:rsidR="005A118F" w:rsidRPr="007A2931" w:rsidRDefault="005A118F" w:rsidP="002A2851">
      <w:pPr>
        <w:pStyle w:val="SCCNormalDoubleSpacing"/>
        <w:spacing w:after="480"/>
        <w:rPr>
          <w:lang w:val="fr-CA"/>
        </w:rPr>
      </w:pPr>
      <w:r w:rsidRPr="007A2931">
        <w:rPr>
          <w:lang w:val="fr-CA"/>
        </w:rPr>
        <w:tab/>
        <w:t xml:space="preserve">En ce qui a trait au fond des deux questions soulevées par l’accusé, il est souscrit pour l’essentiel aux motifs des juges majoritaires de la juridiction inférieure. Toutefois, il faut donner des indications sur l’application de la décision rendue par la Cour d’appel de l’Ontario dans </w:t>
      </w:r>
      <w:r w:rsidRPr="007A2931">
        <w:rPr>
          <w:i/>
          <w:lang w:val="fr-CA"/>
        </w:rPr>
        <w:t>R. c. J.J.R.D.</w:t>
      </w:r>
      <w:r w:rsidRPr="007A2931">
        <w:rPr>
          <w:lang w:val="fr-CA"/>
        </w:rPr>
        <w:t xml:space="preserve"> (2006), 218 O.A.C. 37. Il arrive couramment que les juges présidant les procès invoquent l’arrêt </w:t>
      </w:r>
      <w:r w:rsidRPr="007A2931">
        <w:rPr>
          <w:i/>
          <w:lang w:val="fr-CA"/>
        </w:rPr>
        <w:t>J.J.R.D.</w:t>
      </w:r>
      <w:r w:rsidRPr="007A2931">
        <w:rPr>
          <w:lang w:val="fr-CA"/>
        </w:rPr>
        <w:t xml:space="preserve"> quand ils sont aux prises avec des situations où deux témoignages contradictoires ne comportent ni un ni l’autre, considérés isolément, quelque faiblesse que ce soit. Les juges présidant les procès ne devraient pas s’appuyer sur l’arrêt </w:t>
      </w:r>
      <w:r w:rsidRPr="007A2931">
        <w:rPr>
          <w:i/>
          <w:lang w:val="fr-CA"/>
        </w:rPr>
        <w:t>J.J.R.D.</w:t>
      </w:r>
      <w:r w:rsidRPr="007A2931">
        <w:rPr>
          <w:lang w:val="fr-CA"/>
        </w:rPr>
        <w:t xml:space="preserve"> pour structurer leurs analyses fondées sur l’arrêt </w:t>
      </w:r>
      <w:r w:rsidRPr="007A2931">
        <w:rPr>
          <w:i/>
          <w:lang w:val="fr-CA"/>
        </w:rPr>
        <w:t xml:space="preserve">W. (D.) </w:t>
      </w:r>
      <w:r w:rsidRPr="007A2931">
        <w:rPr>
          <w:lang w:val="fr-CA"/>
        </w:rPr>
        <w:t xml:space="preserve">ou donner au jury des directives tirées de cet arrêt. L’affaire </w:t>
      </w:r>
      <w:r w:rsidRPr="007A2931">
        <w:rPr>
          <w:i/>
          <w:lang w:val="fr-CA"/>
        </w:rPr>
        <w:t>J.J.R.D.</w:t>
      </w:r>
      <w:r w:rsidRPr="007A2931">
        <w:rPr>
          <w:lang w:val="fr-CA"/>
        </w:rPr>
        <w:t xml:space="preserve"> était un appel portant sur l’examen en appel du caractère suffisant des motifs, et il ne fixe pas de formule pour effectuer une analyse fondée sur l’arrêt </w:t>
      </w:r>
      <w:r w:rsidRPr="007A2931">
        <w:rPr>
          <w:i/>
          <w:lang w:val="fr-CA"/>
        </w:rPr>
        <w:t>W.</w:t>
      </w:r>
      <w:r w:rsidR="003C4112" w:rsidRPr="007A2931">
        <w:rPr>
          <w:i/>
          <w:lang w:val="fr-CA"/>
        </w:rPr>
        <w:t xml:space="preserve"> </w:t>
      </w:r>
      <w:r w:rsidRPr="007A2931">
        <w:rPr>
          <w:i/>
          <w:lang w:val="fr-CA"/>
        </w:rPr>
        <w:t>(D.)</w:t>
      </w:r>
      <w:r w:rsidRPr="007A2931">
        <w:rPr>
          <w:lang w:val="fr-CA"/>
        </w:rPr>
        <w:t xml:space="preserve">. Il est censé s’appliquer au contrôle en appel de décisions de première instance lorsqu’il s’agit </w:t>
      </w:r>
      <w:r w:rsidRPr="007A2931">
        <w:rPr>
          <w:lang w:val="fr-CA"/>
        </w:rPr>
        <w:lastRenderedPageBreak/>
        <w:t>de déterminer si les motifs du juge du procès étaient suffisants pour permettre un examen en appel, et non pour être appliqué par les juges du procès eux-mêmes.</w:t>
      </w:r>
    </w:p>
    <w:p w:rsidR="005A118F" w:rsidRPr="007A2931" w:rsidRDefault="005A118F" w:rsidP="005A118F">
      <w:pPr>
        <w:pStyle w:val="SCCNormalKeyWords"/>
        <w:spacing w:after="480"/>
        <w:rPr>
          <w:i w:val="0"/>
        </w:rPr>
      </w:pPr>
      <w:r w:rsidRPr="007A2931">
        <w:tab/>
      </w:r>
      <w:r w:rsidRPr="007A2931">
        <w:rPr>
          <w:i w:val="0"/>
        </w:rPr>
        <w:t xml:space="preserve">Une déclaration de culpabilité doit toujours reposer sur une preuve hors de tout doute raisonnable. L’arrêt </w:t>
      </w:r>
      <w:r w:rsidRPr="007A2931">
        <w:t>J.J.R.D.</w:t>
      </w:r>
      <w:r w:rsidRPr="007A2931">
        <w:rPr>
          <w:i w:val="0"/>
        </w:rPr>
        <w:t xml:space="preserve"> indique que les cours d’appel devraient veiller à ce que les juges du procès aient examiné la preuve contradictoire — qu’il s’agisse uniquement du témoignage du plaignant ou qu’elle comprenne également des éléments de preuve circonstancielle — et aient expliqué pourquoi elle répond à la norme exigeante de la preuve hors de tout doute raisonnable. Il ne constitue pas une invitation faite aux juges présidant les procès d’inscrire des déclarations de culpabilité au seul motif qu’ils ont accepté de manière réfléchie et raisonnée le témoignage d’un plaignant. En l’espèce, le juge du procès n’a pas utilisé l’arrêt </w:t>
      </w:r>
      <w:r w:rsidRPr="007A2931">
        <w:t>J.J.R.D.</w:t>
      </w:r>
      <w:r w:rsidRPr="007A2931">
        <w:rPr>
          <w:i w:val="0"/>
        </w:rPr>
        <w:t xml:space="preserve"> pour déterminer l’issue d’un concours de crédibilité, et il n’a donc commis aucune erreur de droit.</w:t>
      </w:r>
    </w:p>
    <w:p w:rsidR="004D7D95" w:rsidRPr="007A2931" w:rsidRDefault="004D7D95" w:rsidP="002A2851">
      <w:pPr>
        <w:pStyle w:val="SCCNormalDoubleSpacing"/>
        <w:widowControl w:val="0"/>
        <w:spacing w:after="720" w:line="240" w:lineRule="auto"/>
        <w:rPr>
          <w:b/>
          <w:lang w:val="fr-CA"/>
        </w:rPr>
      </w:pPr>
      <w:r w:rsidRPr="007A2931">
        <w:rPr>
          <w:b/>
          <w:lang w:val="fr-CA"/>
        </w:rPr>
        <w:t>Jurisprudence</w:t>
      </w:r>
    </w:p>
    <w:p w:rsidR="00063177" w:rsidRPr="007A2931" w:rsidRDefault="004D7D95" w:rsidP="009A720D">
      <w:pPr>
        <w:pStyle w:val="SCCNormalDoubleSpacing"/>
        <w:widowControl w:val="0"/>
        <w:spacing w:after="480"/>
        <w:rPr>
          <w:lang w:val="fr-CA"/>
        </w:rPr>
      </w:pPr>
      <w:r w:rsidRPr="007A2931">
        <w:rPr>
          <w:lang w:val="fr-CA"/>
        </w:rPr>
        <w:tab/>
      </w:r>
      <w:r w:rsidRPr="007A2931">
        <w:rPr>
          <w:b/>
          <w:lang w:val="fr-CA"/>
        </w:rPr>
        <w:t xml:space="preserve">Arrêts </w:t>
      </w:r>
      <w:r w:rsidR="003C4112" w:rsidRPr="007A2931">
        <w:rPr>
          <w:b/>
          <w:lang w:val="fr-CA"/>
        </w:rPr>
        <w:t>examinés</w:t>
      </w:r>
      <w:r w:rsidRPr="007A2931">
        <w:rPr>
          <w:b/>
          <w:lang w:val="fr-CA"/>
        </w:rPr>
        <w:t> :</w:t>
      </w:r>
      <w:r w:rsidRPr="007A2931">
        <w:rPr>
          <w:lang w:val="fr-CA"/>
        </w:rPr>
        <w:t xml:space="preserve"> </w:t>
      </w:r>
      <w:r w:rsidR="006735AD" w:rsidRPr="007A2931">
        <w:rPr>
          <w:i/>
          <w:lang w:val="fr-CA"/>
        </w:rPr>
        <w:t>R. c. J.J.R.</w:t>
      </w:r>
      <w:r w:rsidR="0049038A" w:rsidRPr="007A2931">
        <w:rPr>
          <w:i/>
          <w:lang w:val="fr-CA"/>
        </w:rPr>
        <w:t>D.</w:t>
      </w:r>
      <w:r w:rsidR="006735AD" w:rsidRPr="007A2931">
        <w:rPr>
          <w:i/>
          <w:lang w:val="fr-CA"/>
        </w:rPr>
        <w:t xml:space="preserve"> </w:t>
      </w:r>
      <w:r w:rsidR="006735AD" w:rsidRPr="007A2931">
        <w:rPr>
          <w:lang w:val="fr-CA"/>
        </w:rPr>
        <w:t>(2006), 218 O.A.C. 37;</w:t>
      </w:r>
      <w:r w:rsidR="006735AD" w:rsidRPr="007A2931">
        <w:rPr>
          <w:i/>
          <w:lang w:val="fr-CA"/>
        </w:rPr>
        <w:t xml:space="preserve"> </w:t>
      </w:r>
      <w:r w:rsidR="003C4112" w:rsidRPr="007A2931">
        <w:rPr>
          <w:i/>
          <w:lang w:val="fr-CA"/>
        </w:rPr>
        <w:t>R. c. C.L.</w:t>
      </w:r>
      <w:r w:rsidR="003C4112" w:rsidRPr="007A2931">
        <w:rPr>
          <w:lang w:val="fr-CA"/>
        </w:rPr>
        <w:t>, 2020 ONCA 258, 387 C.C.C. (3d) 39;</w:t>
      </w:r>
      <w:r w:rsidR="003C4112" w:rsidRPr="007A2931">
        <w:rPr>
          <w:i/>
          <w:lang w:val="fr-CA"/>
        </w:rPr>
        <w:t xml:space="preserve"> </w:t>
      </w:r>
      <w:r w:rsidR="003C4112" w:rsidRPr="007A2931">
        <w:rPr>
          <w:b/>
          <w:lang w:val="fr-CA"/>
        </w:rPr>
        <w:t>Arrêts mentionnés :</w:t>
      </w:r>
      <w:r w:rsidR="003C4112" w:rsidRPr="007A2931">
        <w:rPr>
          <w:lang w:val="fr-CA"/>
        </w:rPr>
        <w:t xml:space="preserve"> </w:t>
      </w:r>
      <w:r w:rsidR="006735AD" w:rsidRPr="007A2931">
        <w:rPr>
          <w:i/>
          <w:lang w:val="fr-CA"/>
        </w:rPr>
        <w:t>R. c. W.</w:t>
      </w:r>
      <w:r w:rsidR="009A720D" w:rsidRPr="007A2931">
        <w:rPr>
          <w:i/>
          <w:lang w:val="fr-CA"/>
        </w:rPr>
        <w:t xml:space="preserve"> </w:t>
      </w:r>
      <w:r w:rsidR="006735AD" w:rsidRPr="007A2931">
        <w:rPr>
          <w:i/>
          <w:lang w:val="fr-CA"/>
        </w:rPr>
        <w:t>(D.)</w:t>
      </w:r>
      <w:r w:rsidR="006735AD" w:rsidRPr="007A2931">
        <w:rPr>
          <w:lang w:val="fr-CA"/>
        </w:rPr>
        <w:t>, [1991] 1 R.C.S. 742;</w:t>
      </w:r>
      <w:r w:rsidR="006735AD" w:rsidRPr="007A2931">
        <w:rPr>
          <w:i/>
          <w:lang w:val="fr-CA"/>
        </w:rPr>
        <w:t xml:space="preserve"> R. c. M.D.R.</w:t>
      </w:r>
      <w:r w:rsidR="006735AD" w:rsidRPr="007A2931">
        <w:rPr>
          <w:lang w:val="fr-CA"/>
        </w:rPr>
        <w:t xml:space="preserve">, 2015 ONCA 323; </w:t>
      </w:r>
      <w:r w:rsidR="0024711E" w:rsidRPr="007A2931">
        <w:rPr>
          <w:i/>
          <w:lang w:val="fr-CA"/>
        </w:rPr>
        <w:t>R. c. H. (D.)</w:t>
      </w:r>
      <w:r w:rsidR="0024711E" w:rsidRPr="007A2931">
        <w:rPr>
          <w:lang w:val="fr-CA"/>
        </w:rPr>
        <w:t>, 2016 ONCA 569, 338 C.C.C. (3d) 251</w:t>
      </w:r>
      <w:r w:rsidR="006735AD" w:rsidRPr="007A2931">
        <w:rPr>
          <w:lang w:val="fr-CA"/>
        </w:rPr>
        <w:t xml:space="preserve">; </w:t>
      </w:r>
      <w:r w:rsidR="006735AD" w:rsidRPr="007A2931">
        <w:rPr>
          <w:i/>
          <w:lang w:val="fr-CA"/>
        </w:rPr>
        <w:t>R. c. A.N.</w:t>
      </w:r>
      <w:r w:rsidR="006735AD" w:rsidRPr="007A2931">
        <w:rPr>
          <w:lang w:val="fr-CA"/>
        </w:rPr>
        <w:t xml:space="preserve">, 2017 ONCA 647; </w:t>
      </w:r>
      <w:r w:rsidR="006735AD" w:rsidRPr="007A2931">
        <w:rPr>
          <w:i/>
          <w:lang w:val="fr-CA"/>
        </w:rPr>
        <w:t>R. c. Slatter</w:t>
      </w:r>
      <w:r w:rsidR="006735AD" w:rsidRPr="007A2931">
        <w:rPr>
          <w:lang w:val="fr-CA"/>
        </w:rPr>
        <w:t xml:space="preserve">, 2019 ONCA 807, 382 C.C.C. (3d) 245; </w:t>
      </w:r>
      <w:r w:rsidR="006735AD" w:rsidRPr="007A2931">
        <w:rPr>
          <w:i/>
          <w:lang w:val="fr-CA"/>
        </w:rPr>
        <w:t>R. c. T.A.</w:t>
      </w:r>
      <w:r w:rsidR="006735AD" w:rsidRPr="007A2931">
        <w:rPr>
          <w:lang w:val="fr-CA"/>
        </w:rPr>
        <w:t xml:space="preserve">, 2020 ONCA 783; </w:t>
      </w:r>
      <w:r w:rsidR="006735AD" w:rsidRPr="007A2931">
        <w:rPr>
          <w:i/>
          <w:lang w:val="fr-CA"/>
        </w:rPr>
        <w:t>R. c. S.B.</w:t>
      </w:r>
      <w:r w:rsidR="006735AD" w:rsidRPr="007A2931">
        <w:rPr>
          <w:lang w:val="fr-CA"/>
        </w:rPr>
        <w:t xml:space="preserve">, 2023 ONCA 784, 432 C.C.C. (3d) 169; </w:t>
      </w:r>
      <w:r w:rsidR="006735AD" w:rsidRPr="007A2931">
        <w:rPr>
          <w:i/>
          <w:lang w:val="fr-CA"/>
        </w:rPr>
        <w:t>R. c. R.I.</w:t>
      </w:r>
      <w:r w:rsidR="006735AD" w:rsidRPr="007A2931">
        <w:rPr>
          <w:lang w:val="fr-CA"/>
        </w:rPr>
        <w:t xml:space="preserve">, 2024 ONCA 185, </w:t>
      </w:r>
      <w:r w:rsidR="006735AD" w:rsidRPr="007A2931">
        <w:rPr>
          <w:rFonts w:ascii="TimesLTStd-Roman" w:hAnsi="TimesLTStd-Roman" w:cs="TimesLTStd-Roman"/>
          <w:color w:val="1F1F1F"/>
          <w:lang w:val="fr-CA"/>
        </w:rPr>
        <w:t>97 C.R. (7th) 169</w:t>
      </w:r>
      <w:r w:rsidR="006735AD" w:rsidRPr="007A2931">
        <w:rPr>
          <w:lang w:val="fr-CA"/>
        </w:rPr>
        <w:t xml:space="preserve">; </w:t>
      </w:r>
      <w:r w:rsidR="006735AD" w:rsidRPr="007A2931">
        <w:rPr>
          <w:i/>
          <w:lang w:val="fr-CA"/>
        </w:rPr>
        <w:t>R. c. S.A.</w:t>
      </w:r>
      <w:r w:rsidR="006735AD" w:rsidRPr="007A2931">
        <w:rPr>
          <w:lang w:val="fr-CA"/>
        </w:rPr>
        <w:t>, 2024 NUCA 14</w:t>
      </w:r>
      <w:r w:rsidR="0024711E" w:rsidRPr="007A2931">
        <w:rPr>
          <w:lang w:val="fr-CA"/>
        </w:rPr>
        <w:t>;</w:t>
      </w:r>
      <w:r w:rsidR="0024711E" w:rsidRPr="007A2931">
        <w:rPr>
          <w:i/>
          <w:lang w:val="fr-CA"/>
        </w:rPr>
        <w:t xml:space="preserve"> R. c. C.L.Y.</w:t>
      </w:r>
      <w:r w:rsidR="0024711E" w:rsidRPr="007A2931">
        <w:rPr>
          <w:lang w:val="fr-CA"/>
        </w:rPr>
        <w:t xml:space="preserve">, 2008 CSC 2, [2008] 1 R.C.S. 5; </w:t>
      </w:r>
      <w:r w:rsidR="0024711E" w:rsidRPr="007A2931">
        <w:rPr>
          <w:i/>
          <w:lang w:val="fr-CA"/>
        </w:rPr>
        <w:t>R. c. J.H.S.</w:t>
      </w:r>
      <w:r w:rsidR="0024711E" w:rsidRPr="007A2931">
        <w:rPr>
          <w:lang w:val="fr-CA"/>
        </w:rPr>
        <w:t>, 2008 CSC 30, [2008] 2 R.C.S. 152</w:t>
      </w:r>
      <w:r w:rsidR="006735AD" w:rsidRPr="007A2931">
        <w:rPr>
          <w:lang w:val="fr-CA"/>
        </w:rPr>
        <w:t>.</w:t>
      </w:r>
    </w:p>
    <w:p w:rsidR="00063177" w:rsidRPr="007A2931" w:rsidRDefault="004D7D95" w:rsidP="009A720D">
      <w:pPr>
        <w:pStyle w:val="SCCNormalDoubleSpacing"/>
        <w:spacing w:after="480"/>
        <w:rPr>
          <w:lang w:val="fr-CA"/>
        </w:rPr>
      </w:pPr>
      <w:r w:rsidRPr="007A2931">
        <w:rPr>
          <w:lang w:val="fr-CA"/>
        </w:rPr>
        <w:tab/>
        <w:t>POURVOI contre un arrêt de la Cour d’appel de la Saskatchewan</w:t>
      </w:r>
      <w:r w:rsidR="00063177" w:rsidRPr="007A2931">
        <w:rPr>
          <w:lang w:val="fr-CA"/>
        </w:rPr>
        <w:t xml:space="preserve"> </w:t>
      </w:r>
      <w:r w:rsidR="00E50D38" w:rsidRPr="007A2931">
        <w:rPr>
          <w:color w:val="000000"/>
          <w:lang w:val="fr-CA"/>
        </w:rPr>
        <w:t xml:space="preserve">(les juges Tholl, Kalmakoff et Drennan), </w:t>
      </w:r>
      <w:hyperlink r:id="rId9" w:history="1">
        <w:r w:rsidR="00E50D38" w:rsidRPr="007A2931">
          <w:rPr>
            <w:rStyle w:val="Hyperlink"/>
            <w:lang w:val="fr-CA"/>
          </w:rPr>
          <w:t>2025 SKCA 85</w:t>
        </w:r>
      </w:hyperlink>
      <w:r w:rsidR="00E50D38" w:rsidRPr="007A2931">
        <w:rPr>
          <w:color w:val="000000"/>
          <w:lang w:val="fr-CA"/>
        </w:rPr>
        <w:t>, [2025] S.J. No.</w:t>
      </w:r>
      <w:r w:rsidR="009A720D" w:rsidRPr="007A2931">
        <w:rPr>
          <w:color w:val="000000"/>
          <w:lang w:val="fr-CA"/>
        </w:rPr>
        <w:t xml:space="preserve"> </w:t>
      </w:r>
      <w:r w:rsidR="00E50D38" w:rsidRPr="007A2931">
        <w:rPr>
          <w:color w:val="000000"/>
          <w:lang w:val="fr-CA"/>
        </w:rPr>
        <w:t xml:space="preserve">242 (Lexis), 2025 </w:t>
      </w:r>
      <w:r w:rsidR="00E50D38" w:rsidRPr="007A2931">
        <w:rPr>
          <w:color w:val="000000"/>
          <w:lang w:val="fr-CA"/>
        </w:rPr>
        <w:lastRenderedPageBreak/>
        <w:t>CarswellSask 352 (WL)</w:t>
      </w:r>
      <w:r w:rsidR="00063177" w:rsidRPr="007A2931">
        <w:rPr>
          <w:color w:val="000000"/>
          <w:lang w:val="fr-CA"/>
        </w:rPr>
        <w:t xml:space="preserve">, </w:t>
      </w:r>
      <w:r w:rsidR="00E50D38" w:rsidRPr="007A2931">
        <w:rPr>
          <w:color w:val="000000"/>
          <w:lang w:val="fr-CA"/>
        </w:rPr>
        <w:t>qui a confirmé la déclaration de culpabilité pour agression sexuelle prononcée contre l’accusé</w:t>
      </w:r>
      <w:r w:rsidR="00063177" w:rsidRPr="007A2931">
        <w:rPr>
          <w:color w:val="000000"/>
          <w:lang w:val="fr-CA"/>
        </w:rPr>
        <w:t>. Pourvoi rejeté.</w:t>
      </w:r>
    </w:p>
    <w:p w:rsidR="00FC682E" w:rsidRPr="007A2931" w:rsidRDefault="001D4A6A" w:rsidP="009A720D">
      <w:pPr>
        <w:pStyle w:val="SCCNormalDoubleSpacing"/>
        <w:spacing w:after="480"/>
        <w:rPr>
          <w:lang w:val="fr-CA"/>
        </w:rPr>
      </w:pPr>
      <w:r w:rsidRPr="007A2931">
        <w:rPr>
          <w:rStyle w:val="SCCCounselNameChar"/>
          <w:lang w:val="fr-CA"/>
        </w:rPr>
        <w:tab/>
      </w:r>
      <w:r w:rsidR="00063177" w:rsidRPr="007A2931">
        <w:rPr>
          <w:i/>
          <w:lang w:val="fr-CA"/>
        </w:rPr>
        <w:t>Brian R. Pfefferle</w:t>
      </w:r>
      <w:r w:rsidR="00063177" w:rsidRPr="007A2931">
        <w:rPr>
          <w:lang w:val="fr-CA"/>
        </w:rPr>
        <w:t>,</w:t>
      </w:r>
      <w:r w:rsidR="00063177" w:rsidRPr="007A2931">
        <w:rPr>
          <w:i/>
          <w:lang w:val="fr-CA"/>
        </w:rPr>
        <w:t xml:space="preserve"> c.r.</w:t>
      </w:r>
      <w:r w:rsidR="00063177" w:rsidRPr="007A2931">
        <w:rPr>
          <w:lang w:val="fr-CA"/>
        </w:rPr>
        <w:t xml:space="preserve">, et </w:t>
      </w:r>
      <w:r w:rsidR="00063177" w:rsidRPr="007A2931">
        <w:rPr>
          <w:i/>
          <w:lang w:val="fr-CA"/>
        </w:rPr>
        <w:t>Nathan Metivier</w:t>
      </w:r>
      <w:r w:rsidR="00063177" w:rsidRPr="007A2931">
        <w:rPr>
          <w:rStyle w:val="SCCCounselPartyRoleChar"/>
          <w:rFonts w:eastAsiaTheme="minorHAnsi"/>
          <w:lang w:val="fr-CA"/>
        </w:rPr>
        <w:t>, pour l’appelant</w:t>
      </w:r>
      <w:r w:rsidRPr="007A2931">
        <w:rPr>
          <w:rStyle w:val="SCCCounselPartyRoleChar"/>
          <w:lang w:val="fr-CA"/>
        </w:rPr>
        <w:t>.</w:t>
      </w:r>
    </w:p>
    <w:p w:rsidR="00FC682E" w:rsidRPr="007A2931" w:rsidRDefault="001D4A6A" w:rsidP="009A720D">
      <w:pPr>
        <w:pStyle w:val="SCCNormalDoubleSpacing"/>
        <w:spacing w:after="480"/>
        <w:rPr>
          <w:lang w:val="fr-CA"/>
        </w:rPr>
      </w:pPr>
      <w:r w:rsidRPr="007A2931">
        <w:rPr>
          <w:rStyle w:val="SCCCounselNameChar"/>
          <w:lang w:val="fr-CA"/>
        </w:rPr>
        <w:tab/>
      </w:r>
      <w:r w:rsidR="00063177" w:rsidRPr="007A2931">
        <w:rPr>
          <w:i/>
          <w:lang w:val="fr-CA"/>
        </w:rPr>
        <w:t>Erin Bartsch</w:t>
      </w:r>
      <w:r w:rsidR="00063177" w:rsidRPr="007A2931">
        <w:rPr>
          <w:rStyle w:val="SCCCounselPartyRoleChar"/>
          <w:rFonts w:eastAsiaTheme="minorHAnsi"/>
          <w:lang w:val="fr-CA"/>
        </w:rPr>
        <w:t>, pour l’intimé</w:t>
      </w:r>
      <w:r w:rsidRPr="007A2931">
        <w:rPr>
          <w:rStyle w:val="SCCCounselPartyRoleChar"/>
          <w:lang w:val="fr-CA"/>
        </w:rPr>
        <w:t>.</w:t>
      </w:r>
    </w:p>
    <w:p w:rsidR="007A2931" w:rsidRPr="007A2931" w:rsidRDefault="007A2931" w:rsidP="007A2931">
      <w:pPr>
        <w:tabs>
          <w:tab w:val="left" w:pos="1134"/>
        </w:tabs>
        <w:spacing w:after="480" w:line="480" w:lineRule="auto"/>
        <w:ind w:firstLine="12"/>
        <w:jc w:val="both"/>
        <w:rPr>
          <w:lang w:val="fr-CA"/>
        </w:rPr>
      </w:pPr>
      <w:r w:rsidRPr="0023370F">
        <w:rPr>
          <w:lang w:val="fr-CA"/>
        </w:rPr>
        <w:tab/>
      </w:r>
      <w:r w:rsidRPr="007A2931">
        <w:rPr>
          <w:szCs w:val="24"/>
          <w:lang w:val="fr-CA"/>
        </w:rPr>
        <w:t>Version française des motifs de jugement rendus par</w:t>
      </w:r>
    </w:p>
    <w:p w:rsidR="007A2931" w:rsidRPr="007A2931" w:rsidRDefault="007A2931" w:rsidP="007A2931">
      <w:pPr>
        <w:pStyle w:val="JudgeJuge"/>
        <w:tabs>
          <w:tab w:val="clear" w:pos="1166"/>
          <w:tab w:val="left" w:pos="1134"/>
        </w:tabs>
        <w:spacing w:before="240"/>
      </w:pPr>
      <w:r w:rsidRPr="007A2931">
        <w:rPr>
          <w:lang w:val="fr-CA"/>
        </w:rPr>
        <w:tab/>
        <w:t xml:space="preserve">La Cour </w:t>
      </w:r>
      <w:r w:rsidRPr="007A2931">
        <w:t>—</w:t>
      </w:r>
    </w:p>
    <w:p w:rsidR="007A2931" w:rsidRPr="007A2931" w:rsidRDefault="007A2931" w:rsidP="007A2931">
      <w:pPr>
        <w:pStyle w:val="ParaNoNdepar-AltN"/>
        <w:spacing w:before="0"/>
        <w:rPr>
          <w:rFonts w:cs="Times New Roman"/>
          <w:lang w:val="fr-CA"/>
        </w:rPr>
      </w:pPr>
      <w:r w:rsidRPr="007A2931">
        <w:rPr>
          <w:rFonts w:cs="Times New Roman"/>
          <w:lang w:val="fr-CA"/>
        </w:rPr>
        <w:t xml:space="preserve">L’appelant, Matthew Berg, a été reconnu coupable d’agression sexuelle. </w:t>
      </w:r>
      <w:bookmarkStart w:id="0" w:name="_Hlk228216915"/>
      <w:r w:rsidRPr="007A2931">
        <w:rPr>
          <w:rFonts w:cs="Times New Roman"/>
          <w:lang w:val="fr-CA"/>
        </w:rPr>
        <w:t xml:space="preserve">Il se pourvoit de plein droit contre un arrêt de la Cour d’appel de la Saskatchewan. </w:t>
      </w:r>
      <w:bookmarkStart w:id="1" w:name="_Hlk228215979"/>
      <w:r w:rsidRPr="007A2931">
        <w:rPr>
          <w:rFonts w:cs="Times New Roman"/>
          <w:lang w:val="fr-CA"/>
        </w:rPr>
        <w:t>Au terme de l’audience devant notre Cour, nous avons rejeté son appel et ordonné à M. Berg de se livrer aux autorités, avec motifs à suivre. Voici nos motifs.</w:t>
      </w:r>
      <w:bookmarkEnd w:id="1"/>
    </w:p>
    <w:p w:rsidR="007A2931" w:rsidRPr="007A2931" w:rsidRDefault="007A2931" w:rsidP="007A2931">
      <w:pPr>
        <w:pStyle w:val="ParaNoNdepar-AltN"/>
        <w:spacing w:before="0"/>
        <w:rPr>
          <w:rFonts w:cs="Times New Roman"/>
          <w:lang w:val="fr-CA"/>
        </w:rPr>
      </w:pPr>
      <w:r w:rsidRPr="007A2931">
        <w:rPr>
          <w:rFonts w:cs="Times New Roman"/>
          <w:lang w:val="fr-CA"/>
        </w:rPr>
        <w:t>La question principale soumise au juge du procès était de savoir si la plaignante avait consenti à avoir du sexe avec M. Berg. Les deux ont témoigné au procès, et il est acquis que l’activité sexuelle en question comprenait des rapports sexuels. Selon la plaignante, elle n’a pas consenti à l’activité sexuelle, et M. Berg l’a prise de force. Il a prétendu que toute l’activité avait été consensuelle.</w:t>
      </w:r>
    </w:p>
    <w:bookmarkEnd w:id="0"/>
    <w:p w:rsidR="007A2931" w:rsidRPr="007A2931" w:rsidRDefault="007A2931" w:rsidP="007A2931">
      <w:pPr>
        <w:pStyle w:val="ParaNoNdepar-AltN"/>
        <w:spacing w:before="0"/>
        <w:rPr>
          <w:rFonts w:cs="Times New Roman"/>
          <w:lang w:val="fr-CA"/>
        </w:rPr>
      </w:pPr>
      <w:r w:rsidRPr="007A2931">
        <w:rPr>
          <w:rFonts w:cs="Times New Roman"/>
          <w:lang w:val="fr-CA"/>
        </w:rPr>
        <w:t>Le juge du procès a rejeté la version de M. Berg. Il a souligné qu’il n’avait aucune raison de rejeter le témoignage de M. Berg lorsque considéré isolément. Il a néanmoins ajouté : [</w:t>
      </w:r>
      <w:r w:rsidRPr="007A2931">
        <w:rPr>
          <w:rFonts w:cs="Times New Roman"/>
          <w:smallCaps/>
          <w:lang w:val="fr-CA"/>
        </w:rPr>
        <w:t>traduction</w:t>
      </w:r>
      <w:r w:rsidRPr="007A2931">
        <w:rPr>
          <w:rFonts w:cs="Times New Roman"/>
          <w:lang w:val="fr-CA"/>
        </w:rPr>
        <w:t xml:space="preserve">] « Je rejette la version de M. Berg, car je retiens le témoignage de [la plaignante] » (d.a., vol. II, p. 157). Cette remarque a fait l’objet d’une </w:t>
      </w:r>
      <w:r w:rsidRPr="007A2931">
        <w:rPr>
          <w:rFonts w:cs="Times New Roman"/>
          <w:lang w:val="fr-CA"/>
        </w:rPr>
        <w:lastRenderedPageBreak/>
        <w:t>grande partie du débat en appel et, seule, elle poserait problème. Pourtant, une interprétation fonctionnelle des motifs du juge du procès démontre clairement qu’il ne s’est pas livré à un concours de crédibilité en rejetant le témoignage de M. Berg uniquement parce qu’il avait préféré celui de la plaignante. Le juge du procès a plutôt analysé la version de M. Berg compte tenu de l’ensemble de la preuve, y compris le témoignage crédible de la plaignante et la preuve circonstancielle corroborante, et ce n’est qu’alors qu’il a été convaincu de la culpabilité de M. Berg hors de tout doute raisonnable.</w:t>
      </w:r>
    </w:p>
    <w:p w:rsidR="007A2931" w:rsidRPr="007A2931" w:rsidRDefault="007A2931" w:rsidP="007A2931">
      <w:pPr>
        <w:pStyle w:val="ParaNoNdepar-AltN"/>
        <w:spacing w:before="0"/>
        <w:rPr>
          <w:rFonts w:cs="Times New Roman"/>
          <w:lang w:val="fr-CA"/>
        </w:rPr>
      </w:pPr>
      <w:r w:rsidRPr="007A2931">
        <w:rPr>
          <w:rFonts w:cs="Times New Roman"/>
          <w:lang w:val="fr-CA"/>
        </w:rPr>
        <w:t>La Cour d’appel de la Saskatchewan a rejeté à la majorité l’appel de M. Berg. En Cour d’appel, M. Berg a soutenu que le juge du procès avait commis deux erreurs susceptibles de révision. Premièrement, le juge du procès n’a pas résolu les incohérences importantes dans le témoignage de la plaignante. Deuxièmement, il n’a pas évalué le témoignage de la plaignante à la lumière de l’ensemble de la preuve, et il l’a utilisé à tort pour rejeter la version de M. Berg. Ce dernier soulève maintenant les deux mêmes questions devant notre Cour.</w:t>
      </w:r>
    </w:p>
    <w:p w:rsidR="007A2931" w:rsidRPr="007A2931" w:rsidRDefault="007A2931" w:rsidP="007A2931">
      <w:pPr>
        <w:pStyle w:val="ParaNoNdepar-AltN"/>
        <w:spacing w:before="0"/>
        <w:rPr>
          <w:rFonts w:cs="Times New Roman"/>
        </w:rPr>
      </w:pPr>
      <w:r w:rsidRPr="007A2931">
        <w:rPr>
          <w:rFonts w:cs="Times New Roman"/>
          <w:lang w:val="fr-CA"/>
        </w:rPr>
        <w:t>En ce qui a trait au fond des deux questions soulevées par M. Berg, nous souscrivons pour l’essentiel aux motifs des juges majoritaires de la juridiction inférieure. La Cour d’appel a expliqué de manière convaincante comment le juge du procès avait déclaré M. Berg coupable sur le fondement d’une preuve hors de tout doute raisonnable. Nous n’avons pas à examiner plus avant ces questions.</w:t>
      </w:r>
    </w:p>
    <w:p w:rsidR="007A2931" w:rsidRPr="007A2931" w:rsidRDefault="007A2931" w:rsidP="007A2931">
      <w:pPr>
        <w:pStyle w:val="ParaNoNdepar-AltN"/>
        <w:spacing w:before="0"/>
        <w:rPr>
          <w:rFonts w:cs="Times New Roman"/>
          <w:lang w:val="fr-CA"/>
        </w:rPr>
      </w:pPr>
      <w:r w:rsidRPr="007A2931">
        <w:rPr>
          <w:rFonts w:cs="Times New Roman"/>
          <w:lang w:val="fr-CA"/>
        </w:rPr>
        <w:t xml:space="preserve">Nous rédigeons les présents motifs pour donner des indications sur l’application des principes découlant de la décision rendue par la Cour d’appel de </w:t>
      </w:r>
      <w:r w:rsidRPr="007A2931">
        <w:rPr>
          <w:rFonts w:cs="Times New Roman"/>
          <w:lang w:val="fr-CA"/>
        </w:rPr>
        <w:lastRenderedPageBreak/>
        <w:t xml:space="preserve">l’Ontario dans </w:t>
      </w:r>
      <w:r w:rsidRPr="007A2931">
        <w:rPr>
          <w:rFonts w:cs="Times New Roman"/>
          <w:i/>
          <w:lang w:val="fr-CA"/>
        </w:rPr>
        <w:t>R. c. J.J.R.D.</w:t>
      </w:r>
      <w:r w:rsidRPr="007A2931">
        <w:rPr>
          <w:rFonts w:cs="Times New Roman"/>
          <w:lang w:val="fr-CA"/>
        </w:rPr>
        <w:t xml:space="preserve"> (2006), 218 O.A.C. 37, et pour corriger les erreurs auxquelles cette application peut donner lieu. Il arrive couramment que les juges présidant les procès invoquent l’arrêt </w:t>
      </w:r>
      <w:r w:rsidRPr="007A2931">
        <w:rPr>
          <w:rFonts w:cs="Times New Roman"/>
          <w:i/>
          <w:lang w:val="fr-CA"/>
        </w:rPr>
        <w:t>J.J.R.D.</w:t>
      </w:r>
      <w:r w:rsidRPr="007A2931">
        <w:rPr>
          <w:rFonts w:cs="Times New Roman"/>
          <w:lang w:val="fr-CA"/>
        </w:rPr>
        <w:t xml:space="preserve"> quand ils sont aux prises avec des témoignages contradictoires. Cet arrêt est souvent utilisé pour résoudre des situations où deux témoignages différents ne comportent ni l’un ni l’autre, considérés isolément, quelque faiblesse que ce soit.</w:t>
      </w:r>
    </w:p>
    <w:p w:rsidR="007A2931" w:rsidRPr="007A2931" w:rsidRDefault="007A2931" w:rsidP="007A2931">
      <w:pPr>
        <w:pStyle w:val="ParaNoNdepar-AltN"/>
        <w:spacing w:before="0"/>
        <w:rPr>
          <w:rFonts w:cs="Times New Roman"/>
          <w:lang w:val="fr-CA"/>
        </w:rPr>
      </w:pPr>
      <w:r w:rsidRPr="007A2931">
        <w:rPr>
          <w:rFonts w:cs="Times New Roman"/>
          <w:lang w:val="fr-CA"/>
        </w:rPr>
        <w:t>L’affaire</w:t>
      </w:r>
      <w:r w:rsidRPr="007A2931">
        <w:rPr>
          <w:rFonts w:cs="Times New Roman"/>
          <w:i/>
          <w:lang w:val="fr-CA"/>
        </w:rPr>
        <w:t xml:space="preserve"> J.J.R.D.</w:t>
      </w:r>
      <w:r w:rsidRPr="007A2931">
        <w:rPr>
          <w:rFonts w:cs="Times New Roman"/>
          <w:lang w:val="fr-CA"/>
        </w:rPr>
        <w:t xml:space="preserve"> mettait en cause une allégation d’insuffisance des motifs. Dans cette affaire, le juge du procès avait reconnu l’accusé coupable même si son témoignage, considéré isolément, ne comportait aucune lacune évidente, parce que le témoignage de la plaignante et la preuve circonstancielle étaient suffisamment convaincants pour rejeter la version de l’accusé. En appel, le juge Doherty a expliqué que le raisonnement du juge du procès était adéquat et permettait un examen efficace en appel. Dans un passage désormais souvent cité, au </w:t>
      </w:r>
      <w:proofErr w:type="spellStart"/>
      <w:r w:rsidRPr="007A2931">
        <w:rPr>
          <w:rFonts w:cs="Times New Roman"/>
          <w:lang w:val="fr-CA"/>
        </w:rPr>
        <w:t>par</w:t>
      </w:r>
      <w:proofErr w:type="spellEnd"/>
      <w:r w:rsidRPr="007A2931">
        <w:rPr>
          <w:rFonts w:cs="Times New Roman"/>
          <w:lang w:val="fr-CA"/>
        </w:rPr>
        <w:t>. 53, il a fait observer ce qui suit :</w:t>
      </w:r>
    </w:p>
    <w:p w:rsidR="007A2931" w:rsidRPr="007A2931" w:rsidRDefault="007A2931" w:rsidP="007A2931">
      <w:pPr>
        <w:pStyle w:val="Citation-AltC"/>
        <w:contextualSpacing w:val="0"/>
        <w:rPr>
          <w:lang w:val="fr-CA"/>
        </w:rPr>
      </w:pPr>
      <w:r w:rsidRPr="007A2931">
        <w:rPr>
          <w:lang w:val="fr-CA"/>
        </w:rPr>
        <w:t>[</w:t>
      </w:r>
      <w:r w:rsidRPr="007A2931">
        <w:rPr>
          <w:smallCaps/>
          <w:lang w:val="fr-CA"/>
        </w:rPr>
        <w:t>traduction</w:t>
      </w:r>
      <w:r w:rsidRPr="007A2931">
        <w:rPr>
          <w:lang w:val="fr-CA"/>
        </w:rPr>
        <w:t>] Le fait de rejeter catégoriquement le témoignage d’un accusé parce que l’on a accepté de manière réfléchie et raisonnée hors de tout doute raisonnable la véracité d’un témoignage crédible contradictoire constitue tout autant une explication du rejet du témoignage d’un accusé que ne l’est le fait de rejeter le témoignage de l’accusé sur la base d’une lacune relevée dans la manière dont l’accusé a témoigné ou dans la teneur de son témoignage.</w:t>
      </w:r>
    </w:p>
    <w:p w:rsidR="007A2931" w:rsidRPr="007A2931" w:rsidRDefault="007A2931" w:rsidP="007A2931">
      <w:pPr>
        <w:pStyle w:val="ParaNoNdepar-AltN"/>
        <w:spacing w:before="0"/>
        <w:rPr>
          <w:rFonts w:cs="Times New Roman"/>
          <w:lang w:val="fr-CA"/>
        </w:rPr>
      </w:pPr>
      <w:r w:rsidRPr="007A2931">
        <w:rPr>
          <w:rFonts w:cs="Times New Roman"/>
          <w:lang w:val="fr-CA"/>
        </w:rPr>
        <w:t xml:space="preserve">En l’espèce, le juge du procès s’est inspiré de ce passage pour structurer son analyse fondée sur l’arrêt </w:t>
      </w:r>
      <w:r w:rsidRPr="007A2931">
        <w:rPr>
          <w:rFonts w:cs="Times New Roman"/>
          <w:i/>
          <w:lang w:val="fr-CA"/>
        </w:rPr>
        <w:t>R. c. W. (D.)</w:t>
      </w:r>
      <w:r w:rsidRPr="007A2931">
        <w:rPr>
          <w:rFonts w:cs="Times New Roman"/>
          <w:lang w:val="fr-CA"/>
        </w:rPr>
        <w:t xml:space="preserve">, [1991] 1 R.C.S. 742, et rejeter le témoignage de M. Berg. La juge dissidente en Cour d’appel a conclu que le juge du procès ne s’était pas conformé à l’arrêt </w:t>
      </w:r>
      <w:r w:rsidRPr="007A2931">
        <w:rPr>
          <w:rFonts w:cs="Times New Roman"/>
          <w:i/>
          <w:lang w:val="fr-CA"/>
        </w:rPr>
        <w:t xml:space="preserve">J.J.R.D. </w:t>
      </w:r>
      <w:r w:rsidRPr="007A2931">
        <w:rPr>
          <w:rFonts w:cs="Times New Roman"/>
          <w:lang w:val="fr-CA"/>
        </w:rPr>
        <w:t xml:space="preserve">et qu’il avait eu tort de rejeter le </w:t>
      </w:r>
      <w:r w:rsidRPr="007A2931">
        <w:rPr>
          <w:rFonts w:cs="Times New Roman"/>
          <w:lang w:val="fr-CA"/>
        </w:rPr>
        <w:lastRenderedPageBreak/>
        <w:t>témoignage de M. Berg sans avoir « accepté de manière réfléchie et raisonnée » le témoignage de la plaignante.</w:t>
      </w:r>
    </w:p>
    <w:p w:rsidR="007A2931" w:rsidRPr="007A2931" w:rsidRDefault="007A2931" w:rsidP="007A2931">
      <w:pPr>
        <w:pStyle w:val="ParaNoNdepar-AltN"/>
        <w:spacing w:before="0"/>
        <w:rPr>
          <w:rFonts w:cs="Times New Roman"/>
          <w:lang w:val="fr-CA"/>
        </w:rPr>
      </w:pPr>
      <w:r w:rsidRPr="007A2931">
        <w:rPr>
          <w:rFonts w:cs="Times New Roman"/>
          <w:lang w:val="fr-CA"/>
        </w:rPr>
        <w:t xml:space="preserve">En règle générale, les juges présidant les procès ne devraient pas s’appuyer sur l’arrêt </w:t>
      </w:r>
      <w:r w:rsidRPr="007A2931">
        <w:rPr>
          <w:rFonts w:cs="Times New Roman"/>
          <w:i/>
          <w:lang w:val="fr-CA"/>
        </w:rPr>
        <w:t>J.J.R.D.</w:t>
      </w:r>
      <w:r w:rsidRPr="007A2931">
        <w:rPr>
          <w:rFonts w:cs="Times New Roman"/>
          <w:lang w:val="fr-CA"/>
        </w:rPr>
        <w:t xml:space="preserve"> pour structurer leurs analyses fondées sur l’arrêt </w:t>
      </w:r>
      <w:r w:rsidRPr="007A2931">
        <w:rPr>
          <w:rFonts w:cs="Times New Roman"/>
          <w:i/>
          <w:lang w:val="fr-CA"/>
        </w:rPr>
        <w:t>W. (D.)</w:t>
      </w:r>
      <w:r w:rsidRPr="007A2931">
        <w:rPr>
          <w:rFonts w:cs="Times New Roman"/>
          <w:lang w:val="fr-CA"/>
        </w:rPr>
        <w:t xml:space="preserve"> ou donner au jury des directives tirées de cet arrêt. L’affaire </w:t>
      </w:r>
      <w:r w:rsidRPr="007A2931">
        <w:rPr>
          <w:rFonts w:cs="Times New Roman"/>
          <w:i/>
          <w:lang w:val="fr-CA"/>
        </w:rPr>
        <w:t>J.J.R.D.</w:t>
      </w:r>
      <w:r w:rsidRPr="007A2931">
        <w:rPr>
          <w:rFonts w:cs="Times New Roman"/>
          <w:lang w:val="fr-CA"/>
        </w:rPr>
        <w:t xml:space="preserve"> était un appel portant sur l’examen en appel</w:t>
      </w:r>
      <w:r w:rsidRPr="007A2931">
        <w:rPr>
          <w:rFonts w:cs="Times New Roman"/>
          <w:i/>
          <w:lang w:val="fr-CA"/>
        </w:rPr>
        <w:t xml:space="preserve"> </w:t>
      </w:r>
      <w:r w:rsidRPr="007A2931">
        <w:rPr>
          <w:rFonts w:cs="Times New Roman"/>
          <w:lang w:val="fr-CA"/>
        </w:rPr>
        <w:t>du</w:t>
      </w:r>
      <w:r w:rsidRPr="007A2931">
        <w:rPr>
          <w:rFonts w:cs="Times New Roman"/>
          <w:i/>
          <w:lang w:val="fr-CA"/>
        </w:rPr>
        <w:t xml:space="preserve"> </w:t>
      </w:r>
      <w:r w:rsidRPr="007A2931">
        <w:rPr>
          <w:rFonts w:cs="Times New Roman"/>
          <w:lang w:val="fr-CA"/>
        </w:rPr>
        <w:t xml:space="preserve">caractère suffisant des motifs, et il n’est pas censé fixer de formule pour effectuer une analyse fondée sur l’arrêt </w:t>
      </w:r>
      <w:r w:rsidRPr="007A2931">
        <w:rPr>
          <w:rFonts w:cs="Times New Roman"/>
          <w:i/>
          <w:lang w:val="fr-CA"/>
        </w:rPr>
        <w:t>W. (D.)</w:t>
      </w:r>
      <w:r w:rsidRPr="007A2931">
        <w:rPr>
          <w:rFonts w:cs="Times New Roman"/>
          <w:lang w:val="fr-CA"/>
        </w:rPr>
        <w:t xml:space="preserve">. Il est censé s’appliquer au contrôle en appel de décisions de première instance lorsqu’il s’agit de déterminer si les motifs du juge du procès étaient suffisants pour permettre un examen en appel, et non être appliqué par les juges du procès eux-mêmes. Nous faisons nôtres les observations suivantes formulées par le juge Paciocco dans </w:t>
      </w:r>
      <w:r w:rsidRPr="007A2931">
        <w:rPr>
          <w:rFonts w:cs="Times New Roman"/>
          <w:i/>
          <w:lang w:val="fr-CA"/>
        </w:rPr>
        <w:t>R. c. C.L.</w:t>
      </w:r>
      <w:r w:rsidRPr="007A2931">
        <w:rPr>
          <w:rFonts w:cs="Times New Roman"/>
          <w:lang w:val="fr-CA"/>
        </w:rPr>
        <w:t>, 2020 ONCA 258, 387 C.C.C. (3d) 39, par. 32 :</w:t>
      </w:r>
    </w:p>
    <w:p w:rsidR="007A2931" w:rsidRPr="007A2931" w:rsidRDefault="007A2931" w:rsidP="007A2931">
      <w:pPr>
        <w:pStyle w:val="Citation-AltC"/>
        <w:contextualSpacing w:val="0"/>
        <w:rPr>
          <w:lang w:val="fr-CA"/>
        </w:rPr>
      </w:pPr>
      <w:r w:rsidRPr="007A2931">
        <w:rPr>
          <w:lang w:val="fr-CA"/>
        </w:rPr>
        <w:t>[</w:t>
      </w:r>
      <w:r w:rsidRPr="007A2931">
        <w:rPr>
          <w:smallCaps/>
          <w:lang w:val="fr-CA"/>
        </w:rPr>
        <w:t>traduction</w:t>
      </w:r>
      <w:proofErr w:type="gramStart"/>
      <w:r w:rsidRPr="007A2931">
        <w:rPr>
          <w:lang w:val="fr-CA"/>
        </w:rPr>
        <w:t>] .</w:t>
      </w:r>
      <w:proofErr w:type="gramEnd"/>
      <w:r w:rsidRPr="007A2931">
        <w:rPr>
          <w:lang w:val="fr-CA"/>
        </w:rPr>
        <w:t xml:space="preserve"> . . </w:t>
      </w:r>
      <w:r w:rsidRPr="007A2931">
        <w:rPr>
          <w:i/>
          <w:lang w:val="fr-CA"/>
        </w:rPr>
        <w:t>D. (J.J.R.)</w:t>
      </w:r>
      <w:r w:rsidRPr="007A2931">
        <w:rPr>
          <w:lang w:val="fr-CA"/>
        </w:rPr>
        <w:t xml:space="preserve"> était un arrêt sur le caractère suffisant des motifs. Il ne s’agissait pas d’un arrêt en matière de directives au jury, ni même d’un arrêt à propos du contenu de la formule énoncée dans </w:t>
      </w:r>
      <w:r w:rsidRPr="007A2931">
        <w:rPr>
          <w:i/>
          <w:lang w:val="fr-CA"/>
        </w:rPr>
        <w:t>W. (D.)</w:t>
      </w:r>
      <w:r w:rsidRPr="007A2931">
        <w:rPr>
          <w:lang w:val="fr-CA"/>
        </w:rPr>
        <w:t xml:space="preserve">. Il fallait se demander si les motifs fournis par un juge du procès siégeant seul étaient suffisants pour permettre un examen efficace en appel : voir </w:t>
      </w:r>
      <w:r w:rsidRPr="007A2931">
        <w:rPr>
          <w:i/>
          <w:lang w:val="fr-CA"/>
        </w:rPr>
        <w:t>D. (J.J.R.)</w:t>
      </w:r>
      <w:r w:rsidRPr="007A2931">
        <w:rPr>
          <w:lang w:val="fr-CA"/>
        </w:rPr>
        <w:t>, par. 1-2. Voilà pourquoi le juge Doherty affirme que le fait d’avoir « accepté de manière réfléchie et raisonnée [</w:t>
      </w:r>
      <w:proofErr w:type="gramStart"/>
      <w:r w:rsidRPr="007A2931">
        <w:rPr>
          <w:lang w:val="fr-CA"/>
        </w:rPr>
        <w:t>. .</w:t>
      </w:r>
      <w:proofErr w:type="gramEnd"/>
      <w:r w:rsidRPr="007A2931">
        <w:rPr>
          <w:lang w:val="fr-CA"/>
        </w:rPr>
        <w:t> .] la véracité d’un témoignage crédible contradictoire constitue [. . .] une explication du rejet du témoignage d’un accusé ». Dans cette affaire, il s’agit de savoir si le juge du procès a expliqué la déclaration de culpabilité en fournissant un fondement réfléchi et raisonné [</w:t>
      </w:r>
      <w:proofErr w:type="gramStart"/>
      <w:r w:rsidRPr="007A2931">
        <w:rPr>
          <w:lang w:val="fr-CA"/>
        </w:rPr>
        <w:t>. .</w:t>
      </w:r>
      <w:proofErr w:type="gramEnd"/>
      <w:r w:rsidRPr="007A2931">
        <w:rPr>
          <w:lang w:val="fr-CA"/>
        </w:rPr>
        <w:t> .] Il n’est pas censé donner de formule pour écarter une preuve disculpatoire irréfutable à première vue. [Italique omis.]</w:t>
      </w:r>
    </w:p>
    <w:p w:rsidR="007A2931" w:rsidRPr="007A2931" w:rsidRDefault="007A2931" w:rsidP="007A2931">
      <w:pPr>
        <w:pStyle w:val="ParaNoNdepar-AltN"/>
        <w:spacing w:before="0"/>
        <w:rPr>
          <w:rFonts w:cs="Times New Roman"/>
          <w:lang w:val="fr-CA"/>
        </w:rPr>
      </w:pPr>
      <w:r w:rsidRPr="007A2931">
        <w:rPr>
          <w:rFonts w:cs="Times New Roman"/>
          <w:lang w:val="fr-CA"/>
        </w:rPr>
        <w:t xml:space="preserve">Lorsqu’invoqué dans le cadre d’un procès, l’arrêt </w:t>
      </w:r>
      <w:r w:rsidRPr="007A2931">
        <w:rPr>
          <w:rFonts w:cs="Times New Roman"/>
          <w:i/>
          <w:lang w:val="fr-CA"/>
        </w:rPr>
        <w:t xml:space="preserve">J.J.R.D. </w:t>
      </w:r>
      <w:r w:rsidRPr="007A2931">
        <w:rPr>
          <w:rFonts w:cs="Times New Roman"/>
          <w:lang w:val="fr-CA"/>
        </w:rPr>
        <w:t xml:space="preserve">peut induire en erreur le juge des faits en l’amenant à croire qu’il lui est possible de rejeter la version de l’accusé au </w:t>
      </w:r>
      <w:r w:rsidRPr="007A2931">
        <w:rPr>
          <w:rFonts w:cs="Times New Roman"/>
          <w:i/>
          <w:lang w:val="fr-CA"/>
        </w:rPr>
        <w:t>seul</w:t>
      </w:r>
      <w:r w:rsidRPr="007A2931">
        <w:rPr>
          <w:rFonts w:cs="Times New Roman"/>
          <w:lang w:val="fr-CA"/>
        </w:rPr>
        <w:t xml:space="preserve"> motif qu’il a accepté « de manière réfléchie et raisonnée » le </w:t>
      </w:r>
      <w:r w:rsidRPr="007A2931">
        <w:rPr>
          <w:rFonts w:cs="Times New Roman"/>
          <w:lang w:val="fr-CA"/>
        </w:rPr>
        <w:lastRenderedPageBreak/>
        <w:t>témoignage du plaignant</w:t>
      </w:r>
      <w:bookmarkStart w:id="2" w:name="_GoBack"/>
      <w:r w:rsidRPr="0023370F">
        <w:rPr>
          <w:rStyle w:val="Hyperlink"/>
          <w:vertAlign w:val="superscript"/>
        </w:rPr>
        <w:footnoteReference w:id="1"/>
      </w:r>
      <w:bookmarkEnd w:id="2"/>
      <w:r w:rsidRPr="007A2931">
        <w:rPr>
          <w:rFonts w:cs="Times New Roman"/>
          <w:lang w:val="fr-CA"/>
        </w:rPr>
        <w:t xml:space="preserve">. Cela suscite la crainte de transformer les procès en concours de crédibilité — l’erreur même que l’arrêt </w:t>
      </w:r>
      <w:r w:rsidRPr="007A2931">
        <w:rPr>
          <w:rFonts w:cs="Times New Roman"/>
          <w:i/>
          <w:lang w:val="fr-CA"/>
        </w:rPr>
        <w:t>W. (D.)</w:t>
      </w:r>
      <w:r w:rsidRPr="007A2931">
        <w:rPr>
          <w:rFonts w:cs="Times New Roman"/>
          <w:lang w:val="fr-CA"/>
        </w:rPr>
        <w:t xml:space="preserve"> visait à prévenir. Vu la présomption d’innocence, un verdict de culpabilité ne saurait dépendre uniquement de la question de savoir si le juge des faits croit la preuve de la Couronne ou la considère plus plausible (</w:t>
      </w:r>
      <w:r w:rsidRPr="007A2931">
        <w:rPr>
          <w:rFonts w:cs="Times New Roman"/>
          <w:i/>
          <w:lang w:val="fr-CA"/>
        </w:rPr>
        <w:t>W. (D.)</w:t>
      </w:r>
      <w:r w:rsidRPr="007A2931">
        <w:rPr>
          <w:rFonts w:cs="Times New Roman"/>
          <w:lang w:val="fr-CA"/>
        </w:rPr>
        <w:t xml:space="preserve">, p. 757; </w:t>
      </w:r>
      <w:r w:rsidRPr="007A2931">
        <w:rPr>
          <w:rFonts w:cs="Times New Roman"/>
          <w:i/>
          <w:lang w:val="fr-CA"/>
        </w:rPr>
        <w:t>R. c. C.L.Y.</w:t>
      </w:r>
      <w:r w:rsidRPr="007A2931">
        <w:rPr>
          <w:rFonts w:cs="Times New Roman"/>
          <w:lang w:val="fr-CA"/>
        </w:rPr>
        <w:t xml:space="preserve">, 2008 CSC 2, [2008] 1 R.C.S. 5, par. 6; </w:t>
      </w:r>
      <w:r w:rsidRPr="007A2931">
        <w:rPr>
          <w:rFonts w:cs="Times New Roman"/>
          <w:i/>
          <w:lang w:val="fr-CA"/>
        </w:rPr>
        <w:t>R. c. J.H.S.</w:t>
      </w:r>
      <w:r w:rsidRPr="007A2931">
        <w:rPr>
          <w:rFonts w:cs="Times New Roman"/>
          <w:lang w:val="fr-CA"/>
        </w:rPr>
        <w:t>, 2008 CSC 30, [2008] 2 R.C.S. 152, par. 9).</w:t>
      </w:r>
    </w:p>
    <w:p w:rsidR="007A2931" w:rsidRPr="007A2931" w:rsidRDefault="007A2931" w:rsidP="007A2931">
      <w:pPr>
        <w:pStyle w:val="ParaNoNdepar-AltN"/>
        <w:spacing w:before="0"/>
        <w:rPr>
          <w:rFonts w:cs="Times New Roman"/>
          <w:lang w:val="fr-CA"/>
        </w:rPr>
      </w:pPr>
      <w:r w:rsidRPr="007A2931">
        <w:rPr>
          <w:rFonts w:cs="Times New Roman"/>
          <w:lang w:val="fr-CA"/>
        </w:rPr>
        <w:t xml:space="preserve">Une déclaration de culpabilité doit plutôt toujours reposer sur une preuve hors de tout doute raisonnable. Une telle preuve exige davantage que le fait d’avoir « accepté de manière réfléchie et raisonnée » le témoignage du plaignant. En fait, dans </w:t>
      </w:r>
      <w:r w:rsidRPr="007A2931">
        <w:rPr>
          <w:rFonts w:cs="Times New Roman"/>
          <w:i/>
          <w:lang w:val="fr-CA"/>
        </w:rPr>
        <w:t>J.J.R.D.</w:t>
      </w:r>
      <w:r w:rsidRPr="007A2931">
        <w:rPr>
          <w:rFonts w:cs="Times New Roman"/>
          <w:lang w:val="fr-CA"/>
        </w:rPr>
        <w:t>, le juge</w:t>
      </w:r>
      <w:r w:rsidRPr="007A2931">
        <w:rPr>
          <w:rFonts w:cs="Times New Roman"/>
          <w:i/>
          <w:lang w:val="fr-CA"/>
        </w:rPr>
        <w:t xml:space="preserve"> </w:t>
      </w:r>
      <w:r w:rsidRPr="007A2931">
        <w:rPr>
          <w:rFonts w:cs="Times New Roman"/>
          <w:lang w:val="fr-CA"/>
        </w:rPr>
        <w:t xml:space="preserve">Doherty s’est montré typiquement prudent dans sa formulation : le juge du procès peut rejeter le témoignage d’un accusé « parce </w:t>
      </w:r>
      <w:proofErr w:type="spellStart"/>
      <w:proofErr w:type="gramStart"/>
      <w:r w:rsidRPr="007A2931">
        <w:rPr>
          <w:rFonts w:cs="Times New Roman"/>
          <w:lang w:val="fr-CA"/>
        </w:rPr>
        <w:t>qu</w:t>
      </w:r>
      <w:proofErr w:type="spellEnd"/>
      <w:r w:rsidRPr="007A2931">
        <w:rPr>
          <w:rFonts w:cs="Times New Roman"/>
          <w:lang w:val="fr-CA"/>
        </w:rPr>
        <w:t>[</w:t>
      </w:r>
      <w:proofErr w:type="gramEnd"/>
      <w:r w:rsidRPr="007A2931">
        <w:rPr>
          <w:rFonts w:cs="Times New Roman"/>
          <w:lang w:val="fr-CA"/>
        </w:rPr>
        <w:t xml:space="preserve">’il a] accepté de manière réfléchie et raisonnée </w:t>
      </w:r>
      <w:r w:rsidRPr="007A2931">
        <w:rPr>
          <w:rFonts w:cs="Times New Roman"/>
          <w:u w:val="single"/>
          <w:lang w:val="fr-CA"/>
        </w:rPr>
        <w:t>hors de tout doute raisonnable</w:t>
      </w:r>
      <w:r w:rsidRPr="007A2931">
        <w:rPr>
          <w:rFonts w:cs="Times New Roman"/>
          <w:lang w:val="fr-CA"/>
        </w:rPr>
        <w:t xml:space="preserve"> la véracité d’un témoignage crédible contradictoire » (par. 53 (je souligne)). Considéré dans son intégralité, ce passage indique que les cours d’appel devraient veiller à ce que les juges du procès aient examiné la preuve contradictoire — qu’il s’agisse uniquement du témoignage du plaignant ou qu’elle comprenne également des éléments de preuve circonstancielle — et aient expliqué pourquoi elle répond à la norme exigeante de la preuve hors de tout doute raisonnable. En revanche, il ne constitue pas une invitation faite aux juges présidant les procès d’inscrire des déclarations de culpabilité au seul motif qu’ils ont accepté « de manière réfléchie et raisonnée » le témoignage d’un plaignant.</w:t>
      </w:r>
    </w:p>
    <w:p w:rsidR="007A2931" w:rsidRPr="007A2931" w:rsidRDefault="007A2931" w:rsidP="007A2931">
      <w:pPr>
        <w:pStyle w:val="ParaNoNdepar-AltN"/>
        <w:spacing w:before="0"/>
        <w:rPr>
          <w:rFonts w:cs="Times New Roman"/>
          <w:strike/>
          <w:lang w:val="fr-CA"/>
        </w:rPr>
      </w:pPr>
      <w:r w:rsidRPr="007A2931">
        <w:rPr>
          <w:rFonts w:cs="Times New Roman"/>
          <w:lang w:val="fr-CA"/>
        </w:rPr>
        <w:lastRenderedPageBreak/>
        <w:t xml:space="preserve">En l’espèce, le juge du procès n’a pas utilisé l’arrêt </w:t>
      </w:r>
      <w:r w:rsidRPr="007A2931">
        <w:rPr>
          <w:rFonts w:cs="Times New Roman"/>
          <w:i/>
          <w:lang w:val="fr-CA"/>
        </w:rPr>
        <w:t>J.J.R.D.</w:t>
      </w:r>
      <w:r w:rsidRPr="007A2931">
        <w:rPr>
          <w:rFonts w:cs="Times New Roman"/>
          <w:lang w:val="fr-CA"/>
        </w:rPr>
        <w:t xml:space="preserve"> pour déterminer l’issue d’un concours de crédibilité, et il n’a donc commis aucune erreur de droit. Cependant, la prudence est de mise afin d’éviter que cet arrêt soit invoqué d’une manière qui court-circuite </w:t>
      </w:r>
      <w:r w:rsidRPr="007A2931">
        <w:rPr>
          <w:rFonts w:cs="Times New Roman"/>
          <w:i/>
          <w:lang w:val="fr-CA"/>
        </w:rPr>
        <w:t>W. (D.)</w:t>
      </w:r>
      <w:r w:rsidRPr="007A2931">
        <w:rPr>
          <w:rFonts w:cs="Times New Roman"/>
          <w:lang w:val="fr-CA"/>
        </w:rPr>
        <w:t>. Par conséquent, le pourvoi est rejeté.</w:t>
      </w:r>
    </w:p>
    <w:p w:rsidR="004D7D95" w:rsidRPr="007A2931" w:rsidRDefault="004D7D95" w:rsidP="009A720D">
      <w:pPr>
        <w:pStyle w:val="SCCNormalDoubleSpacing"/>
        <w:spacing w:after="480"/>
        <w:rPr>
          <w:lang w:val="fr-CA"/>
        </w:rPr>
      </w:pPr>
      <w:r w:rsidRPr="007A2931">
        <w:rPr>
          <w:lang w:val="fr-CA"/>
        </w:rPr>
        <w:tab/>
      </w:r>
      <w:r w:rsidR="00063177" w:rsidRPr="007A2931">
        <w:rPr>
          <w:i/>
          <w:lang w:val="fr-CA"/>
        </w:rPr>
        <w:t>Pourvoi rejeté.</w:t>
      </w:r>
    </w:p>
    <w:p w:rsidR="00FC682E" w:rsidRPr="007A2931" w:rsidRDefault="001D4A6A" w:rsidP="009A720D">
      <w:pPr>
        <w:pStyle w:val="SCCLawFirm"/>
        <w:spacing w:after="480"/>
        <w:rPr>
          <w:lang w:val="fr-CA"/>
        </w:rPr>
      </w:pPr>
      <w:r w:rsidRPr="007A2931">
        <w:rPr>
          <w:lang w:val="fr-CA"/>
        </w:rPr>
        <w:tab/>
        <w:t>Procureur</w:t>
      </w:r>
      <w:r w:rsidR="00063177" w:rsidRPr="007A2931">
        <w:rPr>
          <w:lang w:val="fr-CA"/>
        </w:rPr>
        <w:t>s</w:t>
      </w:r>
      <w:r w:rsidRPr="007A2931">
        <w:rPr>
          <w:lang w:val="fr-CA"/>
        </w:rPr>
        <w:t xml:space="preserve"> de l</w:t>
      </w:r>
      <w:r w:rsidR="00063177" w:rsidRPr="007A2931">
        <w:rPr>
          <w:lang w:val="fr-CA"/>
        </w:rPr>
        <w:t>’</w:t>
      </w:r>
      <w:r w:rsidRPr="007A2931">
        <w:rPr>
          <w:lang w:val="fr-CA"/>
        </w:rPr>
        <w:t>appelant</w:t>
      </w:r>
      <w:r w:rsidR="00063177" w:rsidRPr="007A2931">
        <w:rPr>
          <w:lang w:val="fr-CA"/>
        </w:rPr>
        <w:t> :</w:t>
      </w:r>
      <w:r w:rsidRPr="007A2931">
        <w:rPr>
          <w:lang w:val="fr-CA"/>
        </w:rPr>
        <w:t xml:space="preserve"> Pfefferle Law Office, Saskatoon.</w:t>
      </w:r>
    </w:p>
    <w:p w:rsidR="004D7D95" w:rsidRPr="00063177" w:rsidRDefault="001D4A6A" w:rsidP="009A720D">
      <w:pPr>
        <w:pStyle w:val="SCCLawFirm"/>
        <w:spacing w:after="480"/>
      </w:pPr>
      <w:r w:rsidRPr="007A2931">
        <w:rPr>
          <w:lang w:val="fr-CA"/>
        </w:rPr>
        <w:tab/>
      </w:r>
      <w:r w:rsidRPr="007A2931">
        <w:t xml:space="preserve">Procureur de </w:t>
      </w:r>
      <w:r w:rsidR="00063177" w:rsidRPr="007A2931">
        <w:t>l’intimé </w:t>
      </w:r>
      <w:r w:rsidRPr="007A2931">
        <w:t>: Attorney General for Saskatchewan, Regina.</w:t>
      </w:r>
    </w:p>
    <w:sectPr w:rsidR="004D7D95" w:rsidRPr="00063177" w:rsidSect="000648CC">
      <w:pgSz w:w="12240" w:h="15840"/>
      <w:pgMar w:top="1267" w:right="2160" w:bottom="720" w:left="1800" w:header="180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826" w:rsidRDefault="00F34826">
      <w:r>
        <w:separator/>
      </w:r>
    </w:p>
  </w:endnote>
  <w:endnote w:type="continuationSeparator" w:id="0">
    <w:p w:rsidR="00F34826" w:rsidRDefault="00F3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Std-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826" w:rsidRDefault="00F34826">
      <w:r>
        <w:separator/>
      </w:r>
    </w:p>
  </w:footnote>
  <w:footnote w:type="continuationSeparator" w:id="0">
    <w:p w:rsidR="00F34826" w:rsidRDefault="00F34826">
      <w:r>
        <w:continuationSeparator/>
      </w:r>
    </w:p>
  </w:footnote>
  <w:footnote w:id="1">
    <w:p w:rsidR="007A2931" w:rsidRPr="00C9750D" w:rsidRDefault="007A2931" w:rsidP="007A2931">
      <w:pPr>
        <w:pStyle w:val="CommentText"/>
        <w:ind w:left="90" w:hanging="90"/>
        <w:jc w:val="both"/>
        <w:rPr>
          <w:lang w:val="en-US"/>
        </w:rPr>
      </w:pPr>
      <w:r w:rsidRPr="00821419">
        <w:rPr>
          <w:vertAlign w:val="superscript"/>
        </w:rPr>
        <w:footnoteRef/>
      </w:r>
      <w:r w:rsidRPr="00821419">
        <w:rPr>
          <w:vertAlign w:val="superscript"/>
        </w:rPr>
        <w:t xml:space="preserve"> </w:t>
      </w:r>
      <w:r>
        <w:t xml:space="preserve">Par </w:t>
      </w:r>
      <w:proofErr w:type="spellStart"/>
      <w:r>
        <w:t>exemple</w:t>
      </w:r>
      <w:proofErr w:type="spellEnd"/>
      <w:r>
        <w:t xml:space="preserve">, voir : </w:t>
      </w:r>
      <w:r>
        <w:rPr>
          <w:i/>
        </w:rPr>
        <w:t>R. c. M.D.R.</w:t>
      </w:r>
      <w:r>
        <w:t xml:space="preserve">, 2015 ONCA 323; </w:t>
      </w:r>
      <w:r>
        <w:rPr>
          <w:i/>
        </w:rPr>
        <w:t>R. c. H. (D.)</w:t>
      </w:r>
      <w:r>
        <w:t xml:space="preserve">, 2016 ONCA 569, 338 C.C.C. (3d) 251; </w:t>
      </w:r>
      <w:r>
        <w:rPr>
          <w:i/>
        </w:rPr>
        <w:t>R. c. A.N.</w:t>
      </w:r>
      <w:r>
        <w:t xml:space="preserve">, 2017 ONCA 647; </w:t>
      </w:r>
      <w:r>
        <w:rPr>
          <w:i/>
        </w:rPr>
        <w:t>R. c. Slatter</w:t>
      </w:r>
      <w:r>
        <w:t xml:space="preserve">, 2019 ONCA 807, 382 C.C.C. (3d) 245; </w:t>
      </w:r>
      <w:r>
        <w:rPr>
          <w:i/>
        </w:rPr>
        <w:t>C.L.</w:t>
      </w:r>
      <w:r>
        <w:t xml:space="preserve">; </w:t>
      </w:r>
      <w:r>
        <w:rPr>
          <w:i/>
        </w:rPr>
        <w:t>R. c. T.A.</w:t>
      </w:r>
      <w:r>
        <w:t xml:space="preserve">, 2020 ONCA </w:t>
      </w:r>
      <w:r w:rsidRPr="00107A12">
        <w:t xml:space="preserve">783; </w:t>
      </w:r>
      <w:r w:rsidRPr="00107A12">
        <w:rPr>
          <w:i/>
        </w:rPr>
        <w:t>R. c. S.B.</w:t>
      </w:r>
      <w:r w:rsidRPr="00107A12">
        <w:t xml:space="preserve">, 2023 ONCA 784, 432 C.C.C. (3d) 169 (avec </w:t>
      </w:r>
      <w:proofErr w:type="spellStart"/>
      <w:r w:rsidRPr="00107A12">
        <w:t>l’accord</w:t>
      </w:r>
      <w:proofErr w:type="spellEnd"/>
      <w:r w:rsidRPr="00107A12">
        <w:t xml:space="preserve"> de la juge van Rensburg); </w:t>
      </w:r>
      <w:r w:rsidRPr="00107A12">
        <w:rPr>
          <w:i/>
        </w:rPr>
        <w:t>R. c. R.I.</w:t>
      </w:r>
      <w:r w:rsidRPr="00107A12">
        <w:t>, 2024</w:t>
      </w:r>
      <w:r>
        <w:t xml:space="preserve"> ONCA 185,</w:t>
      </w:r>
      <w:r w:rsidRPr="00B94E0C">
        <w:t xml:space="preserve"> </w:t>
      </w:r>
      <w:r w:rsidRPr="009A04F4">
        <w:rPr>
          <w:rFonts w:ascii="TimesLTStd-Roman" w:hAnsi="TimesLTStd-Roman" w:cs="TimesLTStd-Roman"/>
          <w:color w:val="1F1F1F"/>
        </w:rPr>
        <w:t>97 C.R. (7th) 169</w:t>
      </w:r>
      <w:r>
        <w:t xml:space="preserve">; </w:t>
      </w:r>
      <w:r>
        <w:rPr>
          <w:i/>
        </w:rPr>
        <w:t>R. c. S.A.</w:t>
      </w:r>
      <w:r>
        <w:t>, 2024 NUCA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42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4EAD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446A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A0F6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7455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868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BAFC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C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86C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EF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283EE8"/>
    <w:multiLevelType w:val="multilevel"/>
    <w:tmpl w:val="DEDE98EE"/>
    <w:lvl w:ilvl="0">
      <w:start w:val="1"/>
      <w:numFmt w:val="decimal"/>
      <w:pStyle w:val="ParaNoNdepar-AltN"/>
      <w:lvlText w:val="[%1]"/>
      <w:lvlJc w:val="left"/>
      <w:pPr>
        <w:tabs>
          <w:tab w:val="num" w:pos="1152"/>
        </w:tabs>
        <w:ind w:left="0" w:firstLine="0"/>
      </w:pPr>
      <w:rPr>
        <w:rFonts w:ascii="Times New Roman" w:hAnsi="Times New Roman" w:hint="default"/>
        <w:strike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4C"/>
    <w:rsid w:val="00000ED4"/>
    <w:rsid w:val="00023FC7"/>
    <w:rsid w:val="00025198"/>
    <w:rsid w:val="000578A3"/>
    <w:rsid w:val="00063177"/>
    <w:rsid w:val="000648CC"/>
    <w:rsid w:val="000C59B8"/>
    <w:rsid w:val="000C6AF0"/>
    <w:rsid w:val="000D0A77"/>
    <w:rsid w:val="000D3835"/>
    <w:rsid w:val="000F7993"/>
    <w:rsid w:val="00104F33"/>
    <w:rsid w:val="00111DE2"/>
    <w:rsid w:val="00116B38"/>
    <w:rsid w:val="00135406"/>
    <w:rsid w:val="00135972"/>
    <w:rsid w:val="001426A9"/>
    <w:rsid w:val="00154D7C"/>
    <w:rsid w:val="001570B0"/>
    <w:rsid w:val="0015752C"/>
    <w:rsid w:val="00157737"/>
    <w:rsid w:val="00165277"/>
    <w:rsid w:val="00170592"/>
    <w:rsid w:val="001720F7"/>
    <w:rsid w:val="001823CB"/>
    <w:rsid w:val="001838D1"/>
    <w:rsid w:val="00195D83"/>
    <w:rsid w:val="001A00C1"/>
    <w:rsid w:val="001B33E0"/>
    <w:rsid w:val="001B4573"/>
    <w:rsid w:val="001C779F"/>
    <w:rsid w:val="001D2AC1"/>
    <w:rsid w:val="001D4A6A"/>
    <w:rsid w:val="001D4E88"/>
    <w:rsid w:val="00220FC2"/>
    <w:rsid w:val="002222F4"/>
    <w:rsid w:val="00224FC0"/>
    <w:rsid w:val="00225EA4"/>
    <w:rsid w:val="00226EAF"/>
    <w:rsid w:val="00231F3A"/>
    <w:rsid w:val="0023370F"/>
    <w:rsid w:val="002406EE"/>
    <w:rsid w:val="00243498"/>
    <w:rsid w:val="00243EC8"/>
    <w:rsid w:val="002441BC"/>
    <w:rsid w:val="0024711E"/>
    <w:rsid w:val="00270D93"/>
    <w:rsid w:val="00273B05"/>
    <w:rsid w:val="002745CC"/>
    <w:rsid w:val="002A2851"/>
    <w:rsid w:val="002B2A02"/>
    <w:rsid w:val="002B6FBE"/>
    <w:rsid w:val="002B7924"/>
    <w:rsid w:val="002C10A6"/>
    <w:rsid w:val="002D28C3"/>
    <w:rsid w:val="002D39A4"/>
    <w:rsid w:val="002E6705"/>
    <w:rsid w:val="0030329A"/>
    <w:rsid w:val="0031086F"/>
    <w:rsid w:val="0031414C"/>
    <w:rsid w:val="00314E01"/>
    <w:rsid w:val="0032089D"/>
    <w:rsid w:val="003310DE"/>
    <w:rsid w:val="003323B0"/>
    <w:rsid w:val="00340A49"/>
    <w:rsid w:val="0035169A"/>
    <w:rsid w:val="0035259D"/>
    <w:rsid w:val="00364B18"/>
    <w:rsid w:val="003A125D"/>
    <w:rsid w:val="003A4C70"/>
    <w:rsid w:val="003B215F"/>
    <w:rsid w:val="003B3848"/>
    <w:rsid w:val="003C4112"/>
    <w:rsid w:val="003C799C"/>
    <w:rsid w:val="003D0399"/>
    <w:rsid w:val="003E1C71"/>
    <w:rsid w:val="003F327B"/>
    <w:rsid w:val="00406166"/>
    <w:rsid w:val="0040704B"/>
    <w:rsid w:val="00410A55"/>
    <w:rsid w:val="00411300"/>
    <w:rsid w:val="00413F17"/>
    <w:rsid w:val="00415417"/>
    <w:rsid w:val="00426659"/>
    <w:rsid w:val="00450352"/>
    <w:rsid w:val="00454BDB"/>
    <w:rsid w:val="00465132"/>
    <w:rsid w:val="004770BB"/>
    <w:rsid w:val="00480C90"/>
    <w:rsid w:val="0048396F"/>
    <w:rsid w:val="0049038A"/>
    <w:rsid w:val="00493C18"/>
    <w:rsid w:val="004A600C"/>
    <w:rsid w:val="004A6118"/>
    <w:rsid w:val="004B34F6"/>
    <w:rsid w:val="004C478D"/>
    <w:rsid w:val="004D7D95"/>
    <w:rsid w:val="004E2C26"/>
    <w:rsid w:val="004E63E4"/>
    <w:rsid w:val="005125A8"/>
    <w:rsid w:val="00517549"/>
    <w:rsid w:val="00520ABC"/>
    <w:rsid w:val="00521AE8"/>
    <w:rsid w:val="00527180"/>
    <w:rsid w:val="00555291"/>
    <w:rsid w:val="00566AD1"/>
    <w:rsid w:val="00583EDE"/>
    <w:rsid w:val="005A118F"/>
    <w:rsid w:val="005A6079"/>
    <w:rsid w:val="005E4698"/>
    <w:rsid w:val="00603924"/>
    <w:rsid w:val="00610539"/>
    <w:rsid w:val="00613969"/>
    <w:rsid w:val="00625C35"/>
    <w:rsid w:val="00647E49"/>
    <w:rsid w:val="00656313"/>
    <w:rsid w:val="006565F4"/>
    <w:rsid w:val="006735AD"/>
    <w:rsid w:val="00684EEA"/>
    <w:rsid w:val="0069689B"/>
    <w:rsid w:val="006B5FF5"/>
    <w:rsid w:val="006F30AF"/>
    <w:rsid w:val="00701759"/>
    <w:rsid w:val="00705C15"/>
    <w:rsid w:val="007110F6"/>
    <w:rsid w:val="007208D1"/>
    <w:rsid w:val="00744518"/>
    <w:rsid w:val="00747288"/>
    <w:rsid w:val="00747DD3"/>
    <w:rsid w:val="007549C8"/>
    <w:rsid w:val="00766D14"/>
    <w:rsid w:val="00767A0F"/>
    <w:rsid w:val="00791272"/>
    <w:rsid w:val="007A05F6"/>
    <w:rsid w:val="007A2931"/>
    <w:rsid w:val="007B6F4A"/>
    <w:rsid w:val="007E1C47"/>
    <w:rsid w:val="007E337A"/>
    <w:rsid w:val="007E5C70"/>
    <w:rsid w:val="007F2FF5"/>
    <w:rsid w:val="007F3F08"/>
    <w:rsid w:val="00804CC6"/>
    <w:rsid w:val="00817190"/>
    <w:rsid w:val="008260E2"/>
    <w:rsid w:val="008322BD"/>
    <w:rsid w:val="00834F73"/>
    <w:rsid w:val="00864C8A"/>
    <w:rsid w:val="00864CF8"/>
    <w:rsid w:val="00874914"/>
    <w:rsid w:val="00891422"/>
    <w:rsid w:val="00892E1A"/>
    <w:rsid w:val="008B660A"/>
    <w:rsid w:val="008C01DA"/>
    <w:rsid w:val="008F2674"/>
    <w:rsid w:val="008F78E9"/>
    <w:rsid w:val="008F7D0B"/>
    <w:rsid w:val="009179F9"/>
    <w:rsid w:val="00917C7A"/>
    <w:rsid w:val="00933E5E"/>
    <w:rsid w:val="00935218"/>
    <w:rsid w:val="00937C52"/>
    <w:rsid w:val="009403F3"/>
    <w:rsid w:val="009555B7"/>
    <w:rsid w:val="009567AA"/>
    <w:rsid w:val="009602C9"/>
    <w:rsid w:val="00967374"/>
    <w:rsid w:val="009A343A"/>
    <w:rsid w:val="009A720D"/>
    <w:rsid w:val="009B2F23"/>
    <w:rsid w:val="009B57B3"/>
    <w:rsid w:val="009D2920"/>
    <w:rsid w:val="009D5AEB"/>
    <w:rsid w:val="009F0E33"/>
    <w:rsid w:val="00A149DF"/>
    <w:rsid w:val="00A1755C"/>
    <w:rsid w:val="00A21B90"/>
    <w:rsid w:val="00A22AAC"/>
    <w:rsid w:val="00A27C69"/>
    <w:rsid w:val="00A41805"/>
    <w:rsid w:val="00A51882"/>
    <w:rsid w:val="00A52AFB"/>
    <w:rsid w:val="00A548CB"/>
    <w:rsid w:val="00A5521C"/>
    <w:rsid w:val="00A643E7"/>
    <w:rsid w:val="00A73C38"/>
    <w:rsid w:val="00A921A7"/>
    <w:rsid w:val="00AB670D"/>
    <w:rsid w:val="00AE0196"/>
    <w:rsid w:val="00AF03C5"/>
    <w:rsid w:val="00B000D8"/>
    <w:rsid w:val="00B00F75"/>
    <w:rsid w:val="00B145B6"/>
    <w:rsid w:val="00B279EB"/>
    <w:rsid w:val="00B50C81"/>
    <w:rsid w:val="00B557F8"/>
    <w:rsid w:val="00B624C5"/>
    <w:rsid w:val="00B815FC"/>
    <w:rsid w:val="00B93FBC"/>
    <w:rsid w:val="00BA7DA0"/>
    <w:rsid w:val="00BB2EE4"/>
    <w:rsid w:val="00BB4C92"/>
    <w:rsid w:val="00BC0EEA"/>
    <w:rsid w:val="00BC2108"/>
    <w:rsid w:val="00BD0E9E"/>
    <w:rsid w:val="00BD1BEC"/>
    <w:rsid w:val="00BD32FF"/>
    <w:rsid w:val="00BF6FE9"/>
    <w:rsid w:val="00C02092"/>
    <w:rsid w:val="00C24D91"/>
    <w:rsid w:val="00C26DB2"/>
    <w:rsid w:val="00C53F14"/>
    <w:rsid w:val="00C600CF"/>
    <w:rsid w:val="00C6084F"/>
    <w:rsid w:val="00C62A66"/>
    <w:rsid w:val="00C66359"/>
    <w:rsid w:val="00C71458"/>
    <w:rsid w:val="00C77613"/>
    <w:rsid w:val="00C828E7"/>
    <w:rsid w:val="00C86719"/>
    <w:rsid w:val="00C921DD"/>
    <w:rsid w:val="00CA6391"/>
    <w:rsid w:val="00CE036E"/>
    <w:rsid w:val="00CE3171"/>
    <w:rsid w:val="00CF1601"/>
    <w:rsid w:val="00D0172F"/>
    <w:rsid w:val="00D01E33"/>
    <w:rsid w:val="00D068A7"/>
    <w:rsid w:val="00D17476"/>
    <w:rsid w:val="00D17B0E"/>
    <w:rsid w:val="00D32086"/>
    <w:rsid w:val="00D37A3F"/>
    <w:rsid w:val="00D4431D"/>
    <w:rsid w:val="00D4667A"/>
    <w:rsid w:val="00D51ACA"/>
    <w:rsid w:val="00D63A1C"/>
    <w:rsid w:val="00D7516F"/>
    <w:rsid w:val="00D95F8E"/>
    <w:rsid w:val="00DA0590"/>
    <w:rsid w:val="00DC1739"/>
    <w:rsid w:val="00DC1788"/>
    <w:rsid w:val="00DE319C"/>
    <w:rsid w:val="00DF0CA8"/>
    <w:rsid w:val="00DF2B48"/>
    <w:rsid w:val="00DF49A7"/>
    <w:rsid w:val="00E07EE2"/>
    <w:rsid w:val="00E07FD1"/>
    <w:rsid w:val="00E24573"/>
    <w:rsid w:val="00E25E1E"/>
    <w:rsid w:val="00E27EE7"/>
    <w:rsid w:val="00E35404"/>
    <w:rsid w:val="00E45109"/>
    <w:rsid w:val="00E47B7A"/>
    <w:rsid w:val="00E50D38"/>
    <w:rsid w:val="00E56A44"/>
    <w:rsid w:val="00E60269"/>
    <w:rsid w:val="00E97830"/>
    <w:rsid w:val="00EE0830"/>
    <w:rsid w:val="00EE6CB8"/>
    <w:rsid w:val="00EF0683"/>
    <w:rsid w:val="00F0070C"/>
    <w:rsid w:val="00F00EB7"/>
    <w:rsid w:val="00F34826"/>
    <w:rsid w:val="00F36AB6"/>
    <w:rsid w:val="00F37A09"/>
    <w:rsid w:val="00F409CE"/>
    <w:rsid w:val="00F4379D"/>
    <w:rsid w:val="00F50D2D"/>
    <w:rsid w:val="00F56C8B"/>
    <w:rsid w:val="00F62639"/>
    <w:rsid w:val="00F66810"/>
    <w:rsid w:val="00F84DF4"/>
    <w:rsid w:val="00F85C97"/>
    <w:rsid w:val="00FB37D2"/>
    <w:rsid w:val="00FC4EFB"/>
    <w:rsid w:val="00FC682E"/>
    <w:rsid w:val="00FD068D"/>
    <w:rsid w:val="00FD4F28"/>
    <w:rsid w:val="00FE6784"/>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70F"/>
    <w:rPr>
      <w:sz w:val="24"/>
    </w:rPr>
  </w:style>
  <w:style w:type="paragraph" w:styleId="Heading1">
    <w:name w:val="heading 1"/>
    <w:basedOn w:val="Normal"/>
    <w:next w:val="Normal"/>
    <w:link w:val="Heading1Ch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DefaultParagraphFont"/>
    <w:link w:val="SCCNormalDoubleSpacing"/>
    <w:rsid w:val="00104F33"/>
    <w:rPr>
      <w:sz w:val="24"/>
    </w:rPr>
  </w:style>
  <w:style w:type="character" w:styleId="Strong">
    <w:name w:val="Strong"/>
    <w:basedOn w:val="DefaultParagraphFont"/>
    <w:uiPriority w:val="22"/>
    <w:qFormat/>
    <w:rsid w:val="00C53F14"/>
    <w:rPr>
      <w:b/>
      <w:bCs/>
    </w:rPr>
  </w:style>
  <w:style w:type="paragraph" w:styleId="Quote">
    <w:name w:val="Quote"/>
    <w:basedOn w:val="Normal"/>
    <w:next w:val="Normal"/>
    <w:link w:val="QuoteChar"/>
    <w:uiPriority w:val="29"/>
    <w:qFormat/>
    <w:rsid w:val="00A548CB"/>
    <w:rPr>
      <w:i/>
      <w:iCs/>
      <w:color w:val="000000" w:themeColor="text1"/>
    </w:rPr>
  </w:style>
  <w:style w:type="character" w:customStyle="1" w:styleId="QuoteChar">
    <w:name w:val="Quote Char"/>
    <w:basedOn w:val="DefaultParagraphFont"/>
    <w:link w:val="Quote"/>
    <w:uiPriority w:val="29"/>
    <w:rsid w:val="00A548CB"/>
    <w:rPr>
      <w:i/>
      <w:iCs/>
      <w:color w:val="000000" w:themeColor="text1"/>
      <w:sz w:val="24"/>
      <w:lang w:val="en-US"/>
    </w:rPr>
  </w:style>
  <w:style w:type="character" w:styleId="PlaceholderText">
    <w:name w:val="Placeholder Text"/>
    <w:basedOn w:val="DefaultParagraphFont"/>
    <w:uiPriority w:val="99"/>
    <w:semiHidden/>
    <w:rsid w:val="00CE3171"/>
    <w:rPr>
      <w:color w:val="808080"/>
    </w:rPr>
  </w:style>
  <w:style w:type="paragraph" w:styleId="BalloonText">
    <w:name w:val="Balloon Text"/>
    <w:basedOn w:val="Normal"/>
    <w:link w:val="BalloonTextChar"/>
    <w:uiPriority w:val="99"/>
    <w:semiHidden/>
    <w:unhideWhenUsed/>
    <w:rsid w:val="00CE3171"/>
    <w:rPr>
      <w:rFonts w:ascii="Tahoma" w:hAnsi="Tahoma" w:cs="Tahoma"/>
      <w:sz w:val="16"/>
      <w:szCs w:val="16"/>
    </w:rPr>
  </w:style>
  <w:style w:type="character" w:customStyle="1" w:styleId="BalloonTextChar">
    <w:name w:val="Balloon Text Char"/>
    <w:basedOn w:val="DefaultParagraphFont"/>
    <w:link w:val="BalloonText"/>
    <w:uiPriority w:val="99"/>
    <w:semiHidden/>
    <w:rsid w:val="00CE3171"/>
    <w:rPr>
      <w:rFonts w:ascii="Tahoma" w:hAnsi="Tahoma" w:cs="Tahoma"/>
      <w:sz w:val="16"/>
      <w:szCs w:val="16"/>
      <w:lang w:val="en-US"/>
    </w:rPr>
  </w:style>
  <w:style w:type="paragraph" w:styleId="Header">
    <w:name w:val="header"/>
    <w:basedOn w:val="Normal"/>
    <w:link w:val="HeaderChar"/>
    <w:uiPriority w:val="99"/>
    <w:unhideWhenUsed/>
    <w:rsid w:val="000C59B8"/>
    <w:pPr>
      <w:tabs>
        <w:tab w:val="center" w:pos="4680"/>
        <w:tab w:val="right" w:pos="9360"/>
      </w:tabs>
    </w:pPr>
  </w:style>
  <w:style w:type="character" w:customStyle="1" w:styleId="HeaderChar">
    <w:name w:val="Header Char"/>
    <w:basedOn w:val="DefaultParagraphFont"/>
    <w:link w:val="Header"/>
    <w:uiPriority w:val="99"/>
    <w:rsid w:val="000C59B8"/>
    <w:rPr>
      <w:sz w:val="24"/>
      <w:lang w:val="en-US"/>
    </w:rPr>
  </w:style>
  <w:style w:type="paragraph" w:styleId="Footer">
    <w:name w:val="footer"/>
    <w:basedOn w:val="Normal"/>
    <w:link w:val="FooterChar"/>
    <w:uiPriority w:val="99"/>
    <w:unhideWhenUsed/>
    <w:rsid w:val="000C59B8"/>
    <w:pPr>
      <w:tabs>
        <w:tab w:val="center" w:pos="4680"/>
        <w:tab w:val="right" w:pos="9360"/>
      </w:tabs>
    </w:pPr>
  </w:style>
  <w:style w:type="character" w:customStyle="1" w:styleId="FooterChar">
    <w:name w:val="Footer Char"/>
    <w:basedOn w:val="DefaultParagraphFont"/>
    <w:link w:val="Footer"/>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DefaultParagraphFon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DefaultParagraphFon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DefaultParagraphFon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DefaultParagraphFont"/>
    <w:link w:val="SCCLsocOtherPartySeparator"/>
    <w:rsid w:val="003323B0"/>
    <w:rPr>
      <w:sz w:val="24"/>
    </w:rPr>
  </w:style>
  <w:style w:type="character" w:customStyle="1" w:styleId="Heading1Char">
    <w:name w:val="Heading 1 Char"/>
    <w:basedOn w:val="DefaultParagraphFont"/>
    <w:link w:val="Heading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DefaultParagraphFon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DefaultParagraphFon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DefaultParagraphFon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DefaultParagraphFon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DefaultParagraphFon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DefaultParagraphFon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DefaultParagraphFon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nk">
    <w:name w:val="Hyperlink"/>
    <w:basedOn w:val="DefaultParagraphFont"/>
    <w:uiPriority w:val="99"/>
    <w:unhideWhenUsed/>
    <w:rsid w:val="002441BC"/>
    <w:rPr>
      <w:color w:val="660000"/>
      <w:u w:val="none"/>
    </w:rPr>
  </w:style>
  <w:style w:type="paragraph" w:customStyle="1" w:styleId="Citation-AltC">
    <w:name w:val="Citation - Alt C"/>
    <w:uiPriority w:val="2"/>
    <w:qFormat/>
    <w:rsid w:val="007A2931"/>
    <w:pPr>
      <w:spacing w:after="720"/>
      <w:ind w:left="1166"/>
      <w:contextualSpacing/>
      <w:jc w:val="both"/>
    </w:pPr>
    <w:rPr>
      <w:sz w:val="24"/>
      <w:szCs w:val="24"/>
    </w:rPr>
  </w:style>
  <w:style w:type="paragraph" w:customStyle="1" w:styleId="JudgeJuge">
    <w:name w:val="Judge / Juge"/>
    <w:uiPriority w:val="3"/>
    <w:rsid w:val="007A2931"/>
    <w:pPr>
      <w:tabs>
        <w:tab w:val="left" w:pos="1166"/>
      </w:tabs>
      <w:spacing w:after="480" w:line="480" w:lineRule="auto"/>
    </w:pPr>
    <w:rPr>
      <w:smallCaps/>
      <w:sz w:val="24"/>
      <w:szCs w:val="24"/>
    </w:rPr>
  </w:style>
  <w:style w:type="paragraph" w:customStyle="1" w:styleId="ParaNoNdepar-AltN">
    <w:name w:val="Para. No. / Nº de par. - Alt N"/>
    <w:qFormat/>
    <w:rsid w:val="007A2931"/>
    <w:pPr>
      <w:numPr>
        <w:numId w:val="1"/>
      </w:numPr>
      <w:tabs>
        <w:tab w:val="clear" w:pos="1152"/>
        <w:tab w:val="left" w:pos="1166"/>
      </w:tabs>
      <w:spacing w:before="480" w:after="480" w:line="480" w:lineRule="auto"/>
      <w:jc w:val="both"/>
    </w:pPr>
    <w:rPr>
      <w:rFonts w:eastAsiaTheme="minorEastAsia" w:cstheme="minorBidi"/>
      <w:sz w:val="24"/>
      <w:szCs w:val="22"/>
      <w:lang w:eastAsia="en-US"/>
    </w:rPr>
  </w:style>
  <w:style w:type="paragraph" w:styleId="CommentText">
    <w:name w:val="annotation text"/>
    <w:basedOn w:val="Normal"/>
    <w:link w:val="CommentTextChar"/>
    <w:uiPriority w:val="99"/>
    <w:unhideWhenUsed/>
    <w:rsid w:val="007A2931"/>
    <w:rPr>
      <w:sz w:val="20"/>
    </w:rPr>
  </w:style>
  <w:style w:type="character" w:customStyle="1" w:styleId="CommentTextChar">
    <w:name w:val="Comment Text Char"/>
    <w:basedOn w:val="DefaultParagraphFont"/>
    <w:link w:val="CommentText"/>
    <w:uiPriority w:val="99"/>
    <w:rsid w:val="007A2931"/>
  </w:style>
  <w:style w:type="table" w:styleId="TableGrid">
    <w:name w:val="Table Grid"/>
    <w:basedOn w:val="TableNormal"/>
    <w:uiPriority w:val="59"/>
    <w:rsid w:val="007A2931"/>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lii.ca/t/kfb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2363</Words>
  <Characters>11849</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2026-06-04T19:01:00Z</dcterms:created>
  <dcterms:modified xsi:type="dcterms:W3CDTF">2026-06-04T19:04:00Z</dcterms:modified>
</cp:coreProperties>
</file>