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EA95" w14:textId="77777777" w:rsidR="0001321C" w:rsidRPr="004E1403" w:rsidRDefault="00000000">
      <w:pPr>
        <w:pBdr>
          <w:left w:val="single" w:sz="18" w:space="4" w:color="2E5FA3"/>
        </w:pBdr>
        <w:spacing w:before="200" w:after="120"/>
        <w:ind w:left="360"/>
        <w:rPr>
          <w:rFonts w:ascii="Times New Roman" w:hAnsi="Times New Roman" w:cs="Times New Roman"/>
          <w:sz w:val="22"/>
          <w:szCs w:val="22"/>
          <w:lang w:val="fr-FR"/>
        </w:rPr>
      </w:pPr>
      <w:r w:rsidRPr="004E1403">
        <w:rPr>
          <w:rFonts w:ascii="Times New Roman" w:hAnsi="Times New Roman" w:cs="Times New Roman"/>
          <w:b/>
          <w:bCs/>
          <w:color w:val="2E5FA3"/>
          <w:sz w:val="22"/>
          <w:szCs w:val="22"/>
          <w:lang w:val="fr-FR"/>
        </w:rPr>
        <w:t>Note de l’auteur</w:t>
      </w:r>
    </w:p>
    <w:p w14:paraId="32EFFAC5" w14:textId="530171CB" w:rsidR="0001321C" w:rsidRPr="00BE0F13" w:rsidRDefault="00000000">
      <w:pPr>
        <w:spacing w:after="140"/>
        <w:ind w:left="360"/>
        <w:rPr>
          <w:rFonts w:ascii="Times New Roman" w:hAnsi="Times New Roman" w:cs="Times New Roman"/>
          <w:i/>
          <w:iCs/>
          <w:sz w:val="18"/>
          <w:szCs w:val="18"/>
          <w:lang w:val="fr-FR"/>
        </w:rPr>
      </w:pPr>
      <w:r w:rsidRPr="00BE0F13">
        <w:rPr>
          <w:rFonts w:ascii="Times New Roman" w:hAnsi="Times New Roman" w:cs="Times New Roman"/>
          <w:i/>
          <w:iCs/>
          <w:color w:val="333333"/>
          <w:sz w:val="18"/>
          <w:szCs w:val="18"/>
          <w:lang w:val="fr-FR"/>
        </w:rPr>
        <w:t>Je suis policier et gestionnaire d’état-major retraité</w:t>
      </w:r>
      <w:r w:rsidR="007C4543" w:rsidRPr="00BE0F13">
        <w:rPr>
          <w:rFonts w:ascii="Times New Roman" w:hAnsi="Times New Roman" w:cs="Times New Roman"/>
          <w:i/>
          <w:iCs/>
          <w:color w:val="333333"/>
          <w:sz w:val="18"/>
          <w:szCs w:val="18"/>
          <w:lang w:val="fr-FR"/>
        </w:rPr>
        <w:t xml:space="preserve"> de la </w:t>
      </w:r>
      <w:proofErr w:type="spellStart"/>
      <w:r w:rsidR="007C4543" w:rsidRPr="00BE0F13">
        <w:rPr>
          <w:rFonts w:ascii="Times New Roman" w:hAnsi="Times New Roman" w:cs="Times New Roman"/>
          <w:i/>
          <w:iCs/>
          <w:color w:val="333333"/>
          <w:sz w:val="18"/>
          <w:szCs w:val="18"/>
          <w:lang w:val="fr-FR"/>
        </w:rPr>
        <w:t>Grc</w:t>
      </w:r>
      <w:proofErr w:type="spellEnd"/>
      <w:r w:rsidRPr="00BE0F13">
        <w:rPr>
          <w:rFonts w:ascii="Times New Roman" w:hAnsi="Times New Roman" w:cs="Times New Roman"/>
          <w:i/>
          <w:iCs/>
          <w:color w:val="333333"/>
          <w:sz w:val="18"/>
          <w:szCs w:val="18"/>
          <w:lang w:val="fr-FR"/>
        </w:rPr>
        <w:t xml:space="preserve">. J’ai passé ma carrière aux côtés des femmes et des hommes qui </w:t>
      </w:r>
      <w:r w:rsidR="004E1403" w:rsidRPr="00BE0F13">
        <w:rPr>
          <w:rFonts w:ascii="Times New Roman" w:hAnsi="Times New Roman" w:cs="Times New Roman"/>
          <w:i/>
          <w:iCs/>
          <w:color w:val="333333"/>
          <w:sz w:val="18"/>
          <w:szCs w:val="18"/>
          <w:lang w:val="fr-FR"/>
        </w:rPr>
        <w:t>effectuent</w:t>
      </w:r>
      <w:r w:rsidRPr="00BE0F13">
        <w:rPr>
          <w:rFonts w:ascii="Times New Roman" w:hAnsi="Times New Roman" w:cs="Times New Roman"/>
          <w:i/>
          <w:iCs/>
          <w:color w:val="333333"/>
          <w:sz w:val="18"/>
          <w:szCs w:val="18"/>
          <w:lang w:val="fr-FR"/>
        </w:rPr>
        <w:t xml:space="preserve"> ce travail difficile en première ligne, quotidiennement exposés à la violence verbale, aux provocations et aux abus en tout genre. Je connais le prix humain de ce métier. Je sais ce que coûte, dans le corps et dans l’âme, d’absorber jour après jour l’hostilité de ceux qu’on est pourtant là pour protéger.</w:t>
      </w:r>
    </w:p>
    <w:p w14:paraId="3B742A96" w14:textId="77777777" w:rsidR="0001321C" w:rsidRPr="00BE0F13" w:rsidRDefault="00000000">
      <w:pPr>
        <w:spacing w:after="140"/>
        <w:ind w:left="360"/>
        <w:rPr>
          <w:rFonts w:ascii="Times New Roman" w:hAnsi="Times New Roman" w:cs="Times New Roman"/>
          <w:i/>
          <w:iCs/>
          <w:sz w:val="18"/>
          <w:szCs w:val="18"/>
          <w:lang w:val="fr-FR"/>
        </w:rPr>
      </w:pPr>
      <w:r w:rsidRPr="00BE0F13">
        <w:rPr>
          <w:rFonts w:ascii="Times New Roman" w:hAnsi="Times New Roman" w:cs="Times New Roman"/>
          <w:i/>
          <w:iCs/>
          <w:color w:val="333333"/>
          <w:sz w:val="18"/>
          <w:szCs w:val="18"/>
          <w:lang w:val="fr-FR"/>
        </w:rPr>
        <w:t>Je suis aussi une personne racisée. Antiraciste convaincu et défenseur des droits de la personne, j’ai une tolérance zéro pour les propos et les gestes qui portent atteinte à la dignité humaine — quelle qu’en soit la source, quelle qu’en soit la cible.</w:t>
      </w:r>
    </w:p>
    <w:p w14:paraId="7292A038" w14:textId="407CCFC7" w:rsidR="0001321C" w:rsidRPr="00BE0F13" w:rsidRDefault="00000000">
      <w:pPr>
        <w:spacing w:after="140"/>
        <w:ind w:left="360"/>
        <w:rPr>
          <w:rFonts w:ascii="Times New Roman" w:hAnsi="Times New Roman" w:cs="Times New Roman"/>
          <w:i/>
          <w:iCs/>
          <w:sz w:val="18"/>
          <w:szCs w:val="18"/>
          <w:lang w:val="fr-FR"/>
        </w:rPr>
      </w:pPr>
      <w:r w:rsidRPr="00BE0F13">
        <w:rPr>
          <w:rFonts w:ascii="Times New Roman" w:hAnsi="Times New Roman" w:cs="Times New Roman"/>
          <w:i/>
          <w:iCs/>
          <w:color w:val="333333"/>
          <w:sz w:val="18"/>
          <w:szCs w:val="18"/>
          <w:lang w:val="fr-FR"/>
        </w:rPr>
        <w:t xml:space="preserve">Ce n’est pas une contradiction. C’est précisément ce double regard — celui qui a vécu de l’intérieur les réalités du travail policier, et celui qui a vécu de l’intérieur ce que signifie être regardé autrement, traité autrement, jugé autrement — qui me permet de voir ce que tant d’autres choisissent de ne pas </w:t>
      </w:r>
      <w:proofErr w:type="gramStart"/>
      <w:r w:rsidRPr="00BE0F13">
        <w:rPr>
          <w:rFonts w:ascii="Times New Roman" w:hAnsi="Times New Roman" w:cs="Times New Roman"/>
          <w:i/>
          <w:iCs/>
          <w:color w:val="333333"/>
          <w:sz w:val="18"/>
          <w:szCs w:val="18"/>
          <w:lang w:val="fr-FR"/>
        </w:rPr>
        <w:t>voir.</w:t>
      </w:r>
      <w:r w:rsidR="00FF7D6B" w:rsidRPr="00BE0F13">
        <w:rPr>
          <w:rFonts w:ascii="Times New Roman" w:hAnsi="Times New Roman" w:cs="Times New Roman"/>
          <w:i/>
          <w:iCs/>
          <w:color w:val="333333"/>
          <w:sz w:val="18"/>
          <w:szCs w:val="18"/>
          <w:lang w:val="fr-FR"/>
        </w:rPr>
        <w:t>-</w:t>
      </w:r>
      <w:proofErr w:type="gramEnd"/>
      <w:r w:rsidR="00FF7D6B" w:rsidRPr="00BE0F13">
        <w:rPr>
          <w:rFonts w:ascii="Times New Roman" w:hAnsi="Times New Roman" w:cs="Times New Roman"/>
          <w:i/>
          <w:iCs/>
          <w:color w:val="333333"/>
          <w:sz w:val="18"/>
          <w:szCs w:val="18"/>
          <w:lang w:val="fr-FR"/>
        </w:rPr>
        <w:t xml:space="preserve"> </w:t>
      </w:r>
      <w:r w:rsidR="00FF7D6B" w:rsidRPr="00BE0F13">
        <w:rPr>
          <w:rFonts w:ascii="Times New Roman" w:hAnsi="Times New Roman" w:cs="Times New Roman"/>
          <w:b/>
          <w:bCs/>
          <w:i/>
          <w:iCs/>
          <w:color w:val="333333"/>
          <w:sz w:val="18"/>
          <w:szCs w:val="18"/>
          <w:lang w:val="fr-FR"/>
        </w:rPr>
        <w:t>Alain Babineau</w:t>
      </w:r>
    </w:p>
    <w:p w14:paraId="0BD32204" w14:textId="455BF3D3" w:rsidR="00C618C1" w:rsidRPr="00C618C1" w:rsidRDefault="00BE0F13" w:rsidP="00C618C1">
      <w:pPr>
        <w:spacing w:after="240"/>
        <w:rPr>
          <w:rFonts w:ascii="Times New Roman" w:hAnsi="Times New Roman" w:cs="Times New Roman"/>
          <w:sz w:val="22"/>
          <w:szCs w:val="22"/>
          <w:lang w:val="fr-FR"/>
        </w:rPr>
      </w:pPr>
      <w:r>
        <w:rPr>
          <w:rFonts w:ascii="Times New Roman" w:hAnsi="Times New Roman" w:cs="Times New Roman"/>
          <w:b/>
          <w:bCs/>
          <w:color w:val="333333"/>
          <w:sz w:val="22"/>
          <w:szCs w:val="22"/>
          <w:lang w:val="fr-FR"/>
        </w:rPr>
        <w:t xml:space="preserve">Soyons clair : </w:t>
      </w:r>
      <w:r w:rsidR="00000000" w:rsidRPr="004E1403">
        <w:rPr>
          <w:rFonts w:ascii="Times New Roman" w:hAnsi="Times New Roman" w:cs="Times New Roman"/>
          <w:b/>
          <w:bCs/>
          <w:color w:val="333333"/>
          <w:sz w:val="22"/>
          <w:szCs w:val="22"/>
          <w:lang w:val="fr-FR"/>
        </w:rPr>
        <w:t>Insulter un policier est inacceptable</w:t>
      </w:r>
      <w:r>
        <w:rPr>
          <w:rFonts w:ascii="Times New Roman" w:hAnsi="Times New Roman" w:cs="Times New Roman"/>
          <w:b/>
          <w:bCs/>
          <w:color w:val="333333"/>
          <w:sz w:val="22"/>
          <w:szCs w:val="22"/>
          <w:lang w:val="fr-FR"/>
        </w:rPr>
        <w:t> !</w:t>
      </w:r>
      <w:r w:rsidR="00000000" w:rsidRPr="004E1403">
        <w:rPr>
          <w:rFonts w:ascii="Times New Roman" w:hAnsi="Times New Roman" w:cs="Times New Roman"/>
          <w:b/>
          <w:bCs/>
          <w:color w:val="333333"/>
          <w:sz w:val="22"/>
          <w:szCs w:val="22"/>
          <w:lang w:val="fr-FR"/>
        </w:rPr>
        <w:t xml:space="preserve"> Tenir des propos racistes en public est inacceptable</w:t>
      </w:r>
      <w:r>
        <w:rPr>
          <w:rFonts w:ascii="Times New Roman" w:hAnsi="Times New Roman" w:cs="Times New Roman"/>
          <w:b/>
          <w:bCs/>
          <w:color w:val="333333"/>
          <w:sz w:val="22"/>
          <w:szCs w:val="22"/>
          <w:lang w:val="fr-FR"/>
        </w:rPr>
        <w:t> !</w:t>
      </w:r>
      <w:r w:rsidR="00000000" w:rsidRPr="004E1403">
        <w:rPr>
          <w:rFonts w:ascii="Times New Roman" w:hAnsi="Times New Roman" w:cs="Times New Roman"/>
          <w:b/>
          <w:bCs/>
          <w:color w:val="333333"/>
          <w:sz w:val="22"/>
          <w:szCs w:val="22"/>
          <w:lang w:val="fr-FR"/>
        </w:rPr>
        <w:t xml:space="preserve"> Les deux méritent la même indignation. Les deux méritent la même réponse.</w:t>
      </w:r>
    </w:p>
    <w:p w14:paraId="32A2F02E" w14:textId="5EE82B54" w:rsidR="0001321C" w:rsidRDefault="00000000" w:rsidP="00C618C1">
      <w:pPr>
        <w:rPr>
          <w:rFonts w:ascii="Times New Roman" w:hAnsi="Times New Roman" w:cs="Times New Roman"/>
          <w:b/>
          <w:bCs/>
          <w:i/>
          <w:iCs/>
          <w:color w:val="2E5FA3"/>
          <w:sz w:val="22"/>
          <w:szCs w:val="22"/>
          <w:lang w:val="fr-FR"/>
        </w:rPr>
      </w:pPr>
      <w:r w:rsidRPr="004E1403">
        <w:rPr>
          <w:rFonts w:ascii="Times New Roman" w:hAnsi="Times New Roman" w:cs="Times New Roman"/>
          <w:b/>
          <w:bCs/>
          <w:i/>
          <w:iCs/>
          <w:color w:val="2E5FA3"/>
          <w:sz w:val="22"/>
          <w:szCs w:val="22"/>
          <w:lang w:val="fr-FR"/>
        </w:rPr>
        <w:t xml:space="preserve">Ce que je ne peux pas accepter, c’est qu’on choisisse l’une et qu’on </w:t>
      </w:r>
      <w:proofErr w:type="spellStart"/>
      <w:r w:rsidRPr="004E1403">
        <w:rPr>
          <w:rFonts w:ascii="Times New Roman" w:hAnsi="Times New Roman" w:cs="Times New Roman"/>
          <w:b/>
          <w:bCs/>
          <w:i/>
          <w:iCs/>
          <w:color w:val="2E5FA3"/>
          <w:sz w:val="22"/>
          <w:szCs w:val="22"/>
          <w:lang w:val="fr-FR"/>
        </w:rPr>
        <w:t>rie</w:t>
      </w:r>
      <w:proofErr w:type="spellEnd"/>
      <w:r w:rsidRPr="004E1403">
        <w:rPr>
          <w:rFonts w:ascii="Times New Roman" w:hAnsi="Times New Roman" w:cs="Times New Roman"/>
          <w:b/>
          <w:bCs/>
          <w:i/>
          <w:iCs/>
          <w:color w:val="2E5FA3"/>
          <w:sz w:val="22"/>
          <w:szCs w:val="22"/>
          <w:lang w:val="fr-FR"/>
        </w:rPr>
        <w:t xml:space="preserve"> de l’autre</w:t>
      </w:r>
      <w:r w:rsidR="00BE0F13">
        <w:rPr>
          <w:rFonts w:ascii="Times New Roman" w:hAnsi="Times New Roman" w:cs="Times New Roman"/>
          <w:b/>
          <w:bCs/>
          <w:i/>
          <w:iCs/>
          <w:color w:val="2E5FA3"/>
          <w:sz w:val="22"/>
          <w:szCs w:val="22"/>
          <w:lang w:val="fr-FR"/>
        </w:rPr>
        <w:t> !</w:t>
      </w:r>
    </w:p>
    <w:p w14:paraId="32803EE7" w14:textId="77777777" w:rsidR="00C618C1" w:rsidRPr="004E1403" w:rsidRDefault="00C618C1" w:rsidP="00C618C1">
      <w:pPr>
        <w:rPr>
          <w:rFonts w:ascii="Times New Roman" w:hAnsi="Times New Roman" w:cs="Times New Roman"/>
          <w:sz w:val="22"/>
          <w:szCs w:val="22"/>
          <w:lang w:val="fr-FR"/>
        </w:rPr>
      </w:pPr>
    </w:p>
    <w:p w14:paraId="2FE4EE1A" w14:textId="77777777" w:rsidR="0001321C" w:rsidRPr="004E1403" w:rsidRDefault="00000000" w:rsidP="00FF7D6B">
      <w:pPr>
        <w:rPr>
          <w:rFonts w:ascii="Times New Roman" w:hAnsi="Times New Roman" w:cs="Times New Roman"/>
          <w:sz w:val="22"/>
          <w:szCs w:val="22"/>
          <w:lang w:val="fr-FR"/>
        </w:rPr>
      </w:pPr>
      <w:r w:rsidRPr="004E1403">
        <w:rPr>
          <w:rFonts w:ascii="Times New Roman" w:hAnsi="Times New Roman" w:cs="Times New Roman"/>
          <w:b/>
          <w:bCs/>
          <w:sz w:val="22"/>
          <w:szCs w:val="22"/>
          <w:lang w:val="fr-FR"/>
        </w:rPr>
        <w:t>Deux incidents. Deux personnes. Deux réactions collectives radicalement différentes. Pourquoi ?</w:t>
      </w:r>
    </w:p>
    <w:p w14:paraId="7C8F29AB" w14:textId="77777777" w:rsidR="0001321C" w:rsidRPr="004E1403" w:rsidRDefault="00000000">
      <w:pPr>
        <w:spacing w:after="200"/>
        <w:rPr>
          <w:rFonts w:ascii="Times New Roman" w:hAnsi="Times New Roman" w:cs="Times New Roman"/>
          <w:sz w:val="22"/>
          <w:szCs w:val="22"/>
          <w:lang w:val="fr-FR"/>
        </w:rPr>
      </w:pPr>
      <w:r w:rsidRPr="004E1403">
        <w:rPr>
          <w:rFonts w:ascii="Times New Roman" w:hAnsi="Times New Roman" w:cs="Times New Roman"/>
          <w:sz w:val="22"/>
          <w:szCs w:val="22"/>
          <w:lang w:val="fr-FR"/>
        </w:rPr>
        <w:t>Au cours des derniers mois, deux affaires ont secoué les réseaux sociaux québécois. Dans les deux cas, des individus ont tenu publiquement des propos haineux, dégradants et violents. Dans les deux cas, des groupes vulnérables ont été ciblés. Et pourtant, la réaction du public, des médias et des institutions n’a pas été la même du tout.</w:t>
      </w:r>
    </w:p>
    <w:p w14:paraId="1B3E773D" w14:textId="2DC8F30A"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b/>
          <w:bCs/>
          <w:sz w:val="22"/>
          <w:szCs w:val="22"/>
          <w:lang w:val="fr-FR"/>
        </w:rPr>
        <w:t>Premier cas. </w:t>
      </w:r>
      <w:r w:rsidRPr="004E1403">
        <w:rPr>
          <w:rFonts w:ascii="Times New Roman" w:hAnsi="Times New Roman" w:cs="Times New Roman"/>
          <w:sz w:val="22"/>
          <w:szCs w:val="22"/>
          <w:lang w:val="fr-FR"/>
        </w:rPr>
        <w:t xml:space="preserve">Une femme, Québécoise </w:t>
      </w:r>
      <w:r w:rsidR="004624E6">
        <w:rPr>
          <w:rFonts w:ascii="Times New Roman" w:hAnsi="Times New Roman" w:cs="Times New Roman"/>
          <w:sz w:val="22"/>
          <w:szCs w:val="22"/>
          <w:lang w:val="fr-FR"/>
        </w:rPr>
        <w:t>« </w:t>
      </w:r>
      <w:r w:rsidRPr="004E1403">
        <w:rPr>
          <w:rFonts w:ascii="Times New Roman" w:hAnsi="Times New Roman" w:cs="Times New Roman"/>
          <w:sz w:val="22"/>
          <w:szCs w:val="22"/>
          <w:lang w:val="fr-FR"/>
        </w:rPr>
        <w:t>de souche</w:t>
      </w:r>
      <w:r w:rsidR="004624E6">
        <w:rPr>
          <w:rFonts w:ascii="Times New Roman" w:hAnsi="Times New Roman" w:cs="Times New Roman"/>
          <w:sz w:val="22"/>
          <w:szCs w:val="22"/>
          <w:lang w:val="fr-FR"/>
        </w:rPr>
        <w:t> »</w:t>
      </w:r>
      <w:r w:rsidRPr="004E1403">
        <w:rPr>
          <w:rFonts w:ascii="Times New Roman" w:hAnsi="Times New Roman" w:cs="Times New Roman"/>
          <w:sz w:val="22"/>
          <w:szCs w:val="22"/>
          <w:lang w:val="fr-FR"/>
        </w:rPr>
        <w:t>, diffuse sur les réseaux sociaux des « </w:t>
      </w:r>
      <w:proofErr w:type="spellStart"/>
      <w:r w:rsidRPr="004E1403">
        <w:rPr>
          <w:rFonts w:ascii="Times New Roman" w:hAnsi="Times New Roman" w:cs="Times New Roman"/>
          <w:sz w:val="22"/>
          <w:szCs w:val="22"/>
          <w:lang w:val="fr-FR"/>
        </w:rPr>
        <w:t>lives</w:t>
      </w:r>
      <w:proofErr w:type="spellEnd"/>
      <w:r w:rsidRPr="004E1403">
        <w:rPr>
          <w:rFonts w:ascii="Times New Roman" w:hAnsi="Times New Roman" w:cs="Times New Roman"/>
          <w:sz w:val="22"/>
          <w:szCs w:val="22"/>
          <w:lang w:val="fr-FR"/>
        </w:rPr>
        <w:t> » dans lesquels elle profère, apparemment sous l’influence de l’alcool, des insultes racistes et dégradantes envers des personnes noires, arabes et musulmanes. Elle utilise des termes orduriers pour se distinguer des personnes racisées. Des parents s’inquiètent qu’elle travaille auprès d’enfants issus de la diversité.</w:t>
      </w:r>
    </w:p>
    <w:p w14:paraId="46712B36" w14:textId="45CCCF88"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b/>
          <w:bCs/>
          <w:sz w:val="22"/>
          <w:szCs w:val="22"/>
          <w:lang w:val="fr-FR"/>
        </w:rPr>
        <w:t>Deuxième cas. </w:t>
      </w:r>
      <w:r w:rsidRPr="004E1403">
        <w:rPr>
          <w:rFonts w:ascii="Times New Roman" w:hAnsi="Times New Roman" w:cs="Times New Roman"/>
          <w:sz w:val="22"/>
          <w:szCs w:val="22"/>
          <w:lang w:val="fr-FR"/>
        </w:rPr>
        <w:t xml:space="preserve">Un jeune homme d’origine arabe, qui se dit pleinement Québécois, est filmé lors d’une interception routière en train d’insulter violemment une </w:t>
      </w:r>
      <w:r w:rsidR="004624E6" w:rsidRPr="004E1403">
        <w:rPr>
          <w:rFonts w:ascii="Times New Roman" w:hAnsi="Times New Roman" w:cs="Times New Roman"/>
          <w:sz w:val="22"/>
          <w:szCs w:val="22"/>
          <w:lang w:val="fr-FR"/>
        </w:rPr>
        <w:t>policière</w:t>
      </w:r>
      <w:r w:rsidRPr="004E1403">
        <w:rPr>
          <w:rFonts w:ascii="Times New Roman" w:hAnsi="Times New Roman" w:cs="Times New Roman"/>
          <w:sz w:val="22"/>
          <w:szCs w:val="22"/>
          <w:lang w:val="fr-FR"/>
        </w:rPr>
        <w:t xml:space="preserve"> du SPVM avec des termes misogynes extrêmes. Une autre vidéo le montre insulter deux autres agents. Il a des antécédents judiciaires incluant une condamnation pour fraude en 2025, des amendes dans plusieurs villes pour insultes envers des policiers, et des enquêtes en cours.</w:t>
      </w:r>
    </w:p>
    <w:p w14:paraId="7E939E77" w14:textId="77777777" w:rsidR="0001321C" w:rsidRPr="004E1403" w:rsidRDefault="00000000" w:rsidP="004E1403">
      <w:pPr>
        <w:rPr>
          <w:rFonts w:ascii="Times New Roman" w:hAnsi="Times New Roman" w:cs="Times New Roman"/>
          <w:sz w:val="22"/>
          <w:szCs w:val="22"/>
          <w:lang w:val="fr-FR"/>
        </w:rPr>
      </w:pPr>
      <w:r w:rsidRPr="004E1403">
        <w:rPr>
          <w:rFonts w:ascii="Times New Roman" w:hAnsi="Times New Roman" w:cs="Times New Roman"/>
          <w:b/>
          <w:bCs/>
          <w:sz w:val="22"/>
          <w:szCs w:val="22"/>
          <w:lang w:val="fr-FR"/>
        </w:rPr>
        <w:t>Les deux comportements sont répréhensibles. Point.</w:t>
      </w:r>
    </w:p>
    <w:p w14:paraId="003331FF" w14:textId="77777777" w:rsidR="0001321C" w:rsidRPr="004E1403" w:rsidRDefault="00000000">
      <w:pPr>
        <w:pStyle w:val="Heading2"/>
        <w:rPr>
          <w:rFonts w:ascii="Times New Roman" w:hAnsi="Times New Roman" w:cs="Times New Roman"/>
          <w:sz w:val="22"/>
          <w:szCs w:val="22"/>
          <w:lang w:val="fr-FR"/>
        </w:rPr>
      </w:pPr>
      <w:r w:rsidRPr="004E1403">
        <w:rPr>
          <w:rFonts w:ascii="Times New Roman" w:hAnsi="Times New Roman" w:cs="Times New Roman"/>
          <w:sz w:val="22"/>
          <w:szCs w:val="22"/>
          <w:lang w:val="fr-FR"/>
        </w:rPr>
        <w:t>Mais regardons comment la société a réagi à chacun</w:t>
      </w:r>
    </w:p>
    <w:p w14:paraId="4711B35E"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b/>
          <w:bCs/>
          <w:sz w:val="22"/>
          <w:szCs w:val="22"/>
          <w:lang w:val="fr-FR"/>
        </w:rPr>
        <w:t>Dans le premier cas :</w:t>
      </w:r>
      <w:r w:rsidRPr="004E1403">
        <w:rPr>
          <w:rFonts w:ascii="Times New Roman" w:hAnsi="Times New Roman" w:cs="Times New Roman"/>
          <w:sz w:val="22"/>
          <w:szCs w:val="22"/>
          <w:lang w:val="fr-FR"/>
        </w:rPr>
        <w:t xml:space="preserve"> des partages viraux, des parodies, des mèmes. On se gausse. On cite ses phrases comme des gags. On commente avec amusement. Et lorsque des voix s’élèvent pour dénoncer, le réflexe est rapide : </w:t>
      </w:r>
      <w:r w:rsidRPr="004E1403">
        <w:rPr>
          <w:rFonts w:ascii="Times New Roman" w:hAnsi="Times New Roman" w:cs="Times New Roman"/>
          <w:i/>
          <w:iCs/>
          <w:sz w:val="22"/>
          <w:szCs w:val="22"/>
          <w:lang w:val="fr-FR"/>
        </w:rPr>
        <w:t>« Elle est probablement malade. Elle a besoin d’aide. »</w:t>
      </w:r>
      <w:r w:rsidRPr="004E1403">
        <w:rPr>
          <w:rFonts w:ascii="Times New Roman" w:hAnsi="Times New Roman" w:cs="Times New Roman"/>
          <w:sz w:val="22"/>
          <w:szCs w:val="22"/>
          <w:lang w:val="fr-FR"/>
        </w:rPr>
        <w:t xml:space="preserve"> On invoque la détresse psychologique, la dépendance à l’alcool. On appelle à la compassion. Aucune condamnation officielle. Aucune intervention documentée des autorités. Aucun article dans les médias reconnus.</w:t>
      </w:r>
    </w:p>
    <w:p w14:paraId="0D1AEBAE" w14:textId="77777777" w:rsidR="0001321C" w:rsidRPr="004E1403" w:rsidRDefault="00000000">
      <w:pPr>
        <w:spacing w:after="280"/>
        <w:rPr>
          <w:rFonts w:ascii="Times New Roman" w:hAnsi="Times New Roman" w:cs="Times New Roman"/>
          <w:sz w:val="22"/>
          <w:szCs w:val="22"/>
          <w:lang w:val="fr-FR"/>
        </w:rPr>
      </w:pPr>
      <w:r w:rsidRPr="004E1403">
        <w:rPr>
          <w:rFonts w:ascii="Times New Roman" w:hAnsi="Times New Roman" w:cs="Times New Roman"/>
          <w:b/>
          <w:bCs/>
          <w:sz w:val="22"/>
          <w:szCs w:val="22"/>
          <w:lang w:val="fr-FR"/>
        </w:rPr>
        <w:t>Dans le second cas :</w:t>
      </w:r>
      <w:r w:rsidRPr="004E1403">
        <w:rPr>
          <w:rFonts w:ascii="Times New Roman" w:hAnsi="Times New Roman" w:cs="Times New Roman"/>
          <w:sz w:val="22"/>
          <w:szCs w:val="22"/>
          <w:lang w:val="fr-FR"/>
        </w:rPr>
        <w:t xml:space="preserve"> condamnation unanime à l’Assemblée nationale. Motions adoptées. La mairesse de Montréal parle de propos « répugnants ». Le chef du SPVM monte au créneau. Des journalistes interpellent ses parents. On débat d’un vide juridique municipal. On réclame une réglementation. On associe ses comportements à ses origines, à sa culture, à son statut d’immigrant — même s’il affirme se sentir pleinement Québécois.</w:t>
      </w:r>
    </w:p>
    <w:p w14:paraId="0A6BAF5C" w14:textId="77777777" w:rsidR="007F7160" w:rsidRDefault="007F7160">
      <w:pPr>
        <w:pStyle w:val="Heading2"/>
        <w:rPr>
          <w:rFonts w:ascii="Times New Roman" w:hAnsi="Times New Roman" w:cs="Times New Roman"/>
          <w:sz w:val="22"/>
          <w:szCs w:val="22"/>
          <w:lang w:val="fr-FR"/>
        </w:rPr>
      </w:pPr>
    </w:p>
    <w:p w14:paraId="205AAEB9" w14:textId="77777777" w:rsidR="007F7160" w:rsidRDefault="007F7160">
      <w:pPr>
        <w:pStyle w:val="Heading2"/>
        <w:rPr>
          <w:rFonts w:ascii="Times New Roman" w:hAnsi="Times New Roman" w:cs="Times New Roman"/>
          <w:sz w:val="22"/>
          <w:szCs w:val="22"/>
          <w:lang w:val="fr-FR"/>
        </w:rPr>
      </w:pPr>
    </w:p>
    <w:p w14:paraId="5CD01B7F" w14:textId="6033052E" w:rsidR="0001321C" w:rsidRPr="004E1403" w:rsidRDefault="00000000">
      <w:pPr>
        <w:pStyle w:val="Heading2"/>
        <w:rPr>
          <w:rFonts w:ascii="Times New Roman" w:hAnsi="Times New Roman" w:cs="Times New Roman"/>
          <w:sz w:val="22"/>
          <w:szCs w:val="22"/>
          <w:lang w:val="fr-FR"/>
        </w:rPr>
      </w:pPr>
      <w:r w:rsidRPr="004E1403">
        <w:rPr>
          <w:rFonts w:ascii="Times New Roman" w:hAnsi="Times New Roman" w:cs="Times New Roman"/>
          <w:sz w:val="22"/>
          <w:szCs w:val="22"/>
          <w:lang w:val="fr-FR"/>
        </w:rPr>
        <w:lastRenderedPageBreak/>
        <w:t>Posons les vraies questions</w:t>
      </w:r>
    </w:p>
    <w:p w14:paraId="36BBB433" w14:textId="77777777" w:rsidR="0001321C" w:rsidRPr="004E1403" w:rsidRDefault="00000000" w:rsidP="004E1403">
      <w:pPr>
        <w:rPr>
          <w:rFonts w:ascii="Times New Roman" w:hAnsi="Times New Roman" w:cs="Times New Roman"/>
          <w:sz w:val="22"/>
          <w:szCs w:val="22"/>
          <w:lang w:val="fr-FR"/>
        </w:rPr>
      </w:pPr>
      <w:r w:rsidRPr="004E1403">
        <w:rPr>
          <w:rFonts w:ascii="Times New Roman" w:hAnsi="Times New Roman" w:cs="Times New Roman"/>
          <w:b/>
          <w:bCs/>
          <w:sz w:val="22"/>
          <w:szCs w:val="22"/>
          <w:lang w:val="fr-FR"/>
        </w:rPr>
        <w:t>Pourquoi parle-t-on de maladie mentale pour l’une, mais jamais pour l’autre ?</w:t>
      </w:r>
    </w:p>
    <w:p w14:paraId="59FCD2EE"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Dès que les vidéos de la première ont circulé, une partie du public a immédiatement évoqué la santé mentale, l’alcoolisme, la détresse. Mais posons-nous la question honnêtement : a-t-on, à un seul moment, envisagé publiquement que le second puisse, lui aussi, souffrir de troubles du comportement, d’impulsivité pathologique, d’un rapport problématique à l’autorité ? Non. Pas une seule fois. Pour lui, pas de diagnostic bienveillant. Pas d’appel à la compassion. Directement : la condamnation, la sanction, le symbole.</w:t>
      </w:r>
    </w:p>
    <w:p w14:paraId="5334DC76" w14:textId="577E8497" w:rsidR="0001321C" w:rsidRPr="004E1403" w:rsidRDefault="00000000">
      <w:pPr>
        <w:spacing w:after="280"/>
        <w:rPr>
          <w:rFonts w:ascii="Times New Roman" w:hAnsi="Times New Roman" w:cs="Times New Roman"/>
          <w:sz w:val="22"/>
          <w:szCs w:val="22"/>
          <w:lang w:val="fr-FR"/>
        </w:rPr>
      </w:pPr>
      <w:r w:rsidRPr="004E1403">
        <w:rPr>
          <w:rFonts w:ascii="Times New Roman" w:hAnsi="Times New Roman" w:cs="Times New Roman"/>
          <w:b/>
          <w:bCs/>
          <w:i/>
          <w:iCs/>
          <w:sz w:val="22"/>
          <w:szCs w:val="22"/>
          <w:lang w:val="fr-FR"/>
        </w:rPr>
        <w:t>La maladie mentale sert ici de bouclier — mais seulement pour certains. Et ce bouclier a une couleur</w:t>
      </w:r>
      <w:r w:rsidR="00313AF3">
        <w:rPr>
          <w:rFonts w:ascii="Times New Roman" w:hAnsi="Times New Roman" w:cs="Times New Roman"/>
          <w:b/>
          <w:bCs/>
          <w:i/>
          <w:iCs/>
          <w:sz w:val="22"/>
          <w:szCs w:val="22"/>
          <w:lang w:val="fr-FR"/>
        </w:rPr>
        <w:t>/une ethnie</w:t>
      </w:r>
      <w:r w:rsidRPr="004E1403">
        <w:rPr>
          <w:rFonts w:ascii="Times New Roman" w:hAnsi="Times New Roman" w:cs="Times New Roman"/>
          <w:b/>
          <w:bCs/>
          <w:i/>
          <w:iCs/>
          <w:sz w:val="22"/>
          <w:szCs w:val="22"/>
          <w:lang w:val="fr-FR"/>
        </w:rPr>
        <w:t>.</w:t>
      </w:r>
    </w:p>
    <w:p w14:paraId="2DFA7934" w14:textId="77777777" w:rsidR="0001321C" w:rsidRPr="004E1403" w:rsidRDefault="00000000" w:rsidP="004E1403">
      <w:pPr>
        <w:rPr>
          <w:rFonts w:ascii="Times New Roman" w:hAnsi="Times New Roman" w:cs="Times New Roman"/>
          <w:sz w:val="22"/>
          <w:szCs w:val="22"/>
          <w:lang w:val="fr-FR"/>
        </w:rPr>
      </w:pPr>
      <w:r w:rsidRPr="004E1403">
        <w:rPr>
          <w:rFonts w:ascii="Times New Roman" w:hAnsi="Times New Roman" w:cs="Times New Roman"/>
          <w:b/>
          <w:bCs/>
          <w:sz w:val="22"/>
          <w:szCs w:val="22"/>
          <w:lang w:val="fr-FR"/>
        </w:rPr>
        <w:t>Pourquoi les propos de l’une font-ils rire, alors que ceux de l’autre font frémir ?</w:t>
      </w:r>
    </w:p>
    <w:p w14:paraId="7D088DAA" w14:textId="1E73B5EB"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Ce n’est pas nouveau. Le Québec a une longue mémoire en matière de racisme habillé en divertissement. Pendant des générations, les </w:t>
      </w:r>
      <w:r w:rsidR="00395E1D">
        <w:rPr>
          <w:rFonts w:ascii="Times New Roman" w:hAnsi="Times New Roman" w:cs="Times New Roman"/>
          <w:sz w:val="22"/>
          <w:szCs w:val="22"/>
          <w:lang w:val="fr-FR"/>
        </w:rPr>
        <w:t>jokes</w:t>
      </w:r>
      <w:r w:rsidRPr="004E1403">
        <w:rPr>
          <w:rFonts w:ascii="Times New Roman" w:hAnsi="Times New Roman" w:cs="Times New Roman"/>
          <w:sz w:val="22"/>
          <w:szCs w:val="22"/>
          <w:lang w:val="fr-FR"/>
        </w:rPr>
        <w:t xml:space="preserve"> </w:t>
      </w:r>
      <w:r w:rsidR="007F7160">
        <w:rPr>
          <w:rFonts w:ascii="Times New Roman" w:hAnsi="Times New Roman" w:cs="Times New Roman"/>
          <w:sz w:val="22"/>
          <w:szCs w:val="22"/>
          <w:lang w:val="fr-FR"/>
        </w:rPr>
        <w:t>de « N</w:t>
      </w:r>
      <w:r w:rsidR="00984ED4" w:rsidRPr="004E1403">
        <w:rPr>
          <w:rFonts w:ascii="Times New Roman" w:hAnsi="Times New Roman" w:cs="Times New Roman"/>
          <w:sz w:val="22"/>
          <w:szCs w:val="22"/>
          <w:lang w:val="fr-FR"/>
        </w:rPr>
        <w:t>è</w:t>
      </w:r>
      <w:r w:rsidR="00984ED4">
        <w:rPr>
          <w:rFonts w:ascii="Times New Roman" w:hAnsi="Times New Roman" w:cs="Times New Roman"/>
          <w:sz w:val="22"/>
          <w:szCs w:val="22"/>
          <w:lang w:val="fr-FR"/>
        </w:rPr>
        <w:t>g</w:t>
      </w:r>
      <w:r w:rsidR="007F7160">
        <w:rPr>
          <w:rFonts w:ascii="Times New Roman" w:hAnsi="Times New Roman" w:cs="Times New Roman"/>
          <w:sz w:val="22"/>
          <w:szCs w:val="22"/>
          <w:lang w:val="fr-FR"/>
        </w:rPr>
        <w:t> »</w:t>
      </w:r>
      <w:r w:rsidRPr="004E1403">
        <w:rPr>
          <w:rFonts w:ascii="Times New Roman" w:hAnsi="Times New Roman" w:cs="Times New Roman"/>
          <w:sz w:val="22"/>
          <w:szCs w:val="22"/>
          <w:lang w:val="fr-FR"/>
        </w:rPr>
        <w:t xml:space="preserve">, </w:t>
      </w:r>
      <w:r w:rsidR="00395E1D">
        <w:rPr>
          <w:rFonts w:ascii="Times New Roman" w:hAnsi="Times New Roman" w:cs="Times New Roman"/>
          <w:sz w:val="22"/>
          <w:szCs w:val="22"/>
          <w:lang w:val="fr-FR"/>
        </w:rPr>
        <w:t xml:space="preserve">sur </w:t>
      </w:r>
      <w:r w:rsidRPr="004E1403">
        <w:rPr>
          <w:rFonts w:ascii="Times New Roman" w:hAnsi="Times New Roman" w:cs="Times New Roman"/>
          <w:sz w:val="22"/>
          <w:szCs w:val="22"/>
          <w:lang w:val="fr-FR"/>
        </w:rPr>
        <w:t>les Arabes, les Juifs</w:t>
      </w:r>
      <w:r w:rsidR="004F0368">
        <w:rPr>
          <w:rFonts w:ascii="Times New Roman" w:hAnsi="Times New Roman" w:cs="Times New Roman"/>
          <w:sz w:val="22"/>
          <w:szCs w:val="22"/>
          <w:lang w:val="fr-FR"/>
        </w:rPr>
        <w:t>, les gaies</w:t>
      </w:r>
      <w:r w:rsidRPr="004E1403">
        <w:rPr>
          <w:rFonts w:ascii="Times New Roman" w:hAnsi="Times New Roman" w:cs="Times New Roman"/>
          <w:sz w:val="22"/>
          <w:szCs w:val="22"/>
          <w:lang w:val="fr-FR"/>
        </w:rPr>
        <w:t xml:space="preserve"> ou les immigrants ont circulé dans les salles de spectacle, à la radio, à la télévision — souvent sous couvert d’humour populaire, de « culture du terroir » ou de « franc-parler québécois ». On riait. On applaudissait. Et celui qui osait se plaindre passait pour celui qui « ne comprend pas la joke »</w:t>
      </w:r>
      <w:r w:rsidR="00A739DD">
        <w:rPr>
          <w:rFonts w:ascii="Times New Roman" w:hAnsi="Times New Roman" w:cs="Times New Roman"/>
          <w:sz w:val="22"/>
          <w:szCs w:val="22"/>
          <w:lang w:val="fr-FR"/>
        </w:rPr>
        <w:t xml:space="preserve"> ou qui « voit du racisme partout »</w:t>
      </w:r>
      <w:r w:rsidRPr="004E1403">
        <w:rPr>
          <w:rFonts w:ascii="Times New Roman" w:hAnsi="Times New Roman" w:cs="Times New Roman"/>
          <w:sz w:val="22"/>
          <w:szCs w:val="22"/>
          <w:lang w:val="fr-FR"/>
        </w:rPr>
        <w:t>.</w:t>
      </w:r>
    </w:p>
    <w:p w14:paraId="4C2FA16D"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Les réseaux sociaux n’ont pas inventé ce phénomène. Ils l’ont amplifié, accéléré, monétisé. Les « </w:t>
      </w:r>
      <w:proofErr w:type="spellStart"/>
      <w:r w:rsidRPr="004E1403">
        <w:rPr>
          <w:rFonts w:ascii="Times New Roman" w:hAnsi="Times New Roman" w:cs="Times New Roman"/>
          <w:sz w:val="22"/>
          <w:szCs w:val="22"/>
          <w:lang w:val="fr-FR"/>
        </w:rPr>
        <w:t>lives</w:t>
      </w:r>
      <w:proofErr w:type="spellEnd"/>
      <w:r w:rsidRPr="004E1403">
        <w:rPr>
          <w:rFonts w:ascii="Times New Roman" w:hAnsi="Times New Roman" w:cs="Times New Roman"/>
          <w:sz w:val="22"/>
          <w:szCs w:val="22"/>
          <w:lang w:val="fr-FR"/>
        </w:rPr>
        <w:t xml:space="preserve"> » racistes ne sont plus diffusés sur les ondes d’une radio — ils sont </w:t>
      </w:r>
      <w:proofErr w:type="spellStart"/>
      <w:r w:rsidRPr="004E1403">
        <w:rPr>
          <w:rFonts w:ascii="Times New Roman" w:hAnsi="Times New Roman" w:cs="Times New Roman"/>
          <w:sz w:val="22"/>
          <w:szCs w:val="22"/>
          <w:lang w:val="fr-FR"/>
        </w:rPr>
        <w:t>streamés</w:t>
      </w:r>
      <w:proofErr w:type="spellEnd"/>
      <w:r w:rsidRPr="004E1403">
        <w:rPr>
          <w:rFonts w:ascii="Times New Roman" w:hAnsi="Times New Roman" w:cs="Times New Roman"/>
          <w:sz w:val="22"/>
          <w:szCs w:val="22"/>
          <w:lang w:val="fr-FR"/>
        </w:rPr>
        <w:t xml:space="preserve"> en direct, likés, partagés, transformés en mèmes. La mécanique est identique : choquer une minorité, faire rire la majorité, et appeler ça de l’authenticité.</w:t>
      </w:r>
    </w:p>
    <w:p w14:paraId="5A50B760" w14:textId="77777777" w:rsidR="0001321C" w:rsidRPr="004E1403" w:rsidRDefault="00000000">
      <w:pPr>
        <w:spacing w:after="280"/>
        <w:rPr>
          <w:rFonts w:ascii="Times New Roman" w:hAnsi="Times New Roman" w:cs="Times New Roman"/>
          <w:sz w:val="22"/>
          <w:szCs w:val="22"/>
          <w:lang w:val="fr-FR"/>
        </w:rPr>
      </w:pPr>
      <w:r w:rsidRPr="004E1403">
        <w:rPr>
          <w:rFonts w:ascii="Times New Roman" w:hAnsi="Times New Roman" w:cs="Times New Roman"/>
          <w:sz w:val="22"/>
          <w:szCs w:val="22"/>
          <w:lang w:val="fr-FR"/>
        </w:rPr>
        <w:t>Le rire n’est pas neutre. Il révèle à qui on accorde de l’humanité — et à qui on refuse la dignité d’être pris au sérieux. Quand ce rire dure depuis des générations, il ne s’appelle plus de l’humour. Il s’appelle de la complicité.</w:t>
      </w:r>
    </w:p>
    <w:p w14:paraId="6597C37A" w14:textId="77777777" w:rsidR="0001321C" w:rsidRPr="004E1403" w:rsidRDefault="00000000" w:rsidP="004E1403">
      <w:pPr>
        <w:rPr>
          <w:rFonts w:ascii="Times New Roman" w:hAnsi="Times New Roman" w:cs="Times New Roman"/>
          <w:sz w:val="22"/>
          <w:szCs w:val="22"/>
          <w:lang w:val="fr-FR"/>
        </w:rPr>
      </w:pPr>
      <w:r w:rsidRPr="004E1403">
        <w:rPr>
          <w:rFonts w:ascii="Times New Roman" w:hAnsi="Times New Roman" w:cs="Times New Roman"/>
          <w:b/>
          <w:bCs/>
          <w:sz w:val="22"/>
          <w:szCs w:val="22"/>
          <w:lang w:val="fr-FR"/>
        </w:rPr>
        <w:t>Pourquoi associe-t-on l’un à ses origines, mais pas l’autre ?</w:t>
      </w:r>
    </w:p>
    <w:p w14:paraId="0422F016" w14:textId="15A76CA3" w:rsidR="00992A0A" w:rsidRDefault="00000000" w:rsidP="00992A0A">
      <w:pPr>
        <w:spacing w:after="280"/>
        <w:rPr>
          <w:rFonts w:ascii="Times New Roman" w:hAnsi="Times New Roman" w:cs="Times New Roman"/>
          <w:sz w:val="22"/>
          <w:szCs w:val="22"/>
          <w:lang w:val="fr-FR"/>
        </w:rPr>
      </w:pPr>
      <w:r w:rsidRPr="004E1403">
        <w:rPr>
          <w:rFonts w:ascii="Times New Roman" w:hAnsi="Times New Roman" w:cs="Times New Roman"/>
          <w:sz w:val="22"/>
          <w:szCs w:val="22"/>
          <w:lang w:val="fr-FR"/>
        </w:rPr>
        <w:t>Le second a été présenté dans de nombreux médias comme « d’origine arabe »</w:t>
      </w:r>
      <w:r w:rsidR="00D5661C">
        <w:rPr>
          <w:rFonts w:ascii="Times New Roman" w:hAnsi="Times New Roman" w:cs="Times New Roman"/>
          <w:sz w:val="22"/>
          <w:szCs w:val="22"/>
          <w:lang w:val="fr-FR"/>
        </w:rPr>
        <w:t xml:space="preserve">, alors qu’il se dit </w:t>
      </w:r>
      <w:r w:rsidR="00C9595D">
        <w:rPr>
          <w:rFonts w:ascii="Times New Roman" w:hAnsi="Times New Roman" w:cs="Times New Roman"/>
          <w:sz w:val="22"/>
          <w:szCs w:val="22"/>
          <w:lang w:val="fr-FR"/>
        </w:rPr>
        <w:t>Québécois</w:t>
      </w:r>
      <w:r w:rsidRPr="004E1403">
        <w:rPr>
          <w:rFonts w:ascii="Times New Roman" w:hAnsi="Times New Roman" w:cs="Times New Roman"/>
          <w:sz w:val="22"/>
          <w:szCs w:val="22"/>
          <w:lang w:val="fr-FR"/>
        </w:rPr>
        <w:t>, comme si cela expliquait ses actes. On a interpellé ses parents. On a évoqué le choc culturel. Mais la première — Québécoise de souche, de Trois-Rivières — n’a jamais été présentée comme le symbole d’une dérive culturelle franco-québécoise. Ses actes lui appartiennent, à elle. Alors pourquoi ceux de l’autre appartiendraient-ils à toute une communauté ?</w:t>
      </w:r>
    </w:p>
    <w:p w14:paraId="624DD764" w14:textId="1439B008" w:rsidR="0001321C" w:rsidRPr="004E1403" w:rsidRDefault="00000000">
      <w:pPr>
        <w:pStyle w:val="Heading2"/>
        <w:rPr>
          <w:rFonts w:ascii="Times New Roman" w:hAnsi="Times New Roman" w:cs="Times New Roman"/>
          <w:sz w:val="22"/>
          <w:szCs w:val="22"/>
          <w:lang w:val="fr-FR"/>
        </w:rPr>
      </w:pPr>
      <w:r w:rsidRPr="004E1403">
        <w:rPr>
          <w:rFonts w:ascii="Times New Roman" w:hAnsi="Times New Roman" w:cs="Times New Roman"/>
          <w:sz w:val="22"/>
          <w:szCs w:val="22"/>
          <w:lang w:val="fr-FR"/>
        </w:rPr>
        <w:t>Ce que dit la loi — et ce qu’on oublie soigneusement de distinguer</w:t>
      </w:r>
    </w:p>
    <w:p w14:paraId="5F4CFA02"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b/>
          <w:bCs/>
          <w:sz w:val="22"/>
          <w:szCs w:val="22"/>
          <w:lang w:val="fr-FR"/>
        </w:rPr>
        <w:t xml:space="preserve">Insulter un policier </w:t>
      </w:r>
      <w:proofErr w:type="gramStart"/>
      <w:r w:rsidRPr="004E1403">
        <w:rPr>
          <w:rFonts w:ascii="Times New Roman" w:hAnsi="Times New Roman" w:cs="Times New Roman"/>
          <w:b/>
          <w:bCs/>
          <w:sz w:val="22"/>
          <w:szCs w:val="22"/>
          <w:lang w:val="fr-FR"/>
        </w:rPr>
        <w:t>n’est</w:t>
      </w:r>
      <w:proofErr w:type="gramEnd"/>
      <w:r w:rsidRPr="004E1403">
        <w:rPr>
          <w:rFonts w:ascii="Times New Roman" w:hAnsi="Times New Roman" w:cs="Times New Roman"/>
          <w:b/>
          <w:bCs/>
          <w:sz w:val="22"/>
          <w:szCs w:val="22"/>
          <w:lang w:val="fr-FR"/>
        </w:rPr>
        <w:t xml:space="preserve"> pas un crime haineux.</w:t>
      </w:r>
      <w:r w:rsidRPr="004E1403">
        <w:rPr>
          <w:rFonts w:ascii="Times New Roman" w:hAnsi="Times New Roman" w:cs="Times New Roman"/>
          <w:sz w:val="22"/>
          <w:szCs w:val="22"/>
          <w:lang w:val="fr-FR"/>
        </w:rPr>
        <w:t xml:space="preserve"> C’est une infraction à un règlement municipal — là où il en existe un. C’est condamnable, c’est inacceptable, mais ce n’est pas la même chose, sur le plan juridique, que de cibler un groupe identifiable avec des propos haineux lors d’une diffusion publique.</w:t>
      </w:r>
    </w:p>
    <w:p w14:paraId="27200109" w14:textId="15F892A0"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L’article 319(1) du </w:t>
      </w:r>
      <w:r w:rsidRPr="004E1403">
        <w:rPr>
          <w:rFonts w:ascii="Times New Roman" w:hAnsi="Times New Roman" w:cs="Times New Roman"/>
          <w:i/>
          <w:iCs/>
          <w:sz w:val="22"/>
          <w:szCs w:val="22"/>
          <w:lang w:val="fr-FR"/>
        </w:rPr>
        <w:t>Code criminel</w:t>
      </w:r>
      <w:r w:rsidR="005121E2">
        <w:rPr>
          <w:rStyle w:val="FootnoteReference"/>
          <w:rFonts w:ascii="Times New Roman" w:hAnsi="Times New Roman" w:cs="Times New Roman"/>
          <w:i/>
          <w:iCs/>
          <w:sz w:val="22"/>
          <w:szCs w:val="22"/>
          <w:lang w:val="fr-FR"/>
        </w:rPr>
        <w:footnoteReference w:id="1"/>
      </w:r>
      <w:r w:rsidRPr="004E1403">
        <w:rPr>
          <w:rFonts w:ascii="Times New Roman" w:hAnsi="Times New Roman" w:cs="Times New Roman"/>
          <w:sz w:val="22"/>
          <w:szCs w:val="22"/>
          <w:lang w:val="fr-FR"/>
        </w:rPr>
        <w:t xml:space="preserve"> prévoit que quiconque, par la communication de déclarations en un endroit public, incite à la haine contre un groupe identifiable est passible d’un emprisonnement maximal de deux ans. </w:t>
      </w:r>
      <w:r w:rsidR="000C4E87">
        <w:rPr>
          <w:rFonts w:ascii="Times New Roman" w:hAnsi="Times New Roman" w:cs="Times New Roman"/>
          <w:sz w:val="22"/>
          <w:szCs w:val="22"/>
          <w:lang w:val="fr-FR"/>
        </w:rPr>
        <w:t>Sous l’article 318 (1) 4</w:t>
      </w:r>
      <w:r w:rsidR="000C4E87">
        <w:rPr>
          <w:rStyle w:val="FootnoteReference"/>
          <w:rFonts w:ascii="Times New Roman" w:hAnsi="Times New Roman" w:cs="Times New Roman"/>
          <w:sz w:val="22"/>
          <w:szCs w:val="22"/>
          <w:lang w:val="fr-FR"/>
        </w:rPr>
        <w:footnoteReference w:id="2"/>
      </w:r>
      <w:r w:rsidR="000C4E87">
        <w:rPr>
          <w:rFonts w:ascii="Times New Roman" w:hAnsi="Times New Roman" w:cs="Times New Roman"/>
          <w:sz w:val="22"/>
          <w:szCs w:val="22"/>
          <w:lang w:val="fr-FR"/>
        </w:rPr>
        <w:t>, u</w:t>
      </w:r>
      <w:r w:rsidRPr="004E1403">
        <w:rPr>
          <w:rFonts w:ascii="Times New Roman" w:hAnsi="Times New Roman" w:cs="Times New Roman"/>
          <w:sz w:val="22"/>
          <w:szCs w:val="22"/>
          <w:lang w:val="fr-FR"/>
        </w:rPr>
        <w:t xml:space="preserve">n groupe identifiable désigne toute section de la </w:t>
      </w:r>
      <w:r w:rsidRPr="004E1403">
        <w:rPr>
          <w:rFonts w:ascii="Times New Roman" w:hAnsi="Times New Roman" w:cs="Times New Roman"/>
          <w:sz w:val="22"/>
          <w:szCs w:val="22"/>
          <w:lang w:val="fr-FR"/>
        </w:rPr>
        <w:lastRenderedPageBreak/>
        <w:t>population qui se différencie par sa couleur, sa race, sa religion, son origine nationale ou ethnique, son âge, son sexe, ou son orientation sexuelle.</w:t>
      </w:r>
    </w:p>
    <w:p w14:paraId="11D475BD"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Or, les autres vidéos disponibles montrent clairement que le jeune homme insulte des policiers tout genre confondu — hommes comme femmes. Sa cible n’est pas les femmes en tant que groupe identifiable fondé sur le sexe. Sa cible, c’est l’autorité policière en tant qu’institution. La charge misogyne apparente dans la vidéo la plus virale ne reflète donc pas une haine systématique envers les femmes — elle s’inscrit dans une hostilité généralisée envers les forces de l’ordre, quel que soit leur genre. Ce constat affaiblit juridiquement toute tentative de qualifier ses actes de crime haineux au sens de l’article 319 du </w:t>
      </w:r>
      <w:r w:rsidRPr="004E1403">
        <w:rPr>
          <w:rFonts w:ascii="Times New Roman" w:hAnsi="Times New Roman" w:cs="Times New Roman"/>
          <w:i/>
          <w:iCs/>
          <w:sz w:val="22"/>
          <w:szCs w:val="22"/>
          <w:lang w:val="fr-FR"/>
        </w:rPr>
        <w:t>Code criminel</w:t>
      </w:r>
      <w:r w:rsidRPr="004E1403">
        <w:rPr>
          <w:rFonts w:ascii="Times New Roman" w:hAnsi="Times New Roman" w:cs="Times New Roman"/>
          <w:sz w:val="22"/>
          <w:szCs w:val="22"/>
          <w:lang w:val="fr-FR"/>
        </w:rPr>
        <w:t>.</w:t>
      </w:r>
    </w:p>
    <w:p w14:paraId="1EB5815E" w14:textId="77777777" w:rsidR="0001321C" w:rsidRPr="004E1403" w:rsidRDefault="00000000">
      <w:pPr>
        <w:spacing w:after="280"/>
        <w:rPr>
          <w:rFonts w:ascii="Times New Roman" w:hAnsi="Times New Roman" w:cs="Times New Roman"/>
          <w:sz w:val="22"/>
          <w:szCs w:val="22"/>
          <w:lang w:val="fr-FR"/>
        </w:rPr>
      </w:pPr>
      <w:r w:rsidRPr="004E1403">
        <w:rPr>
          <w:rFonts w:ascii="Times New Roman" w:hAnsi="Times New Roman" w:cs="Times New Roman"/>
          <w:sz w:val="22"/>
          <w:szCs w:val="22"/>
          <w:lang w:val="fr-FR"/>
        </w:rPr>
        <w:t>En revanche, des diffusions publiques répétées, devant des milliers d’abonnés, ciblant explicitement des personnes en raison de leur couleur de peau, de leur origine ethnique ou de leur religion : voilà ce que vise précisément l’article 319. Et pourtant, c’est l’inverse qui se produit dans la réaction collective.</w:t>
      </w:r>
    </w:p>
    <w:p w14:paraId="3430C559" w14:textId="77777777" w:rsidR="0001321C" w:rsidRPr="004E1403" w:rsidRDefault="00000000">
      <w:pPr>
        <w:pStyle w:val="Heading2"/>
        <w:rPr>
          <w:rFonts w:ascii="Times New Roman" w:hAnsi="Times New Roman" w:cs="Times New Roman"/>
          <w:sz w:val="22"/>
          <w:szCs w:val="22"/>
          <w:lang w:val="fr-FR"/>
        </w:rPr>
      </w:pPr>
      <w:r w:rsidRPr="004E1403">
        <w:rPr>
          <w:rFonts w:ascii="Times New Roman" w:hAnsi="Times New Roman" w:cs="Times New Roman"/>
          <w:sz w:val="22"/>
          <w:szCs w:val="22"/>
          <w:lang w:val="fr-FR"/>
        </w:rPr>
        <w:t>Ce que la jurisprudence nous enseigne</w:t>
      </w:r>
    </w:p>
    <w:p w14:paraId="4E0FA4C6" w14:textId="36E6E621"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Il existe au Canada une jurisprudence importante sur la question des propos haineux tenus envers des groupes identifiables. L’arrêt </w:t>
      </w:r>
      <w:r w:rsidR="009D593D" w:rsidRPr="009D593D">
        <w:rPr>
          <w:rFonts w:ascii="Times New Roman" w:hAnsi="Times New Roman" w:cs="Times New Roman"/>
          <w:i/>
          <w:iCs/>
          <w:sz w:val="22"/>
          <w:szCs w:val="22"/>
          <w:lang w:val="fr-FR"/>
        </w:rPr>
        <w:t xml:space="preserve">Bou </w:t>
      </w:r>
      <w:proofErr w:type="spellStart"/>
      <w:r w:rsidR="009D593D" w:rsidRPr="009D593D">
        <w:rPr>
          <w:rFonts w:ascii="Times New Roman" w:hAnsi="Times New Roman" w:cs="Times New Roman"/>
          <w:i/>
          <w:iCs/>
          <w:sz w:val="22"/>
          <w:szCs w:val="22"/>
          <w:lang w:val="fr-FR"/>
        </w:rPr>
        <w:t>Malhab</w:t>
      </w:r>
      <w:proofErr w:type="spellEnd"/>
      <w:r w:rsidR="009D593D" w:rsidRPr="009D593D">
        <w:rPr>
          <w:rFonts w:ascii="Times New Roman" w:hAnsi="Times New Roman" w:cs="Times New Roman"/>
          <w:i/>
          <w:iCs/>
          <w:sz w:val="22"/>
          <w:szCs w:val="22"/>
          <w:lang w:val="fr-FR"/>
        </w:rPr>
        <w:t xml:space="preserve"> </w:t>
      </w:r>
      <w:r w:rsidR="007258C1">
        <w:rPr>
          <w:rFonts w:ascii="Times New Roman" w:hAnsi="Times New Roman" w:cs="Times New Roman"/>
          <w:i/>
          <w:iCs/>
          <w:sz w:val="22"/>
          <w:szCs w:val="22"/>
          <w:lang w:val="fr-FR"/>
        </w:rPr>
        <w:t>c</w:t>
      </w:r>
      <w:r w:rsidR="009D593D" w:rsidRPr="009D593D">
        <w:rPr>
          <w:rFonts w:ascii="Times New Roman" w:hAnsi="Times New Roman" w:cs="Times New Roman"/>
          <w:i/>
          <w:iCs/>
          <w:sz w:val="22"/>
          <w:szCs w:val="22"/>
          <w:lang w:val="fr-FR"/>
        </w:rPr>
        <w:t xml:space="preserve">. Diffusion </w:t>
      </w:r>
      <w:proofErr w:type="spellStart"/>
      <w:r w:rsidR="009D593D" w:rsidRPr="009D593D">
        <w:rPr>
          <w:rFonts w:ascii="Times New Roman" w:hAnsi="Times New Roman" w:cs="Times New Roman"/>
          <w:i/>
          <w:iCs/>
          <w:sz w:val="22"/>
          <w:szCs w:val="22"/>
          <w:lang w:val="fr-FR"/>
        </w:rPr>
        <w:t>Métromédia</w:t>
      </w:r>
      <w:proofErr w:type="spellEnd"/>
      <w:r w:rsidR="009D593D" w:rsidRPr="009D593D">
        <w:rPr>
          <w:rFonts w:ascii="Times New Roman" w:hAnsi="Times New Roman" w:cs="Times New Roman"/>
          <w:i/>
          <w:iCs/>
          <w:sz w:val="22"/>
          <w:szCs w:val="22"/>
          <w:lang w:val="fr-FR"/>
        </w:rPr>
        <w:t xml:space="preserve"> CMR </w:t>
      </w:r>
      <w:proofErr w:type="spellStart"/>
      <w:proofErr w:type="gramStart"/>
      <w:r w:rsidR="009D593D" w:rsidRPr="009D593D">
        <w:rPr>
          <w:rFonts w:ascii="Times New Roman" w:hAnsi="Times New Roman" w:cs="Times New Roman"/>
          <w:i/>
          <w:iCs/>
          <w:sz w:val="22"/>
          <w:szCs w:val="22"/>
          <w:lang w:val="fr-FR"/>
        </w:rPr>
        <w:t>inc</w:t>
      </w:r>
      <w:proofErr w:type="spellEnd"/>
      <w:r w:rsidR="006006A9" w:rsidRPr="006006A9">
        <w:rPr>
          <w:rFonts w:ascii="Times New Roman" w:hAnsi="Times New Roman" w:cs="Times New Roman"/>
          <w:i/>
          <w:iCs/>
          <w:sz w:val="22"/>
          <w:szCs w:val="22"/>
          <w:lang w:val="fr-FR"/>
        </w:rPr>
        <w:t>[</w:t>
      </w:r>
      <w:proofErr w:type="gramEnd"/>
      <w:r w:rsidR="006006A9" w:rsidRPr="006006A9">
        <w:rPr>
          <w:rFonts w:ascii="Times New Roman" w:hAnsi="Times New Roman" w:cs="Times New Roman"/>
          <w:i/>
          <w:iCs/>
          <w:sz w:val="22"/>
          <w:szCs w:val="22"/>
          <w:lang w:val="fr-FR"/>
        </w:rPr>
        <w:t>2011]</w:t>
      </w:r>
      <w:r w:rsidR="009D593D" w:rsidRPr="009D593D">
        <w:rPr>
          <w:rFonts w:ascii="Times New Roman" w:hAnsi="Times New Roman" w:cs="Times New Roman"/>
          <w:i/>
          <w:iCs/>
          <w:sz w:val="22"/>
          <w:szCs w:val="22"/>
          <w:lang w:val="fr-FR"/>
        </w:rPr>
        <w:t>.</w:t>
      </w:r>
      <w:r w:rsidR="009D593D">
        <w:rPr>
          <w:rStyle w:val="FootnoteReference"/>
          <w:rFonts w:ascii="Times New Roman" w:hAnsi="Times New Roman" w:cs="Times New Roman"/>
          <w:i/>
          <w:iCs/>
          <w:sz w:val="22"/>
          <w:szCs w:val="22"/>
          <w:lang w:val="fr-FR"/>
        </w:rPr>
        <w:footnoteReference w:id="3"/>
      </w:r>
      <w:r w:rsidR="009D593D">
        <w:rPr>
          <w:rFonts w:ascii="Times New Roman" w:hAnsi="Times New Roman" w:cs="Times New Roman"/>
          <w:i/>
          <w:iCs/>
          <w:sz w:val="22"/>
          <w:szCs w:val="22"/>
          <w:lang w:val="fr-FR"/>
        </w:rPr>
        <w:t xml:space="preserve"> </w:t>
      </w:r>
      <w:r w:rsidRPr="004E1403">
        <w:rPr>
          <w:rFonts w:ascii="Times New Roman" w:hAnsi="Times New Roman" w:cs="Times New Roman"/>
          <w:sz w:val="22"/>
          <w:szCs w:val="22"/>
          <w:lang w:val="fr-FR"/>
        </w:rPr>
        <w:t>est particulièrement pertinent ici, car il concerne précisément des propos racistes tenus publiquement envers des chauffeurs de taxi d’origines arabe et haïtienne à Montréal.</w:t>
      </w:r>
    </w:p>
    <w:p w14:paraId="493117AC" w14:textId="784AA56E"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Un animateur de radio avait tenu des propos dénigrants envers ces chauffeurs, les accusant de corruption, d’incompétence et de </w:t>
      </w:r>
      <w:r w:rsidR="00F170F5" w:rsidRPr="004E1403">
        <w:rPr>
          <w:rFonts w:ascii="Times New Roman" w:hAnsi="Times New Roman" w:cs="Times New Roman"/>
          <w:sz w:val="22"/>
          <w:szCs w:val="22"/>
          <w:lang w:val="fr-FR"/>
        </w:rPr>
        <w:t>malpropreté</w:t>
      </w:r>
      <w:r w:rsidRPr="004E1403">
        <w:rPr>
          <w:rFonts w:ascii="Times New Roman" w:hAnsi="Times New Roman" w:cs="Times New Roman"/>
          <w:sz w:val="22"/>
          <w:szCs w:val="22"/>
          <w:lang w:val="fr-FR"/>
        </w:rPr>
        <w:t>. La Cour supérieure avait initialement ordonné le paiement de 220 000 $ aux 1 100 chauffeurs visés. La Cour suprême a finalement rejeté le recours collectif en diffamation — non pas parce que les propos étaient acceptables, mais pour une raison procédurale : les propos s’étaient « dilués dans la foule » en raison de la taille du groupe, rendant impossible la preuve d’un préjudice individualisé pour chaque membre.</w:t>
      </w:r>
    </w:p>
    <w:p w14:paraId="7B65EFDB"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Ce que cette décision </w:t>
      </w:r>
      <w:r w:rsidRPr="004E1403">
        <w:rPr>
          <w:rFonts w:ascii="Times New Roman" w:hAnsi="Times New Roman" w:cs="Times New Roman"/>
          <w:b/>
          <w:bCs/>
          <w:sz w:val="22"/>
          <w:szCs w:val="22"/>
          <w:lang w:val="fr-FR"/>
        </w:rPr>
        <w:t>ne dit pas</w:t>
      </w:r>
      <w:r w:rsidRPr="004E1403">
        <w:rPr>
          <w:rFonts w:ascii="Times New Roman" w:hAnsi="Times New Roman" w:cs="Times New Roman"/>
          <w:sz w:val="22"/>
          <w:szCs w:val="22"/>
          <w:lang w:val="fr-FR"/>
        </w:rPr>
        <w:t xml:space="preserve">, c’est que de tels propos sont légaux ou sans conséquence. Elle dit simplement que la voie civile en diffamation collective était inapplicable dans ce contexte spécifique. Les dispositions pénales de l’article 319 du </w:t>
      </w:r>
      <w:r w:rsidRPr="004E1403">
        <w:rPr>
          <w:rFonts w:ascii="Times New Roman" w:hAnsi="Times New Roman" w:cs="Times New Roman"/>
          <w:i/>
          <w:iCs/>
          <w:sz w:val="22"/>
          <w:szCs w:val="22"/>
          <w:lang w:val="fr-FR"/>
        </w:rPr>
        <w:t>Code criminel</w:t>
      </w:r>
      <w:r w:rsidRPr="004E1403">
        <w:rPr>
          <w:rFonts w:ascii="Times New Roman" w:hAnsi="Times New Roman" w:cs="Times New Roman"/>
          <w:sz w:val="22"/>
          <w:szCs w:val="22"/>
          <w:lang w:val="fr-FR"/>
        </w:rPr>
        <w:t xml:space="preserve"> restent entières.</w:t>
      </w:r>
    </w:p>
    <w:p w14:paraId="10AFA49D" w14:textId="78575CE4" w:rsidR="0001321C" w:rsidRPr="004E1403" w:rsidRDefault="00000000">
      <w:pPr>
        <w:spacing w:after="28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La liberté d’expression a des limites. Dans l’arrêt </w:t>
      </w:r>
      <w:r w:rsidRPr="004E1403">
        <w:rPr>
          <w:rFonts w:ascii="Times New Roman" w:hAnsi="Times New Roman" w:cs="Times New Roman"/>
          <w:i/>
          <w:iCs/>
          <w:sz w:val="22"/>
          <w:szCs w:val="22"/>
          <w:lang w:val="fr-FR"/>
        </w:rPr>
        <w:t>R. c. Keegstra</w:t>
      </w:r>
      <w:r w:rsidRPr="004E1403">
        <w:rPr>
          <w:rFonts w:ascii="Times New Roman" w:hAnsi="Times New Roman" w:cs="Times New Roman"/>
          <w:sz w:val="22"/>
          <w:szCs w:val="22"/>
          <w:lang w:val="fr-FR"/>
        </w:rPr>
        <w:t xml:space="preserve"> [1990]</w:t>
      </w:r>
      <w:r w:rsidR="007258C1" w:rsidRPr="007258C1">
        <w:rPr>
          <w:rStyle w:val="FootnoteReference"/>
          <w:rFonts w:ascii="Times New Roman" w:hAnsi="Times New Roman" w:cs="Times New Roman"/>
          <w:i/>
          <w:iCs/>
          <w:sz w:val="22"/>
          <w:szCs w:val="22"/>
          <w:lang w:val="fr-FR"/>
        </w:rPr>
        <w:t xml:space="preserve"> </w:t>
      </w:r>
      <w:r w:rsidR="007258C1">
        <w:rPr>
          <w:rStyle w:val="FootnoteReference"/>
          <w:rFonts w:ascii="Times New Roman" w:hAnsi="Times New Roman" w:cs="Times New Roman"/>
          <w:i/>
          <w:iCs/>
          <w:sz w:val="22"/>
          <w:szCs w:val="22"/>
          <w:lang w:val="fr-FR"/>
        </w:rPr>
        <w:footnoteReference w:id="4"/>
      </w:r>
      <w:r w:rsidRPr="004E1403">
        <w:rPr>
          <w:rFonts w:ascii="Times New Roman" w:hAnsi="Times New Roman" w:cs="Times New Roman"/>
          <w:sz w:val="22"/>
          <w:szCs w:val="22"/>
          <w:lang w:val="fr-FR"/>
        </w:rPr>
        <w:t>, la Cour suprême a statué que les dispositions interdisant la propagande haineuse constituent des limites raisonnables et justifiables à la liberté d’expression dans une société libre et démocratique.</w:t>
      </w:r>
      <w:r w:rsidR="008434B4">
        <w:rPr>
          <w:rStyle w:val="FootnoteReference"/>
          <w:rFonts w:ascii="Times New Roman" w:hAnsi="Times New Roman" w:cs="Times New Roman"/>
          <w:sz w:val="22"/>
          <w:szCs w:val="22"/>
          <w:lang w:val="fr-FR"/>
        </w:rPr>
        <w:footnoteReference w:id="5"/>
      </w:r>
      <w:r w:rsidRPr="004E1403">
        <w:rPr>
          <w:rFonts w:ascii="Times New Roman" w:hAnsi="Times New Roman" w:cs="Times New Roman"/>
          <w:sz w:val="22"/>
          <w:szCs w:val="22"/>
          <w:lang w:val="fr-FR"/>
        </w:rPr>
        <w:t xml:space="preserve"> </w:t>
      </w:r>
      <w:r w:rsidRPr="007258C1">
        <w:rPr>
          <w:rFonts w:ascii="Times New Roman" w:hAnsi="Times New Roman" w:cs="Times New Roman"/>
          <w:sz w:val="22"/>
          <w:szCs w:val="22"/>
          <w:lang w:val="fr-FR"/>
        </w:rPr>
        <w:t xml:space="preserve">Vous avez le droit de choquer, d’offenser, de déranger. </w:t>
      </w:r>
      <w:r w:rsidRPr="004E1403">
        <w:rPr>
          <w:rFonts w:ascii="Times New Roman" w:hAnsi="Times New Roman" w:cs="Times New Roman"/>
          <w:sz w:val="22"/>
          <w:szCs w:val="22"/>
          <w:lang w:val="fr-FR"/>
        </w:rPr>
        <w:t>Vous n’avez pas le droit de fomenter la haine envers un groupe racisé, religieux ou ethnique.</w:t>
      </w:r>
    </w:p>
    <w:p w14:paraId="3D4ADED9" w14:textId="77777777" w:rsidR="0001321C" w:rsidRPr="004E1403" w:rsidRDefault="00000000">
      <w:pPr>
        <w:pStyle w:val="Heading2"/>
        <w:rPr>
          <w:rFonts w:ascii="Times New Roman" w:hAnsi="Times New Roman" w:cs="Times New Roman"/>
          <w:sz w:val="22"/>
          <w:szCs w:val="22"/>
          <w:lang w:val="fr-FR"/>
        </w:rPr>
      </w:pPr>
      <w:r w:rsidRPr="004E1403">
        <w:rPr>
          <w:rFonts w:ascii="Times New Roman" w:hAnsi="Times New Roman" w:cs="Times New Roman"/>
          <w:sz w:val="22"/>
          <w:szCs w:val="22"/>
          <w:lang w:val="fr-FR"/>
        </w:rPr>
        <w:t>Ce que révèle ce double standard</w:t>
      </w:r>
    </w:p>
    <w:p w14:paraId="7C53ED11" w14:textId="77777777"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Le racisme banalisé quand il vient « de chez nous » est toujours du racisme. La misogynie condamnée quand elle vient « de l’autre » est toujours de la misogynie. Mais traiter ces deux réalités avec des balances différentes révèle un biais systémique que nous devons nommer honnêtement : </w:t>
      </w:r>
      <w:r w:rsidRPr="004E1403">
        <w:rPr>
          <w:rFonts w:ascii="Times New Roman" w:hAnsi="Times New Roman" w:cs="Times New Roman"/>
          <w:b/>
          <w:bCs/>
          <w:sz w:val="22"/>
          <w:szCs w:val="22"/>
          <w:lang w:val="fr-FR"/>
        </w:rPr>
        <w:t>nous avons tendance à juger les individus racisés pour leurs actes, et à excuser les individus blancs pour leurs circonstances.</w:t>
      </w:r>
    </w:p>
    <w:p w14:paraId="3ABA94E5" w14:textId="548BC242" w:rsidR="0001321C" w:rsidRPr="004E1403" w:rsidRDefault="00000000">
      <w:pPr>
        <w:spacing w:after="160"/>
        <w:rPr>
          <w:rFonts w:ascii="Times New Roman" w:hAnsi="Times New Roman" w:cs="Times New Roman"/>
          <w:sz w:val="22"/>
          <w:szCs w:val="22"/>
          <w:lang w:val="fr-FR"/>
        </w:rPr>
      </w:pPr>
      <w:r w:rsidRPr="004E1403">
        <w:rPr>
          <w:rFonts w:ascii="Times New Roman" w:hAnsi="Times New Roman" w:cs="Times New Roman"/>
          <w:sz w:val="22"/>
          <w:szCs w:val="22"/>
          <w:lang w:val="fr-FR"/>
        </w:rPr>
        <w:t xml:space="preserve">Cela ne signifie pas que les insultes envers une </w:t>
      </w:r>
      <w:r w:rsidR="006006A9" w:rsidRPr="004E1403">
        <w:rPr>
          <w:rFonts w:ascii="Times New Roman" w:hAnsi="Times New Roman" w:cs="Times New Roman"/>
          <w:sz w:val="22"/>
          <w:szCs w:val="22"/>
          <w:lang w:val="fr-FR"/>
        </w:rPr>
        <w:t>policière</w:t>
      </w:r>
      <w:r w:rsidRPr="004E1403">
        <w:rPr>
          <w:rFonts w:ascii="Times New Roman" w:hAnsi="Times New Roman" w:cs="Times New Roman"/>
          <w:sz w:val="22"/>
          <w:szCs w:val="22"/>
          <w:lang w:val="fr-FR"/>
        </w:rPr>
        <w:t xml:space="preserve"> sont acceptables. Elles ne le sont pas. Cela ne signifie pas que le jeune homme en question ne doit pas répondre de ses actes. Il le doit.</w:t>
      </w:r>
    </w:p>
    <w:p w14:paraId="026E7D1E" w14:textId="66D3CA1E" w:rsidR="006006A9" w:rsidRDefault="00000000" w:rsidP="006006A9">
      <w:pPr>
        <w:spacing w:after="280"/>
        <w:rPr>
          <w:rFonts w:ascii="Times New Roman" w:hAnsi="Times New Roman" w:cs="Times New Roman"/>
          <w:sz w:val="22"/>
          <w:szCs w:val="22"/>
          <w:lang w:val="fr-FR"/>
        </w:rPr>
      </w:pPr>
      <w:r w:rsidRPr="004E1403">
        <w:rPr>
          <w:rFonts w:ascii="Times New Roman" w:hAnsi="Times New Roman" w:cs="Times New Roman"/>
          <w:sz w:val="22"/>
          <w:szCs w:val="22"/>
          <w:lang w:val="fr-FR"/>
        </w:rPr>
        <w:lastRenderedPageBreak/>
        <w:t>Cela signifie que la femme qui tient des propos racistes en direct, devant des milliers d’internautes, qui traite des êtres humains de manière dégradante sur la base de leur couleur de peau ou de leur religion, et qui travaille potentiellement avec des enfants issus de ces mêmes communautés — elle aussi doit répondre de ses actes.</w:t>
      </w:r>
      <w:r w:rsidR="008434B4">
        <w:rPr>
          <w:rStyle w:val="FootnoteReference"/>
          <w:rFonts w:ascii="Times New Roman" w:hAnsi="Times New Roman" w:cs="Times New Roman"/>
          <w:sz w:val="22"/>
          <w:szCs w:val="22"/>
          <w:lang w:val="fr-FR"/>
        </w:rPr>
        <w:footnoteReference w:id="6"/>
      </w:r>
      <w:r w:rsidRPr="004E1403">
        <w:rPr>
          <w:rFonts w:ascii="Times New Roman" w:hAnsi="Times New Roman" w:cs="Times New Roman"/>
          <w:sz w:val="22"/>
          <w:szCs w:val="22"/>
          <w:lang w:val="fr-FR"/>
        </w:rPr>
        <w:t xml:space="preserve"> Et la société — médias, institutions, internautes — doit s’en indigner avec la même intensité.</w:t>
      </w:r>
    </w:p>
    <w:p w14:paraId="40AABBC7" w14:textId="069A4E0E" w:rsidR="0001321C" w:rsidRPr="004E1403" w:rsidRDefault="00000000" w:rsidP="00CC1951">
      <w:pPr>
        <w:rPr>
          <w:rFonts w:ascii="Times New Roman" w:hAnsi="Times New Roman" w:cs="Times New Roman"/>
          <w:sz w:val="22"/>
          <w:szCs w:val="22"/>
          <w:lang w:val="fr-FR"/>
        </w:rPr>
      </w:pPr>
      <w:r w:rsidRPr="004E1403">
        <w:rPr>
          <w:rFonts w:ascii="Times New Roman" w:hAnsi="Times New Roman" w:cs="Times New Roman"/>
          <w:b/>
          <w:bCs/>
          <w:color w:val="1F3864"/>
          <w:sz w:val="22"/>
          <w:szCs w:val="22"/>
          <w:lang w:val="fr-FR"/>
        </w:rPr>
        <w:t>Un poids, deux mesures</w:t>
      </w:r>
      <w:r w:rsidR="00CC1951">
        <w:rPr>
          <w:rFonts w:ascii="Times New Roman" w:hAnsi="Times New Roman" w:cs="Times New Roman"/>
          <w:b/>
          <w:bCs/>
          <w:color w:val="1F3864"/>
          <w:sz w:val="22"/>
          <w:szCs w:val="22"/>
          <w:lang w:val="fr-FR"/>
        </w:rPr>
        <w:t> !</w:t>
      </w:r>
      <w:r w:rsidR="00CC1951">
        <w:rPr>
          <w:rFonts w:ascii="Times New Roman" w:hAnsi="Times New Roman" w:cs="Times New Roman"/>
          <w:sz w:val="22"/>
          <w:szCs w:val="22"/>
          <w:lang w:val="fr-FR"/>
        </w:rPr>
        <w:t xml:space="preserve"> </w:t>
      </w:r>
      <w:r w:rsidRPr="004E1403">
        <w:rPr>
          <w:rFonts w:ascii="Times New Roman" w:hAnsi="Times New Roman" w:cs="Times New Roman"/>
          <w:b/>
          <w:bCs/>
          <w:sz w:val="22"/>
          <w:szCs w:val="22"/>
          <w:lang w:val="fr-FR"/>
        </w:rPr>
        <w:t>Ce n’est pas de la justice. C’est le reflet de nos angles morts collectifs.</w:t>
      </w:r>
    </w:p>
    <w:p w14:paraId="70F294E9" w14:textId="32B9A491" w:rsidR="0001321C" w:rsidRDefault="00000000">
      <w:pPr>
        <w:spacing w:after="280"/>
        <w:rPr>
          <w:rFonts w:ascii="Times New Roman" w:hAnsi="Times New Roman" w:cs="Times New Roman"/>
          <w:b/>
          <w:bCs/>
          <w:color w:val="000000" w:themeColor="text1"/>
          <w:sz w:val="22"/>
          <w:szCs w:val="22"/>
          <w:lang w:val="fr-FR"/>
        </w:rPr>
      </w:pPr>
      <w:r w:rsidRPr="00CC1951">
        <w:rPr>
          <w:rFonts w:ascii="Times New Roman" w:hAnsi="Times New Roman" w:cs="Times New Roman"/>
          <w:b/>
          <w:bCs/>
          <w:color w:val="000000" w:themeColor="text1"/>
          <w:sz w:val="22"/>
          <w:szCs w:val="22"/>
          <w:lang w:val="fr-FR"/>
        </w:rPr>
        <w:t>Il est temps de les regarder en face</w:t>
      </w:r>
      <w:r w:rsidR="00CC1951">
        <w:rPr>
          <w:rFonts w:ascii="Times New Roman" w:hAnsi="Times New Roman" w:cs="Times New Roman"/>
          <w:b/>
          <w:bCs/>
          <w:color w:val="000000" w:themeColor="text1"/>
          <w:sz w:val="22"/>
          <w:szCs w:val="22"/>
          <w:lang w:val="fr-FR"/>
        </w:rPr>
        <w:t> !</w:t>
      </w:r>
    </w:p>
    <w:p w14:paraId="423E566A" w14:textId="296AC0B1" w:rsidR="00CC1951" w:rsidRPr="00CC1951" w:rsidRDefault="00CC1951" w:rsidP="00CC1951">
      <w:pPr>
        <w:rPr>
          <w:rFonts w:ascii="Times New Roman" w:hAnsi="Times New Roman" w:cs="Times New Roman"/>
          <w:color w:val="000000" w:themeColor="text1"/>
          <w:sz w:val="22"/>
          <w:szCs w:val="22"/>
          <w:lang w:val="fr-FR"/>
        </w:rPr>
      </w:pPr>
      <w:r>
        <w:rPr>
          <w:rFonts w:ascii="Times New Roman" w:hAnsi="Times New Roman" w:cs="Times New Roman"/>
          <w:b/>
          <w:bCs/>
          <w:color w:val="000000" w:themeColor="text1"/>
          <w:sz w:val="22"/>
          <w:szCs w:val="22"/>
          <w:lang w:val="fr-FR"/>
        </w:rPr>
        <w:t xml:space="preserve">PS : </w:t>
      </w:r>
      <w:r w:rsidRPr="00CC1951">
        <w:rPr>
          <w:rFonts w:ascii="Times New Roman" w:hAnsi="Times New Roman" w:cs="Times New Roman"/>
          <w:i/>
          <w:iCs/>
          <w:color w:val="000000" w:themeColor="text1"/>
          <w:sz w:val="22"/>
          <w:szCs w:val="22"/>
          <w:lang w:val="fr-FR"/>
        </w:rPr>
        <w:t>Cet article ne vise pas à minimiser l’un ou l’autre des comportements décrits, ni à protéger qui que ce soit. Il vise à pointer l’incohérence de nos réactions collectives — parce que c’est précisément dans cette incohérence que vit le préjugé.</w:t>
      </w:r>
    </w:p>
    <w:sectPr w:rsidR="00CC1951" w:rsidRPr="00CC195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B444" w14:textId="77777777" w:rsidR="00561FB8" w:rsidRDefault="00561FB8">
      <w:r>
        <w:separator/>
      </w:r>
    </w:p>
  </w:endnote>
  <w:endnote w:type="continuationSeparator" w:id="0">
    <w:p w14:paraId="3E49F322" w14:textId="77777777" w:rsidR="00561FB8" w:rsidRDefault="0056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87A1" w14:textId="77777777" w:rsidR="0001321C" w:rsidRDefault="00000000">
    <w:pPr>
      <w:pBdr>
        <w:top w:val="single" w:sz="6" w:space="1" w:color="CCCCCC"/>
      </w:pBdr>
      <w:jc w:val="center"/>
    </w:pPr>
    <w:r>
      <w:rPr>
        <w:color w:val="888888"/>
        <w:sz w:val="18"/>
        <w:szCs w:val="18"/>
      </w:rPr>
      <w:t xml:space="preserve">Page </w:t>
    </w:r>
    <w:r>
      <w:fldChar w:fldCharType="begin"/>
    </w:r>
    <w:r>
      <w:instrText>PAGE</w:instrText>
    </w:r>
    <w:r>
      <w:fldChar w:fldCharType="separate"/>
    </w:r>
    <w:r w:rsidR="007C45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D2C2" w14:textId="77777777" w:rsidR="00561FB8" w:rsidRDefault="00561FB8">
      <w:r>
        <w:separator/>
      </w:r>
    </w:p>
  </w:footnote>
  <w:footnote w:type="continuationSeparator" w:id="0">
    <w:p w14:paraId="2A599B90" w14:textId="77777777" w:rsidR="00561FB8" w:rsidRDefault="00561FB8">
      <w:r>
        <w:continuationSeparator/>
      </w:r>
    </w:p>
  </w:footnote>
  <w:footnote w:id="1">
    <w:p w14:paraId="6F85CE23" w14:textId="1ADF7F24" w:rsidR="005121E2" w:rsidRPr="009F33D8" w:rsidRDefault="005121E2" w:rsidP="005C561F">
      <w:pPr>
        <w:pStyle w:val="FootnoteText"/>
        <w:rPr>
          <w:rFonts w:ascii="Times New Roman" w:hAnsi="Times New Roman" w:cs="Times New Roman"/>
          <w:sz w:val="18"/>
          <w:szCs w:val="18"/>
          <w:lang w:val="fr-FR"/>
        </w:rPr>
      </w:pPr>
      <w:r w:rsidRPr="009F33D8">
        <w:rPr>
          <w:rStyle w:val="FootnoteReference"/>
          <w:rFonts w:ascii="Times New Roman" w:hAnsi="Times New Roman" w:cs="Times New Roman"/>
          <w:sz w:val="18"/>
          <w:szCs w:val="18"/>
        </w:rPr>
        <w:footnoteRef/>
      </w:r>
      <w:r w:rsidRPr="009F33D8">
        <w:rPr>
          <w:rFonts w:ascii="Times New Roman" w:hAnsi="Times New Roman" w:cs="Times New Roman"/>
          <w:sz w:val="18"/>
          <w:szCs w:val="18"/>
          <w:lang w:val="fr-FR"/>
        </w:rPr>
        <w:t xml:space="preserve"> </w:t>
      </w:r>
      <w:r w:rsidR="005C561F" w:rsidRPr="009F33D8">
        <w:rPr>
          <w:rFonts w:ascii="Times New Roman" w:hAnsi="Times New Roman" w:cs="Times New Roman"/>
          <w:sz w:val="18"/>
          <w:szCs w:val="18"/>
          <w:lang w:val="fr-FR"/>
        </w:rPr>
        <w:t>Code criminel (L.R.C. (1985), ch. C-46), art</w:t>
      </w:r>
      <w:hyperlink r:id="rId1" w:anchor="docCont:~:text=Incitation%20publique%20%C3%A0,par%20proc%C3%A9dure%20sommaire." w:history="1">
        <w:r w:rsidR="005C561F" w:rsidRPr="009F33D8">
          <w:rPr>
            <w:rStyle w:val="Hyperlink"/>
            <w:rFonts w:ascii="Times New Roman" w:hAnsi="Times New Roman" w:cs="Times New Roman"/>
            <w:sz w:val="18"/>
            <w:szCs w:val="18"/>
            <w:lang w:val="fr-FR"/>
          </w:rPr>
          <w:t>. 319(1)</w:t>
        </w:r>
      </w:hyperlink>
      <w:r w:rsidR="005C561F" w:rsidRPr="009F33D8">
        <w:rPr>
          <w:rFonts w:ascii="Times New Roman" w:hAnsi="Times New Roman" w:cs="Times New Roman"/>
          <w:sz w:val="18"/>
          <w:szCs w:val="18"/>
          <w:lang w:val="fr-FR"/>
        </w:rPr>
        <w:t xml:space="preserve"> : « Quiconque, par la communication de déclarations en un endroit public, incite à la haine contre un groupe identifiable, lorsqu’une telle incitation est susceptible d’entraîner une violation de la paix, est coupable : a) soit d’un acte criminel et passible d’un emprisonnement maximal de deux </w:t>
      </w:r>
      <w:proofErr w:type="gramStart"/>
      <w:r w:rsidR="005C561F" w:rsidRPr="009F33D8">
        <w:rPr>
          <w:rFonts w:ascii="Times New Roman" w:hAnsi="Times New Roman" w:cs="Times New Roman"/>
          <w:sz w:val="18"/>
          <w:szCs w:val="18"/>
          <w:lang w:val="fr-FR"/>
        </w:rPr>
        <w:t>ans;</w:t>
      </w:r>
      <w:proofErr w:type="gramEnd"/>
      <w:r w:rsidR="005C561F" w:rsidRPr="009F33D8">
        <w:rPr>
          <w:rFonts w:ascii="Times New Roman" w:hAnsi="Times New Roman" w:cs="Times New Roman"/>
          <w:sz w:val="18"/>
          <w:szCs w:val="18"/>
          <w:lang w:val="fr-FR"/>
        </w:rPr>
        <w:t xml:space="preserve"> b) soit d’une infraction punissable sur déclaration de culpabilité par procédure sommaire. »</w:t>
      </w:r>
    </w:p>
  </w:footnote>
  <w:footnote w:id="2">
    <w:p w14:paraId="1CB3B5BA" w14:textId="29DB9409" w:rsidR="005C561F" w:rsidRPr="009F33D8" w:rsidRDefault="000C4E87" w:rsidP="005C561F">
      <w:pPr>
        <w:rPr>
          <w:rFonts w:ascii="Times New Roman" w:hAnsi="Times New Roman" w:cs="Times New Roman"/>
          <w:lang w:val="fr-FR"/>
        </w:rPr>
      </w:pPr>
      <w:r w:rsidRPr="009F33D8">
        <w:rPr>
          <w:rStyle w:val="FootnoteReference"/>
          <w:rFonts w:ascii="Times New Roman" w:hAnsi="Times New Roman" w:cs="Times New Roman"/>
          <w:sz w:val="18"/>
          <w:szCs w:val="18"/>
        </w:rPr>
        <w:footnoteRef/>
      </w:r>
      <w:r w:rsidR="005C561F" w:rsidRPr="009F33D8">
        <w:rPr>
          <w:rFonts w:ascii="Times New Roman" w:hAnsi="Times New Roman" w:cs="Times New Roman"/>
          <w:sz w:val="18"/>
          <w:szCs w:val="18"/>
          <w:lang w:val="fr-FR"/>
        </w:rPr>
        <w:t xml:space="preserve"> </w:t>
      </w:r>
      <w:proofErr w:type="spellStart"/>
      <w:r w:rsidR="005C561F" w:rsidRPr="009F33D8">
        <w:rPr>
          <w:rFonts w:ascii="Times New Roman" w:hAnsi="Times New Roman" w:cs="Times New Roman"/>
          <w:sz w:val="18"/>
          <w:szCs w:val="18"/>
          <w:lang w:val="fr-FR"/>
        </w:rPr>
        <w:t>Ibid</w:t>
      </w:r>
      <w:proofErr w:type="spellEnd"/>
      <w:r w:rsidRPr="009F33D8">
        <w:rPr>
          <w:rFonts w:ascii="Times New Roman" w:hAnsi="Times New Roman" w:cs="Times New Roman"/>
          <w:sz w:val="18"/>
          <w:szCs w:val="18"/>
          <w:lang w:val="fr-FR"/>
        </w:rPr>
        <w:t xml:space="preserve"> 318 (1) </w:t>
      </w:r>
      <w:hyperlink r:id="rId2" w:anchor="docCont:~:text=(4)%C2%A0Au,Version%20pr%C3%A9c%C3%A9dente" w:history="1">
        <w:r w:rsidRPr="009F33D8">
          <w:rPr>
            <w:rStyle w:val="Hyperlink"/>
            <w:rFonts w:ascii="Times New Roman" w:hAnsi="Times New Roman" w:cs="Times New Roman"/>
            <w:sz w:val="18"/>
            <w:szCs w:val="18"/>
            <w:lang w:val="fr-FR"/>
          </w:rPr>
          <w:t>4</w:t>
        </w:r>
      </w:hyperlink>
      <w:r w:rsidR="005C561F" w:rsidRPr="009F33D8">
        <w:rPr>
          <w:rFonts w:ascii="Times New Roman" w:hAnsi="Times New Roman" w:cs="Times New Roman"/>
          <w:sz w:val="18"/>
          <w:szCs w:val="18"/>
          <w:lang w:val="fr-FR"/>
        </w:rPr>
        <w:t xml:space="preserve"> </w:t>
      </w:r>
      <w:r w:rsidR="005C561F" w:rsidRPr="009F33D8">
        <w:rPr>
          <w:rFonts w:ascii="Times New Roman" w:hAnsi="Times New Roman" w:cs="Times New Roman"/>
          <w:sz w:val="18"/>
          <w:szCs w:val="18"/>
          <w:lang w:val="fr-FR"/>
        </w:rPr>
        <w:t xml:space="preserve">définition de « groupe identifiable » — toute section du public qui se différencie des autres par la couleur, la race, la religion, l’origine nationale ou ethnique, l’âge, le sexe, l’orientation sexuelle, l’identité ou l’expression de genre, ou la déficience mentale ou physique. Voir aussi : </w:t>
      </w:r>
      <w:proofErr w:type="spellStart"/>
      <w:r w:rsidR="005C561F" w:rsidRPr="009F33D8">
        <w:rPr>
          <w:rFonts w:ascii="Times New Roman" w:hAnsi="Times New Roman" w:cs="Times New Roman"/>
          <w:sz w:val="18"/>
          <w:szCs w:val="18"/>
          <w:lang w:val="fr-FR"/>
        </w:rPr>
        <w:t>HabiloMédias</w:t>
      </w:r>
      <w:proofErr w:type="spellEnd"/>
      <w:r w:rsidR="005C561F" w:rsidRPr="009F33D8">
        <w:rPr>
          <w:rFonts w:ascii="Times New Roman" w:hAnsi="Times New Roman" w:cs="Times New Roman"/>
          <w:sz w:val="18"/>
          <w:szCs w:val="18"/>
          <w:lang w:val="fr-FR"/>
        </w:rPr>
        <w:t>, « Propagande haineuse et législation canadienne », habilomedias.ca.</w:t>
      </w:r>
    </w:p>
    <w:p w14:paraId="7C1DC875" w14:textId="354F60A3" w:rsidR="000C4E87" w:rsidRPr="005C561F" w:rsidRDefault="000C4E87">
      <w:pPr>
        <w:pStyle w:val="FootnoteText"/>
        <w:rPr>
          <w:lang w:val="fr-FR"/>
        </w:rPr>
      </w:pPr>
    </w:p>
  </w:footnote>
  <w:footnote w:id="3">
    <w:p w14:paraId="16DAA345" w14:textId="2CF8B218" w:rsidR="009D593D" w:rsidRPr="008434B4" w:rsidRDefault="009D593D">
      <w:pPr>
        <w:pStyle w:val="FootnoteText"/>
        <w:rPr>
          <w:lang w:val="fr-FR"/>
        </w:rPr>
      </w:pPr>
      <w:r>
        <w:rPr>
          <w:rStyle w:val="FootnoteReference"/>
        </w:rPr>
        <w:footnoteRef/>
      </w:r>
      <w:r w:rsidRPr="008434B4">
        <w:rPr>
          <w:lang w:val="fr-FR"/>
        </w:rPr>
        <w:t xml:space="preserve"> </w:t>
      </w:r>
      <w:r w:rsidRPr="008434B4">
        <w:rPr>
          <w:lang w:val="fr-FR"/>
        </w:rPr>
        <w:t>1 SCR 214</w:t>
      </w:r>
    </w:p>
  </w:footnote>
  <w:footnote w:id="4">
    <w:p w14:paraId="0370A571" w14:textId="77777777" w:rsidR="007258C1" w:rsidRPr="008434B4" w:rsidRDefault="007258C1" w:rsidP="007258C1">
      <w:pPr>
        <w:pStyle w:val="FootnoteText"/>
        <w:rPr>
          <w:lang w:val="fr-FR"/>
        </w:rPr>
      </w:pPr>
      <w:r>
        <w:rPr>
          <w:rStyle w:val="FootnoteReference"/>
        </w:rPr>
        <w:footnoteRef/>
      </w:r>
      <w:r w:rsidRPr="008434B4">
        <w:rPr>
          <w:lang w:val="fr-FR"/>
        </w:rPr>
        <w:t xml:space="preserve"> 3 SCR 697.</w:t>
      </w:r>
    </w:p>
  </w:footnote>
  <w:footnote w:id="5">
    <w:p w14:paraId="4A938293" w14:textId="7043E766" w:rsidR="008434B4" w:rsidRPr="008434B4" w:rsidRDefault="008434B4">
      <w:pPr>
        <w:pStyle w:val="FootnoteText"/>
        <w:rPr>
          <w:lang w:val="fr-FR"/>
        </w:rPr>
      </w:pPr>
      <w:r>
        <w:rPr>
          <w:rStyle w:val="FootnoteReference"/>
        </w:rPr>
        <w:footnoteRef/>
      </w:r>
      <w:r w:rsidRPr="008434B4">
        <w:rPr>
          <w:lang w:val="fr-FR"/>
        </w:rPr>
        <w:t xml:space="preserve"> </w:t>
      </w:r>
      <w:r w:rsidRPr="004A0E4E">
        <w:rPr>
          <w:sz w:val="18"/>
          <w:szCs w:val="18"/>
          <w:lang w:val="fr-FR"/>
        </w:rPr>
        <w:t>Ministère de la Justice du Canada, « Lutte contre les discours et les crimes haineux », justice.gc.ca. Voir également : Bibliothèque du Parlement, Résumé législatif du projet de loi C-36 (propagande haineuse, crimes haineux et discours haineux), 2021, no 43-2-C36-F.</w:t>
      </w:r>
    </w:p>
  </w:footnote>
  <w:footnote w:id="6">
    <w:p w14:paraId="65FDD915" w14:textId="0B876B6A" w:rsidR="008434B4" w:rsidRPr="008434B4" w:rsidRDefault="008434B4">
      <w:pPr>
        <w:pStyle w:val="FootnoteText"/>
        <w:rPr>
          <w:lang w:val="fr-FR"/>
        </w:rPr>
      </w:pPr>
      <w:r>
        <w:rPr>
          <w:rStyle w:val="FootnoteReference"/>
        </w:rPr>
        <w:footnoteRef/>
      </w:r>
      <w:r w:rsidRPr="008434B4">
        <w:rPr>
          <w:lang w:val="fr-FR"/>
        </w:rPr>
        <w:t xml:space="preserve"> </w:t>
      </w:r>
      <w:r w:rsidRPr="004A0E4E">
        <w:rPr>
          <w:sz w:val="18"/>
          <w:szCs w:val="18"/>
          <w:lang w:val="fr-FR"/>
        </w:rPr>
        <w:t>Commission des droits de la personne et des droits de la jeunesse (CDPDJ), « Incitation à la discrimination et à la haine » : « La propagande haineuse porte atteinte à la dignité et à l’estime de soi des membres du groupe cible et, d’une façon plus générale, contribue à semer la discorde entre différents groupes raciaux, culturels et religieux, minant ainsi la tolérance et l’ouverture d’esprit qui doivent fleurir dans une société multiculturelle. » cdpdj.qc.ca.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1490" w14:textId="27872C4B" w:rsidR="0001321C" w:rsidRPr="007C4543" w:rsidRDefault="007C4543" w:rsidP="007C4543">
    <w:pPr>
      <w:pStyle w:val="Heading1"/>
      <w:jc w:val="center"/>
      <w:rPr>
        <w:lang w:val="fr-FR"/>
      </w:rPr>
    </w:pPr>
    <w:r w:rsidRPr="007C4543">
      <w:rPr>
        <w:sz w:val="40"/>
        <w:szCs w:val="40"/>
        <w:lang w:val="fr-FR"/>
      </w:rPr>
      <w:t>Un poids, deux mesures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BF4"/>
    <w:multiLevelType w:val="hybridMultilevel"/>
    <w:tmpl w:val="A0B4A818"/>
    <w:lvl w:ilvl="0" w:tplc="1C9E24F8">
      <w:start w:val="1"/>
      <w:numFmt w:val="bullet"/>
      <w:lvlText w:val="●"/>
      <w:lvlJc w:val="left"/>
      <w:pPr>
        <w:ind w:left="720" w:hanging="360"/>
      </w:pPr>
    </w:lvl>
    <w:lvl w:ilvl="1" w:tplc="97B0D32C">
      <w:start w:val="1"/>
      <w:numFmt w:val="bullet"/>
      <w:lvlText w:val="○"/>
      <w:lvlJc w:val="left"/>
      <w:pPr>
        <w:ind w:left="1440" w:hanging="360"/>
      </w:pPr>
    </w:lvl>
    <w:lvl w:ilvl="2" w:tplc="DB62DB12">
      <w:start w:val="1"/>
      <w:numFmt w:val="bullet"/>
      <w:lvlText w:val="■"/>
      <w:lvlJc w:val="left"/>
      <w:pPr>
        <w:ind w:left="2160" w:hanging="360"/>
      </w:pPr>
    </w:lvl>
    <w:lvl w:ilvl="3" w:tplc="C4882504">
      <w:start w:val="1"/>
      <w:numFmt w:val="bullet"/>
      <w:lvlText w:val="●"/>
      <w:lvlJc w:val="left"/>
      <w:pPr>
        <w:ind w:left="2880" w:hanging="360"/>
      </w:pPr>
    </w:lvl>
    <w:lvl w:ilvl="4" w:tplc="820A5C02">
      <w:start w:val="1"/>
      <w:numFmt w:val="bullet"/>
      <w:lvlText w:val="○"/>
      <w:lvlJc w:val="left"/>
      <w:pPr>
        <w:ind w:left="3600" w:hanging="360"/>
      </w:pPr>
    </w:lvl>
    <w:lvl w:ilvl="5" w:tplc="15E8E18C">
      <w:start w:val="1"/>
      <w:numFmt w:val="bullet"/>
      <w:lvlText w:val="■"/>
      <w:lvlJc w:val="left"/>
      <w:pPr>
        <w:ind w:left="4320" w:hanging="360"/>
      </w:pPr>
    </w:lvl>
    <w:lvl w:ilvl="6" w:tplc="3936165E">
      <w:start w:val="1"/>
      <w:numFmt w:val="bullet"/>
      <w:lvlText w:val="●"/>
      <w:lvlJc w:val="left"/>
      <w:pPr>
        <w:ind w:left="5040" w:hanging="360"/>
      </w:pPr>
    </w:lvl>
    <w:lvl w:ilvl="7" w:tplc="714AAEDC">
      <w:start w:val="1"/>
      <w:numFmt w:val="bullet"/>
      <w:lvlText w:val="●"/>
      <w:lvlJc w:val="left"/>
      <w:pPr>
        <w:ind w:left="5760" w:hanging="360"/>
      </w:pPr>
    </w:lvl>
    <w:lvl w:ilvl="8" w:tplc="9FDAF522">
      <w:start w:val="1"/>
      <w:numFmt w:val="bullet"/>
      <w:lvlText w:val="●"/>
      <w:lvlJc w:val="left"/>
      <w:pPr>
        <w:ind w:left="6480" w:hanging="360"/>
      </w:pPr>
    </w:lvl>
  </w:abstractNum>
  <w:num w:numId="1" w16cid:durableId="13269776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1C"/>
    <w:rsid w:val="0001321C"/>
    <w:rsid w:val="000C4E87"/>
    <w:rsid w:val="002D7733"/>
    <w:rsid w:val="00313AF3"/>
    <w:rsid w:val="00395E1D"/>
    <w:rsid w:val="004624E6"/>
    <w:rsid w:val="004E1403"/>
    <w:rsid w:val="004F0368"/>
    <w:rsid w:val="005121E2"/>
    <w:rsid w:val="00561FB8"/>
    <w:rsid w:val="005C561F"/>
    <w:rsid w:val="006006A9"/>
    <w:rsid w:val="007258C1"/>
    <w:rsid w:val="007C4543"/>
    <w:rsid w:val="007F7160"/>
    <w:rsid w:val="008434B4"/>
    <w:rsid w:val="00984ED4"/>
    <w:rsid w:val="00992A0A"/>
    <w:rsid w:val="009D593D"/>
    <w:rsid w:val="009F33D8"/>
    <w:rsid w:val="00A739DD"/>
    <w:rsid w:val="00BE0F13"/>
    <w:rsid w:val="00C618C1"/>
    <w:rsid w:val="00C9595D"/>
    <w:rsid w:val="00CC1951"/>
    <w:rsid w:val="00D5661C"/>
    <w:rsid w:val="00F170F5"/>
    <w:rsid w:val="00FF7D6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6A2E7A"/>
  <w15:docId w15:val="{3DDEE125-091D-1444-8D7B-D333912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6"/>
      <w:szCs w:val="36"/>
    </w:rPr>
  </w:style>
  <w:style w:type="paragraph" w:styleId="Heading2">
    <w:name w:val="heading 2"/>
    <w:uiPriority w:val="9"/>
    <w:unhideWhenUsed/>
    <w:qFormat/>
    <w:pPr>
      <w:spacing w:before="280" w:after="140"/>
      <w:outlineLvl w:val="1"/>
    </w:pPr>
    <w:rPr>
      <w:b/>
      <w:bCs/>
      <w:color w:val="2E5FA3"/>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C4543"/>
    <w:pPr>
      <w:tabs>
        <w:tab w:val="center" w:pos="4680"/>
        <w:tab w:val="right" w:pos="9360"/>
      </w:tabs>
    </w:pPr>
  </w:style>
  <w:style w:type="character" w:customStyle="1" w:styleId="HeaderChar">
    <w:name w:val="Header Char"/>
    <w:basedOn w:val="DefaultParagraphFont"/>
    <w:link w:val="Header"/>
    <w:uiPriority w:val="99"/>
    <w:rsid w:val="007C4543"/>
  </w:style>
  <w:style w:type="paragraph" w:styleId="Footer">
    <w:name w:val="footer"/>
    <w:basedOn w:val="Normal"/>
    <w:link w:val="FooterChar"/>
    <w:uiPriority w:val="99"/>
    <w:unhideWhenUsed/>
    <w:rsid w:val="007C4543"/>
    <w:pPr>
      <w:tabs>
        <w:tab w:val="center" w:pos="4680"/>
        <w:tab w:val="right" w:pos="9360"/>
      </w:tabs>
    </w:pPr>
  </w:style>
  <w:style w:type="character" w:customStyle="1" w:styleId="FooterChar">
    <w:name w:val="Footer Char"/>
    <w:basedOn w:val="DefaultParagraphFont"/>
    <w:link w:val="Footer"/>
    <w:uiPriority w:val="99"/>
    <w:rsid w:val="007C4543"/>
  </w:style>
  <w:style w:type="character" w:styleId="UnresolvedMention">
    <w:name w:val="Unresolved Mention"/>
    <w:basedOn w:val="DefaultParagraphFont"/>
    <w:uiPriority w:val="99"/>
    <w:semiHidden/>
    <w:unhideWhenUsed/>
    <w:rsid w:val="000C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0626">
      <w:bodyDiv w:val="1"/>
      <w:marLeft w:val="0"/>
      <w:marRight w:val="0"/>
      <w:marTop w:val="0"/>
      <w:marBottom w:val="0"/>
      <w:divBdr>
        <w:top w:val="none" w:sz="0" w:space="0" w:color="auto"/>
        <w:left w:val="none" w:sz="0" w:space="0" w:color="auto"/>
        <w:bottom w:val="none" w:sz="0" w:space="0" w:color="auto"/>
        <w:right w:val="none" w:sz="0" w:space="0" w:color="auto"/>
      </w:divBdr>
    </w:div>
    <w:div w:id="875772832">
      <w:bodyDiv w:val="1"/>
      <w:marLeft w:val="0"/>
      <w:marRight w:val="0"/>
      <w:marTop w:val="0"/>
      <w:marBottom w:val="0"/>
      <w:divBdr>
        <w:top w:val="none" w:sz="0" w:space="0" w:color="auto"/>
        <w:left w:val="none" w:sz="0" w:space="0" w:color="auto"/>
        <w:bottom w:val="none" w:sz="0" w:space="0" w:color="auto"/>
        <w:right w:val="none" w:sz="0" w:space="0" w:color="auto"/>
      </w:divBdr>
    </w:div>
    <w:div w:id="114970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aws-lois.justice.gc.ca/fra/lois/c-46/page-45.html" TargetMode="External"/><Relationship Id="rId1" Type="http://schemas.openxmlformats.org/officeDocument/2006/relationships/hyperlink" Target="https://laws-lois.justice.gc.ca/fra/lois/c-46/page-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Alain Babineau</cp:lastModifiedBy>
  <cp:revision>8</cp:revision>
  <dcterms:created xsi:type="dcterms:W3CDTF">2026-04-22T18:11:00Z</dcterms:created>
  <dcterms:modified xsi:type="dcterms:W3CDTF">2026-04-22T20:44:00Z</dcterms:modified>
</cp:coreProperties>
</file>