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246"/>
        <w:gridCol w:w="344"/>
        <w:gridCol w:w="2350"/>
        <w:gridCol w:w="3402"/>
        <w:gridCol w:w="1988"/>
      </w:tblGrid>
      <w:tr w:rsidR="008F364A" w14:paraId="4B3A0A9F" w14:textId="77777777" w:rsidTr="008D18FC">
        <w:trPr>
          <w:trHeight w:val="248"/>
        </w:trPr>
        <w:tc>
          <w:tcPr>
            <w:tcW w:w="7372" w:type="dxa"/>
            <w:gridSpan w:val="5"/>
          </w:tcPr>
          <w:p w14:paraId="59BB7272" w14:textId="7DE6C5BE" w:rsidR="008F364A" w:rsidRPr="00134721" w:rsidRDefault="00134721" w:rsidP="00134721">
            <w:pPr>
              <w:pStyle w:val="zSoquijdatRepertorie"/>
              <w:rPr>
                <w:rFonts w:cs="Arial"/>
              </w:rPr>
            </w:pPr>
            <w:r>
              <w:rPr>
                <w:rFonts w:cs="Arial"/>
              </w:rPr>
              <w:t>Haroch c. Banque Toronto-Dominion</w:t>
            </w:r>
          </w:p>
        </w:tc>
        <w:tc>
          <w:tcPr>
            <w:tcW w:w="1988" w:type="dxa"/>
          </w:tcPr>
          <w:p w14:paraId="07225596" w14:textId="3FF049D9" w:rsidR="008F364A" w:rsidRPr="00D54F23" w:rsidRDefault="00D54F23" w:rsidP="00D54F23">
            <w:pPr>
              <w:pStyle w:val="zSoquijdatRefNeutre"/>
              <w:jc w:val="right"/>
              <w:rPr>
                <w:rFonts w:cs="Arial"/>
              </w:rPr>
            </w:pPr>
            <w:r w:rsidRPr="00D54F23">
              <w:rPr>
                <w:rFonts w:cs="Arial"/>
              </w:rPr>
              <w:t>2026 QCCA 700</w:t>
            </w:r>
          </w:p>
        </w:tc>
      </w:tr>
      <w:tr w:rsidR="008F364A" w14:paraId="4A8B67EF" w14:textId="77777777" w:rsidTr="008D18FC">
        <w:trPr>
          <w:trHeight w:val="247"/>
        </w:trPr>
        <w:tc>
          <w:tcPr>
            <w:tcW w:w="9360" w:type="dxa"/>
            <w:gridSpan w:val="6"/>
          </w:tcPr>
          <w:p w14:paraId="0CB65945" w14:textId="77777777" w:rsidR="008F364A" w:rsidRDefault="00740A17">
            <w:pPr>
              <w:pStyle w:val="zSoquijlblCour"/>
            </w:pPr>
            <w:r>
              <w:t>COUR D’APPEL</w:t>
            </w:r>
          </w:p>
        </w:tc>
      </w:tr>
      <w:tr w:rsidR="008F364A" w14:paraId="014F83C5" w14:textId="77777777" w:rsidTr="008D18FC">
        <w:trPr>
          <w:trHeight w:val="540"/>
        </w:trPr>
        <w:tc>
          <w:tcPr>
            <w:tcW w:w="9360" w:type="dxa"/>
            <w:gridSpan w:val="6"/>
          </w:tcPr>
          <w:p w14:paraId="611F1AAF" w14:textId="77777777" w:rsidR="008F364A" w:rsidRDefault="008F364A">
            <w:pPr>
              <w:pStyle w:val="zSoquijdatDivision"/>
            </w:pPr>
          </w:p>
        </w:tc>
      </w:tr>
      <w:tr w:rsidR="008F364A" w14:paraId="34CC7582" w14:textId="77777777" w:rsidTr="008D18FC">
        <w:tc>
          <w:tcPr>
            <w:tcW w:w="9360" w:type="dxa"/>
            <w:gridSpan w:val="6"/>
          </w:tcPr>
          <w:p w14:paraId="627EC806" w14:textId="77777777" w:rsidR="008F364A" w:rsidRDefault="00740A17">
            <w:pPr>
              <w:pStyle w:val="zSoquijlblPays"/>
            </w:pPr>
            <w:r>
              <w:t>CANADA</w:t>
            </w:r>
          </w:p>
        </w:tc>
      </w:tr>
      <w:tr w:rsidR="008F364A" w14:paraId="73132A54" w14:textId="77777777" w:rsidTr="008D18FC">
        <w:tc>
          <w:tcPr>
            <w:tcW w:w="9360" w:type="dxa"/>
            <w:gridSpan w:val="6"/>
          </w:tcPr>
          <w:p w14:paraId="22C4CDAD" w14:textId="77777777" w:rsidR="008F364A" w:rsidRDefault="00740A17">
            <w:pPr>
              <w:pStyle w:val="zSoquijlblProvince"/>
            </w:pPr>
            <w:r>
              <w:t>PROVINCE DE QUÉBEC</w:t>
            </w:r>
          </w:p>
        </w:tc>
      </w:tr>
      <w:tr w:rsidR="008F364A" w14:paraId="2CE1C31D" w14:textId="77777777" w:rsidTr="00AE1B6D">
        <w:tc>
          <w:tcPr>
            <w:tcW w:w="1276" w:type="dxa"/>
            <w:gridSpan w:val="2"/>
          </w:tcPr>
          <w:p w14:paraId="414BD978" w14:textId="77777777" w:rsidR="008F364A" w:rsidRDefault="008E5E9D">
            <w:pPr>
              <w:pStyle w:val="zSoquijlblGreffe"/>
            </w:pPr>
            <w:r w:rsidRPr="008E5E9D">
              <w:t>SIÈGE</w:t>
            </w:r>
            <w:r w:rsidR="00740A17">
              <w:t xml:space="preserve"> DE</w:t>
            </w:r>
          </w:p>
          <w:p w14:paraId="15E29B4D" w14:textId="77777777" w:rsidR="008F364A" w:rsidRDefault="008F364A">
            <w:pPr>
              <w:pStyle w:val="zSoquijlblGreffe"/>
            </w:pPr>
          </w:p>
        </w:tc>
        <w:tc>
          <w:tcPr>
            <w:tcW w:w="8084" w:type="dxa"/>
            <w:gridSpan w:val="4"/>
          </w:tcPr>
          <w:p w14:paraId="316C901F" w14:textId="42C7D65D" w:rsidR="008F364A" w:rsidRDefault="00C05650" w:rsidP="00AE1B6D">
            <w:pPr>
              <w:pStyle w:val="zSoquijdatGreffe"/>
              <w:ind w:left="-22"/>
            </w:pPr>
            <w:bookmarkStart w:id="0" w:name="NomGreffe"/>
            <w:r>
              <w:t>MONTRÉAL</w:t>
            </w:r>
            <w:bookmarkEnd w:id="0"/>
          </w:p>
        </w:tc>
      </w:tr>
      <w:tr w:rsidR="008F364A" w14:paraId="7B1E76BD" w14:textId="77777777" w:rsidTr="008D18FC">
        <w:tc>
          <w:tcPr>
            <w:tcW w:w="1030" w:type="dxa"/>
          </w:tcPr>
          <w:p w14:paraId="6C06FECF" w14:textId="77777777" w:rsidR="008F364A" w:rsidRDefault="00740A17">
            <w:pPr>
              <w:pStyle w:val="zSoquijlblNoDossier"/>
            </w:pPr>
            <w:r>
              <w:t>N° :</w:t>
            </w:r>
          </w:p>
        </w:tc>
        <w:tc>
          <w:tcPr>
            <w:tcW w:w="8330" w:type="dxa"/>
            <w:gridSpan w:val="5"/>
          </w:tcPr>
          <w:p w14:paraId="636A2BC8" w14:textId="0CA3F8F1" w:rsidR="008F364A" w:rsidRDefault="00C05650">
            <w:pPr>
              <w:pStyle w:val="zSoquijdatNoDossier"/>
            </w:pPr>
            <w:bookmarkStart w:id="1" w:name="NoDossier"/>
            <w:r>
              <w:t>500-09-031259-245</w:t>
            </w:r>
            <w:bookmarkEnd w:id="1"/>
          </w:p>
        </w:tc>
      </w:tr>
      <w:tr w:rsidR="00C05650" w14:paraId="211E84C7" w14:textId="77777777" w:rsidTr="008D18FC">
        <w:tc>
          <w:tcPr>
            <w:tcW w:w="9360" w:type="dxa"/>
            <w:gridSpan w:val="6"/>
          </w:tcPr>
          <w:p w14:paraId="738DC72A" w14:textId="2AD89D23" w:rsidR="00C05650" w:rsidRDefault="00C05650" w:rsidP="00C05650">
            <w:pPr>
              <w:pStyle w:val="zSoquijdatNoDossierAnt"/>
            </w:pPr>
            <w:r>
              <w:t>(500-06-001166-210)</w:t>
            </w:r>
          </w:p>
        </w:tc>
      </w:tr>
      <w:tr w:rsidR="008F364A" w14:paraId="4A8860EF" w14:textId="77777777" w:rsidTr="008D18FC">
        <w:tc>
          <w:tcPr>
            <w:tcW w:w="9360" w:type="dxa"/>
            <w:gridSpan w:val="6"/>
          </w:tcPr>
          <w:p w14:paraId="5ABE1DC1" w14:textId="77777777" w:rsidR="008F364A" w:rsidRDefault="008F364A"/>
        </w:tc>
      </w:tr>
      <w:tr w:rsidR="008F364A" w14:paraId="632C971A" w14:textId="77777777" w:rsidTr="008D18FC">
        <w:tc>
          <w:tcPr>
            <w:tcW w:w="1030" w:type="dxa"/>
          </w:tcPr>
          <w:p w14:paraId="6CFB9946" w14:textId="77777777" w:rsidR="008F364A" w:rsidRDefault="00740A17">
            <w:pPr>
              <w:pStyle w:val="zSoquijlblDateJugement"/>
            </w:pPr>
            <w:r>
              <w:t>DATE :</w:t>
            </w:r>
          </w:p>
        </w:tc>
        <w:tc>
          <w:tcPr>
            <w:tcW w:w="8330" w:type="dxa"/>
            <w:gridSpan w:val="5"/>
          </w:tcPr>
          <w:p w14:paraId="0B33F437" w14:textId="67FBFF26" w:rsidR="008F364A" w:rsidRPr="00C51F5A" w:rsidRDefault="00C51F5A">
            <w:pPr>
              <w:pStyle w:val="zSoquijdatDateJugement"/>
            </w:pPr>
            <w:r>
              <w:t>25 mai 2026</w:t>
            </w:r>
          </w:p>
        </w:tc>
      </w:tr>
      <w:tr w:rsidR="008F364A" w14:paraId="63856054" w14:textId="77777777" w:rsidTr="008D18FC">
        <w:tc>
          <w:tcPr>
            <w:tcW w:w="9360" w:type="dxa"/>
            <w:gridSpan w:val="6"/>
            <w:tcBorders>
              <w:bottom w:val="single" w:sz="8" w:space="0" w:color="auto"/>
            </w:tcBorders>
          </w:tcPr>
          <w:p w14:paraId="40ADB855" w14:textId="77777777" w:rsidR="008F364A" w:rsidRDefault="008F364A"/>
        </w:tc>
      </w:tr>
      <w:tr w:rsidR="008F364A" w14:paraId="7ACEE855" w14:textId="77777777" w:rsidTr="008D18FC">
        <w:tc>
          <w:tcPr>
            <w:tcW w:w="9360" w:type="dxa"/>
            <w:gridSpan w:val="6"/>
            <w:tcBorders>
              <w:top w:val="single" w:sz="8" w:space="0" w:color="auto"/>
            </w:tcBorders>
          </w:tcPr>
          <w:p w14:paraId="0ECD7359" w14:textId="77777777" w:rsidR="008F364A" w:rsidRDefault="008F364A"/>
        </w:tc>
      </w:tr>
      <w:tr w:rsidR="008F364A" w:rsidRPr="00180615" w14:paraId="5F9E45AA" w14:textId="77777777" w:rsidTr="008D18FC">
        <w:tc>
          <w:tcPr>
            <w:tcW w:w="1620" w:type="dxa"/>
            <w:gridSpan w:val="3"/>
          </w:tcPr>
          <w:p w14:paraId="6EB3FE43" w14:textId="77777777" w:rsidR="008F364A" w:rsidRDefault="00B70485" w:rsidP="00423DF1">
            <w:pPr>
              <w:pStyle w:val="zSoquijlblJuge"/>
              <w:ind w:right="-142"/>
            </w:pPr>
            <w:bookmarkStart w:id="2" w:name="FORMATION"/>
            <w:r>
              <w:t>FORMATION</w:t>
            </w:r>
            <w:r w:rsidR="00B513C9">
              <w:t> </w:t>
            </w:r>
            <w:r w:rsidR="00740A17">
              <w:t>:</w:t>
            </w:r>
            <w:bookmarkEnd w:id="2"/>
          </w:p>
        </w:tc>
        <w:tc>
          <w:tcPr>
            <w:tcW w:w="2350" w:type="dxa"/>
          </w:tcPr>
          <w:p w14:paraId="0A2E3413" w14:textId="77777777" w:rsidR="008F364A" w:rsidRDefault="00740A17">
            <w:pPr>
              <w:pStyle w:val="zSoquijdatQteJuge"/>
            </w:pPr>
            <w:bookmarkStart w:id="3" w:name="Honorables"/>
            <w:r>
              <w:t>LES HONORABLES</w:t>
            </w:r>
            <w:bookmarkEnd w:id="3"/>
          </w:p>
        </w:tc>
        <w:tc>
          <w:tcPr>
            <w:tcW w:w="5390" w:type="dxa"/>
            <w:gridSpan w:val="2"/>
          </w:tcPr>
          <w:p w14:paraId="29906763" w14:textId="01A199CE" w:rsidR="008F364A" w:rsidRDefault="00C05650">
            <w:pPr>
              <w:pStyle w:val="zSoquijdatJuge"/>
            </w:pPr>
            <w:bookmarkStart w:id="4" w:name="NomJuge1"/>
            <w:r>
              <w:t>MARTIN VAUCLAIR, J.C.A.</w:t>
            </w:r>
            <w:bookmarkEnd w:id="4"/>
          </w:p>
          <w:p w14:paraId="23DB1A6E" w14:textId="2EF8F387" w:rsidR="008F364A" w:rsidRPr="00C05650" w:rsidRDefault="00C05650">
            <w:pPr>
              <w:pStyle w:val="zSoquijdatJuge"/>
              <w:rPr>
                <w:lang w:val="en-CA"/>
              </w:rPr>
            </w:pPr>
            <w:bookmarkStart w:id="5" w:name="NomJuge2"/>
            <w:r w:rsidRPr="00C05650">
              <w:rPr>
                <w:lang w:val="en-CA"/>
              </w:rPr>
              <w:t>MARK SCHRAGER, J.C.A.</w:t>
            </w:r>
            <w:bookmarkEnd w:id="5"/>
          </w:p>
          <w:p w14:paraId="12E7BF30" w14:textId="59CAC60B" w:rsidR="005A78BF" w:rsidRDefault="00C05650" w:rsidP="00C05650">
            <w:pPr>
              <w:pStyle w:val="zSoquijdatJuge"/>
              <w:rPr>
                <w:lang w:val="de-DE"/>
              </w:rPr>
            </w:pPr>
            <w:bookmarkStart w:id="6" w:name="_Hlt520513784"/>
            <w:bookmarkStart w:id="7" w:name="NomJuge3"/>
            <w:bookmarkEnd w:id="6"/>
            <w:r w:rsidRPr="00C05650">
              <w:rPr>
                <w:lang w:val="en-CA"/>
              </w:rPr>
              <w:t>STEPHEN W. HAMILTON, J.C.A.</w:t>
            </w:r>
            <w:bookmarkEnd w:id="7"/>
          </w:p>
        </w:tc>
      </w:tr>
      <w:tr w:rsidR="008F364A" w:rsidRPr="00180615" w14:paraId="11885CE2" w14:textId="77777777" w:rsidTr="008D18FC">
        <w:tc>
          <w:tcPr>
            <w:tcW w:w="9360" w:type="dxa"/>
            <w:gridSpan w:val="6"/>
            <w:tcBorders>
              <w:bottom w:val="single" w:sz="8" w:space="0" w:color="auto"/>
            </w:tcBorders>
          </w:tcPr>
          <w:p w14:paraId="55E3718F" w14:textId="77777777" w:rsidR="008F364A" w:rsidRDefault="008F364A">
            <w:pPr>
              <w:rPr>
                <w:lang w:val="de-DE"/>
              </w:rPr>
            </w:pPr>
          </w:p>
        </w:tc>
      </w:tr>
      <w:tr w:rsidR="008F364A" w:rsidRPr="00180615" w14:paraId="7AE2EDAA" w14:textId="77777777" w:rsidTr="008D18FC">
        <w:tc>
          <w:tcPr>
            <w:tcW w:w="9360" w:type="dxa"/>
            <w:gridSpan w:val="6"/>
          </w:tcPr>
          <w:p w14:paraId="37600D17" w14:textId="77777777" w:rsidR="008F364A" w:rsidRDefault="008F364A">
            <w:pPr>
              <w:pStyle w:val="zSoquijlblTitrePartie"/>
              <w:rPr>
                <w:lang w:val="de-DE"/>
              </w:rPr>
            </w:pPr>
          </w:p>
        </w:tc>
      </w:tr>
      <w:tr w:rsidR="008F364A" w14:paraId="04D9A978" w14:textId="77777777" w:rsidTr="008D18FC">
        <w:tc>
          <w:tcPr>
            <w:tcW w:w="9360" w:type="dxa"/>
            <w:gridSpan w:val="6"/>
          </w:tcPr>
          <w:p w14:paraId="6EC48971" w14:textId="24FD3D36" w:rsidR="008F364A" w:rsidRDefault="00C05650" w:rsidP="00BE3A42">
            <w:pPr>
              <w:pStyle w:val="zSoquijdatNomPartieDem"/>
              <w:rPr>
                <w:lang w:val="de-DE"/>
              </w:rPr>
            </w:pPr>
            <w:r>
              <w:t>KATY HAROCH</w:t>
            </w:r>
          </w:p>
        </w:tc>
      </w:tr>
      <w:tr w:rsidR="00BE3A42" w14:paraId="5473BC64" w14:textId="77777777" w:rsidTr="008D18FC">
        <w:tc>
          <w:tcPr>
            <w:tcW w:w="9360" w:type="dxa"/>
            <w:gridSpan w:val="6"/>
          </w:tcPr>
          <w:p w14:paraId="2241E17A" w14:textId="2121B3D9" w:rsidR="00BE3A42" w:rsidRDefault="00BE3A42" w:rsidP="00BE3A42">
            <w:pPr>
              <w:pStyle w:val="zSoquijdatNomPartieDem"/>
            </w:pPr>
            <w:r>
              <w:t>CLAUDE VAILLANCOURT</w:t>
            </w:r>
          </w:p>
        </w:tc>
      </w:tr>
      <w:tr w:rsidR="008F364A" w14:paraId="18BD6087" w14:textId="77777777" w:rsidTr="008D18FC">
        <w:tc>
          <w:tcPr>
            <w:tcW w:w="9360" w:type="dxa"/>
            <w:gridSpan w:val="6"/>
          </w:tcPr>
          <w:p w14:paraId="2D4705FC" w14:textId="6291ACBD" w:rsidR="008F364A" w:rsidRDefault="009E0066">
            <w:pPr>
              <w:pStyle w:val="zSoquijdatQtePartieDem"/>
              <w:rPr>
                <w:lang w:val="de-DE"/>
              </w:rPr>
            </w:pPr>
            <w:r>
              <w:t>APPELANTS – demandeurs</w:t>
            </w:r>
          </w:p>
        </w:tc>
      </w:tr>
      <w:tr w:rsidR="008F364A" w14:paraId="3709C9D5" w14:textId="77777777" w:rsidTr="008D18FC">
        <w:tc>
          <w:tcPr>
            <w:tcW w:w="9360" w:type="dxa"/>
            <w:gridSpan w:val="6"/>
          </w:tcPr>
          <w:p w14:paraId="342CD590" w14:textId="77777777" w:rsidR="008F364A" w:rsidRDefault="00740A17">
            <w:pPr>
              <w:pStyle w:val="zSoquijlblLienParties"/>
              <w:rPr>
                <w:lang w:val="en-CA"/>
              </w:rPr>
            </w:pPr>
            <w:r>
              <w:rPr>
                <w:lang w:val="en-CA"/>
              </w:rPr>
              <w:t>c.</w:t>
            </w:r>
          </w:p>
        </w:tc>
      </w:tr>
      <w:tr w:rsidR="008F364A" w14:paraId="06099F43" w14:textId="77777777" w:rsidTr="008D18FC">
        <w:tc>
          <w:tcPr>
            <w:tcW w:w="9360" w:type="dxa"/>
            <w:gridSpan w:val="6"/>
          </w:tcPr>
          <w:p w14:paraId="0D90C606" w14:textId="77777777" w:rsidR="008F364A" w:rsidRDefault="008F364A">
            <w:pPr>
              <w:rPr>
                <w:lang w:val="en-CA"/>
              </w:rPr>
            </w:pPr>
          </w:p>
        </w:tc>
      </w:tr>
      <w:tr w:rsidR="008F364A" w14:paraId="4B736357" w14:textId="77777777" w:rsidTr="008D18FC">
        <w:tc>
          <w:tcPr>
            <w:tcW w:w="9360" w:type="dxa"/>
            <w:gridSpan w:val="6"/>
          </w:tcPr>
          <w:p w14:paraId="3A2F80F7" w14:textId="48A2633D" w:rsidR="008F364A" w:rsidRDefault="00B70B08">
            <w:pPr>
              <w:pStyle w:val="zSoquijdatNomPartieDef"/>
              <w:rPr>
                <w:lang w:val="en-CA"/>
              </w:rPr>
            </w:pPr>
            <w:r>
              <w:t>BANQUE</w:t>
            </w:r>
            <w:r w:rsidR="009E0066">
              <w:t xml:space="preserve"> TORONTO-DOMINION </w:t>
            </w:r>
          </w:p>
        </w:tc>
      </w:tr>
      <w:tr w:rsidR="009E0066" w14:paraId="2260DB70" w14:textId="77777777" w:rsidTr="008D18FC">
        <w:tc>
          <w:tcPr>
            <w:tcW w:w="9360" w:type="dxa"/>
            <w:gridSpan w:val="6"/>
          </w:tcPr>
          <w:p w14:paraId="2066CA05" w14:textId="7ACCD794" w:rsidR="009E0066" w:rsidRDefault="009E0066">
            <w:pPr>
              <w:pStyle w:val="zSoquijdatNomPartieDef"/>
            </w:pPr>
            <w:r>
              <w:t>BANQUE NATIONALE DU CANADA</w:t>
            </w:r>
          </w:p>
        </w:tc>
      </w:tr>
      <w:tr w:rsidR="009E0066" w14:paraId="554E0C7A" w14:textId="77777777" w:rsidTr="008D18FC">
        <w:tc>
          <w:tcPr>
            <w:tcW w:w="9360" w:type="dxa"/>
            <w:gridSpan w:val="6"/>
          </w:tcPr>
          <w:p w14:paraId="7006F0BA" w14:textId="4CCF0CA3" w:rsidR="009E0066" w:rsidRDefault="009E0066">
            <w:pPr>
              <w:pStyle w:val="zSoquijdatNomPartieDef"/>
            </w:pPr>
            <w:r>
              <w:t>BANQUE ROYALE DU CANADA</w:t>
            </w:r>
            <w:r w:rsidR="00B86426">
              <w:t xml:space="preserve"> (et pour BANQUE </w:t>
            </w:r>
            <w:r w:rsidR="00B70B08">
              <w:t xml:space="preserve">HSBC </w:t>
            </w:r>
            <w:r w:rsidR="00B86426">
              <w:t>CANADA résultant d’une fusion)</w:t>
            </w:r>
          </w:p>
        </w:tc>
      </w:tr>
      <w:tr w:rsidR="009E0066" w14:paraId="174C2342" w14:textId="77777777" w:rsidTr="008D18FC">
        <w:tc>
          <w:tcPr>
            <w:tcW w:w="9360" w:type="dxa"/>
            <w:gridSpan w:val="6"/>
          </w:tcPr>
          <w:p w14:paraId="1BAB5798" w14:textId="468040CF" w:rsidR="009E0066" w:rsidRDefault="009E0066">
            <w:pPr>
              <w:pStyle w:val="zSoquijdatNomPartieDef"/>
            </w:pPr>
            <w:r>
              <w:t>BANQUE DE MONTRÉAL</w:t>
            </w:r>
          </w:p>
        </w:tc>
      </w:tr>
      <w:tr w:rsidR="009E0066" w14:paraId="5FA62FAE" w14:textId="77777777" w:rsidTr="008D18FC">
        <w:tc>
          <w:tcPr>
            <w:tcW w:w="9360" w:type="dxa"/>
            <w:gridSpan w:val="6"/>
          </w:tcPr>
          <w:p w14:paraId="3EE483EF" w14:textId="280323AB" w:rsidR="009E0066" w:rsidRDefault="000930FB">
            <w:pPr>
              <w:pStyle w:val="zSoquijdatNomPartieDef"/>
            </w:pPr>
            <w:r>
              <w:t xml:space="preserve">LA </w:t>
            </w:r>
            <w:r w:rsidR="009E0066">
              <w:t>BANQUE DE NOUVELLE</w:t>
            </w:r>
            <w:r w:rsidR="00C51F5A">
              <w:t>-</w:t>
            </w:r>
            <w:r w:rsidR="009E0066">
              <w:t>ÉCOSSE</w:t>
            </w:r>
          </w:p>
        </w:tc>
      </w:tr>
      <w:tr w:rsidR="009E0066" w14:paraId="07C5A1D6" w14:textId="77777777" w:rsidTr="008D18FC">
        <w:tc>
          <w:tcPr>
            <w:tcW w:w="9360" w:type="dxa"/>
            <w:gridSpan w:val="6"/>
          </w:tcPr>
          <w:p w14:paraId="035C5215" w14:textId="536E3088" w:rsidR="009E0066" w:rsidRDefault="009E0066">
            <w:pPr>
              <w:pStyle w:val="zSoquijdatNomPartieDef"/>
            </w:pPr>
            <w:r>
              <w:t>BANQUE LAURENTIENNE DU CANADA</w:t>
            </w:r>
          </w:p>
        </w:tc>
      </w:tr>
      <w:tr w:rsidR="009E0066" w14:paraId="58DC2855" w14:textId="77777777" w:rsidTr="008D18FC">
        <w:tc>
          <w:tcPr>
            <w:tcW w:w="9360" w:type="dxa"/>
            <w:gridSpan w:val="6"/>
          </w:tcPr>
          <w:p w14:paraId="135C5957" w14:textId="2298FA50" w:rsidR="009E0066" w:rsidRDefault="009E0066">
            <w:pPr>
              <w:pStyle w:val="zSoquijdatNomPartieDef"/>
            </w:pPr>
            <w:r>
              <w:t>FÉDÉRATION DES CAISSES DESJARDINS DU QUÉBEC</w:t>
            </w:r>
          </w:p>
        </w:tc>
      </w:tr>
      <w:tr w:rsidR="009E0066" w14:paraId="47EA6750" w14:textId="77777777" w:rsidTr="008D18FC">
        <w:tc>
          <w:tcPr>
            <w:tcW w:w="9360" w:type="dxa"/>
            <w:gridSpan w:val="6"/>
          </w:tcPr>
          <w:p w14:paraId="66F45EEC" w14:textId="38B0BD9A" w:rsidR="009E0066" w:rsidRDefault="009E0066">
            <w:pPr>
              <w:pStyle w:val="zSoquijdatNomPartieDef"/>
            </w:pPr>
            <w:r>
              <w:t>CAISSES DESJARDINS</w:t>
            </w:r>
            <w:r w:rsidR="00BE3A42">
              <w:t xml:space="preserve"> (liste en annexe)</w:t>
            </w:r>
          </w:p>
        </w:tc>
      </w:tr>
      <w:tr w:rsidR="008F364A" w14:paraId="1499A817" w14:textId="77777777" w:rsidTr="008D18FC">
        <w:tc>
          <w:tcPr>
            <w:tcW w:w="9360" w:type="dxa"/>
            <w:gridSpan w:val="6"/>
          </w:tcPr>
          <w:p w14:paraId="24B6D1C1" w14:textId="7C2B177B" w:rsidR="008F364A" w:rsidRDefault="009E0066">
            <w:pPr>
              <w:pStyle w:val="zSoquijdatQtePartieDef"/>
              <w:rPr>
                <w:lang w:val="en-CA"/>
              </w:rPr>
            </w:pPr>
            <w:r>
              <w:t>INTIMÉES – défenderesses</w:t>
            </w:r>
          </w:p>
        </w:tc>
      </w:tr>
      <w:tr w:rsidR="008F364A" w14:paraId="4DCA384E" w14:textId="77777777" w:rsidTr="008D18FC">
        <w:tc>
          <w:tcPr>
            <w:tcW w:w="9360" w:type="dxa"/>
            <w:gridSpan w:val="6"/>
          </w:tcPr>
          <w:p w14:paraId="65D23F10" w14:textId="77777777" w:rsidR="008F364A" w:rsidRDefault="008F364A">
            <w:pPr>
              <w:rPr>
                <w:lang w:val="en-CA"/>
              </w:rPr>
            </w:pPr>
          </w:p>
        </w:tc>
      </w:tr>
      <w:tr w:rsidR="008F364A" w14:paraId="40359766" w14:textId="77777777" w:rsidTr="008D18FC">
        <w:tc>
          <w:tcPr>
            <w:tcW w:w="9360" w:type="dxa"/>
            <w:gridSpan w:val="6"/>
            <w:tcBorders>
              <w:top w:val="single" w:sz="8" w:space="0" w:color="auto"/>
            </w:tcBorders>
          </w:tcPr>
          <w:p w14:paraId="61DEECF7" w14:textId="77777777" w:rsidR="008F364A" w:rsidRDefault="008F364A">
            <w:pPr>
              <w:rPr>
                <w:lang w:val="en-CA"/>
              </w:rPr>
            </w:pPr>
            <w:bookmarkStart w:id="8" w:name="Arret"/>
          </w:p>
        </w:tc>
      </w:tr>
      <w:tr w:rsidR="008F364A" w14:paraId="423EEBAD" w14:textId="77777777" w:rsidTr="008D18FC">
        <w:tc>
          <w:tcPr>
            <w:tcW w:w="9360" w:type="dxa"/>
            <w:gridSpan w:val="6"/>
          </w:tcPr>
          <w:p w14:paraId="62FDEB76" w14:textId="060BBCBE" w:rsidR="008F364A" w:rsidRDefault="00C05650">
            <w:pPr>
              <w:pStyle w:val="zSoquijlblTypeDocument"/>
            </w:pPr>
            <w:bookmarkStart w:id="9" w:name="TitreDocument"/>
            <w:r>
              <w:t>ARRÊT</w:t>
            </w:r>
            <w:bookmarkEnd w:id="9"/>
          </w:p>
        </w:tc>
      </w:tr>
      <w:tr w:rsidR="008F364A" w14:paraId="07E80732" w14:textId="77777777" w:rsidTr="008D18FC">
        <w:tc>
          <w:tcPr>
            <w:tcW w:w="9360" w:type="dxa"/>
            <w:gridSpan w:val="6"/>
            <w:tcBorders>
              <w:bottom w:val="single" w:sz="8" w:space="0" w:color="auto"/>
            </w:tcBorders>
          </w:tcPr>
          <w:p w14:paraId="02E43593" w14:textId="77777777" w:rsidR="008F364A" w:rsidRDefault="008F364A"/>
        </w:tc>
      </w:tr>
      <w:tr w:rsidR="008F364A" w14:paraId="2D55FA05" w14:textId="77777777" w:rsidTr="008D18FC">
        <w:tc>
          <w:tcPr>
            <w:tcW w:w="9360" w:type="dxa"/>
            <w:gridSpan w:val="6"/>
            <w:tcBorders>
              <w:top w:val="single" w:sz="8" w:space="0" w:color="auto"/>
            </w:tcBorders>
          </w:tcPr>
          <w:p w14:paraId="6B68C4E2" w14:textId="77777777" w:rsidR="008F364A" w:rsidRDefault="008F364A"/>
        </w:tc>
      </w:tr>
    </w:tbl>
    <w:p w14:paraId="6A7DD7C3" w14:textId="77777777" w:rsidR="00411979" w:rsidRDefault="00411979" w:rsidP="00BB23CD">
      <w:pPr>
        <w:pStyle w:val="JgtParagraphe"/>
        <w:numPr>
          <w:ilvl w:val="0"/>
          <w:numId w:val="18"/>
        </w:numPr>
        <w:spacing w:line="240" w:lineRule="auto"/>
      </w:pPr>
      <w:r>
        <w:t>L</w:t>
      </w:r>
      <w:r w:rsidRPr="00B93056">
        <w:t>es appelants demandent l’autorisation d’exercer une action collective co</w:t>
      </w:r>
      <w:r>
        <w:t>ntre les institutions financières intimées pour leur réclamer l</w:t>
      </w:r>
      <w:r w:rsidRPr="00B93056">
        <w:t>es frais de remboursement anticipé</w:t>
      </w:r>
      <w:r>
        <w:t xml:space="preserve"> (</w:t>
      </w:r>
      <w:r w:rsidRPr="00264F96">
        <w:rPr>
          <w:b/>
          <w:bCs/>
        </w:rPr>
        <w:t>FRA</w:t>
      </w:r>
      <w:r>
        <w:t>),</w:t>
      </w:r>
      <w:r w:rsidRPr="00B93056">
        <w:t xml:space="preserve"> </w:t>
      </w:r>
      <w:r>
        <w:t xml:space="preserve">calculés </w:t>
      </w:r>
      <w:r w:rsidRPr="00B93056">
        <w:t xml:space="preserve">selon </w:t>
      </w:r>
      <w:r>
        <w:t>la</w:t>
      </w:r>
      <w:r w:rsidRPr="00B93056">
        <w:t xml:space="preserve"> </w:t>
      </w:r>
      <w:r w:rsidRPr="00B56044">
        <w:t>formule du différentiel</w:t>
      </w:r>
      <w:r w:rsidRPr="00B93056">
        <w:t xml:space="preserve"> de taux d’intérêt </w:t>
      </w:r>
      <w:r>
        <w:t>(</w:t>
      </w:r>
      <w:r w:rsidRPr="00F76348">
        <w:rPr>
          <w:b/>
          <w:bCs/>
        </w:rPr>
        <w:t>DTI</w:t>
      </w:r>
      <w:r>
        <w:t xml:space="preserve">), qui leur ont été exigés lors du remboursement avant terme de leur prêt hypothécaire à taux fixe. En </w:t>
      </w:r>
      <w:r>
        <w:lastRenderedPageBreak/>
        <w:t>première instance, la Cour supérieure (l’honorable Christian Immer, maintenant à notre Cour) leur a refusé cette autorisation</w:t>
      </w:r>
      <w:r>
        <w:rPr>
          <w:rStyle w:val="Appelnotedebasdep"/>
        </w:rPr>
        <w:footnoteReference w:id="1"/>
      </w:r>
      <w:r>
        <w:t>.</w:t>
      </w:r>
    </w:p>
    <w:p w14:paraId="78CB3E9C" w14:textId="77777777" w:rsidR="00411979" w:rsidRDefault="00411979" w:rsidP="00BB23CD">
      <w:pPr>
        <w:pStyle w:val="JgtParagraphe"/>
        <w:numPr>
          <w:ilvl w:val="0"/>
          <w:numId w:val="18"/>
        </w:numPr>
        <w:spacing w:line="240" w:lineRule="auto"/>
      </w:pPr>
      <w:r>
        <w:t xml:space="preserve">La Cour accueille leur appel </w:t>
      </w:r>
      <w:r w:rsidRPr="003B7D58">
        <w:t>et autorise l’exercice de l’action collective</w:t>
      </w:r>
      <w:r>
        <w:t>.</w:t>
      </w:r>
    </w:p>
    <w:p w14:paraId="282DE0A8" w14:textId="77777777" w:rsidR="00411979" w:rsidRPr="00A014F8" w:rsidRDefault="00411979" w:rsidP="00BB23CD">
      <w:pPr>
        <w:pStyle w:val="JgtParagraphe"/>
        <w:tabs>
          <w:tab w:val="clear" w:pos="720"/>
        </w:tabs>
        <w:spacing w:line="240" w:lineRule="auto"/>
        <w:rPr>
          <w:b/>
          <w:bCs/>
          <w:lang w:val="en-CA"/>
        </w:rPr>
      </w:pPr>
      <w:r w:rsidRPr="00A014F8">
        <w:rPr>
          <w:b/>
          <w:bCs/>
          <w:lang w:val="en-CA"/>
        </w:rPr>
        <w:t>CONTEXT</w:t>
      </w:r>
      <w:r>
        <w:rPr>
          <w:b/>
          <w:bCs/>
          <w:lang w:val="en-CA"/>
        </w:rPr>
        <w:t>E</w:t>
      </w:r>
    </w:p>
    <w:p w14:paraId="03105BC9" w14:textId="77777777" w:rsidR="00411979" w:rsidRPr="00FC78A3" w:rsidRDefault="00411979" w:rsidP="00BB23CD">
      <w:pPr>
        <w:pStyle w:val="JgtParagraphe"/>
        <w:numPr>
          <w:ilvl w:val="0"/>
          <w:numId w:val="22"/>
        </w:numPr>
        <w:spacing w:line="240" w:lineRule="auto"/>
        <w:rPr>
          <w:i/>
          <w:iCs/>
        </w:rPr>
      </w:pPr>
      <w:r w:rsidRPr="00FC78A3">
        <w:rPr>
          <w:i/>
          <w:iCs/>
        </w:rPr>
        <w:t>L</w:t>
      </w:r>
      <w:r>
        <w:rPr>
          <w:i/>
          <w:iCs/>
        </w:rPr>
        <w:t>’</w:t>
      </w:r>
      <w:r w:rsidRPr="00FC78A3">
        <w:rPr>
          <w:i/>
          <w:iCs/>
        </w:rPr>
        <w:t>appelant</w:t>
      </w:r>
      <w:r>
        <w:rPr>
          <w:i/>
          <w:iCs/>
        </w:rPr>
        <w:t>e Katy Haroch</w:t>
      </w:r>
    </w:p>
    <w:p w14:paraId="259DDDD3" w14:textId="77777777" w:rsidR="00411979" w:rsidRDefault="00411979" w:rsidP="00BB23CD">
      <w:pPr>
        <w:pStyle w:val="JgtParagraphe"/>
        <w:numPr>
          <w:ilvl w:val="0"/>
          <w:numId w:val="18"/>
        </w:numPr>
        <w:spacing w:line="240" w:lineRule="auto"/>
      </w:pPr>
      <w:r>
        <w:t xml:space="preserve">En mars 2015, l’appelante </w:t>
      </w:r>
      <w:r w:rsidRPr="006A7ADA">
        <w:t xml:space="preserve">Katy Haroch </w:t>
      </w:r>
      <w:r>
        <w:t xml:space="preserve">convertit une portion de son prêt à taux variable auprès de </w:t>
      </w:r>
      <w:r w:rsidRPr="006A7ADA">
        <w:t>l</w:t>
      </w:r>
      <w:r>
        <w:t>’intimée la</w:t>
      </w:r>
      <w:r w:rsidRPr="006A7ADA">
        <w:t xml:space="preserve"> Banque Toronto-Dominion (</w:t>
      </w:r>
      <w:r>
        <w:t xml:space="preserve">la </w:t>
      </w:r>
      <w:r w:rsidRPr="00BA0428">
        <w:rPr>
          <w:b/>
          <w:bCs/>
        </w:rPr>
        <w:t>Banque TD</w:t>
      </w:r>
      <w:r w:rsidRPr="006A7ADA">
        <w:t>)</w:t>
      </w:r>
      <w:r>
        <w:t xml:space="preserve"> en</w:t>
      </w:r>
      <w:r w:rsidRPr="006A7ADA">
        <w:t xml:space="preserve"> prêt hypothécaire fermé </w:t>
      </w:r>
      <w:bookmarkStart w:id="10" w:name="_Hlk224052125"/>
      <w:r w:rsidRPr="006A7ADA">
        <w:t xml:space="preserve">à taux fixe </w:t>
      </w:r>
      <w:r>
        <w:t>d’</w:t>
      </w:r>
      <w:r w:rsidRPr="006A7ADA">
        <w:t xml:space="preserve">une durée de 5 ans. </w:t>
      </w:r>
      <w:r>
        <w:t>Le montant du prêt converti est de 378 </w:t>
      </w:r>
      <w:r w:rsidRPr="008B280D">
        <w:t>137,19</w:t>
      </w:r>
      <w:r>
        <w:t> $ et le taux d’intérêt convenu est de 2,74 %, ce qui représente un escompte de 2,00 % sur le taux affiché par la Banque TD à cette date</w:t>
      </w:r>
      <w:bookmarkEnd w:id="10"/>
      <w:r>
        <w:t xml:space="preserve">. </w:t>
      </w:r>
    </w:p>
    <w:p w14:paraId="3453BD26" w14:textId="77777777" w:rsidR="00411979" w:rsidRDefault="00411979" w:rsidP="00BB23CD">
      <w:pPr>
        <w:pStyle w:val="JgtParagraphe"/>
        <w:numPr>
          <w:ilvl w:val="0"/>
          <w:numId w:val="18"/>
        </w:numPr>
        <w:spacing w:line="240" w:lineRule="auto"/>
      </w:pPr>
      <w:r>
        <w:t>La convention</w:t>
      </w:r>
      <w:r w:rsidRPr="003B7D58">
        <w:rPr>
          <w:rStyle w:val="Appelnotedebasdep"/>
        </w:rPr>
        <w:footnoteReference w:id="2"/>
      </w:r>
      <w:r>
        <w:t xml:space="preserve"> </w:t>
      </w:r>
      <w:r w:rsidRPr="00167660">
        <w:t xml:space="preserve">donne </w:t>
      </w:r>
      <w:r>
        <w:t xml:space="preserve">à Haroch le </w:t>
      </w:r>
      <w:bookmarkStart w:id="11" w:name="_Hlk224218331"/>
      <w:r>
        <w:t>privilège d’effectuer sans frais certains remboursements par anticipation</w:t>
      </w:r>
      <w:bookmarkEnd w:id="11"/>
      <w:r>
        <w:t> :</w:t>
      </w:r>
    </w:p>
    <w:p w14:paraId="0B8C2EF4" w14:textId="77777777" w:rsidR="00411979" w:rsidRDefault="00411979" w:rsidP="00BB23CD">
      <w:pPr>
        <w:pStyle w:val="Citationenretrait"/>
        <w:spacing w:line="240" w:lineRule="auto"/>
        <w:rPr>
          <w:b/>
          <w:bCs/>
        </w:rPr>
      </w:pPr>
      <w:r w:rsidRPr="00224768">
        <w:rPr>
          <w:b/>
          <w:bCs/>
        </w:rPr>
        <w:t>Privil</w:t>
      </w:r>
      <w:r>
        <w:rPr>
          <w:b/>
          <w:bCs/>
        </w:rPr>
        <w:t>è</w:t>
      </w:r>
      <w:r w:rsidRPr="00224768">
        <w:rPr>
          <w:b/>
          <w:bCs/>
        </w:rPr>
        <w:t>ge de remboursement anticip</w:t>
      </w:r>
      <w:r>
        <w:rPr>
          <w:b/>
          <w:bCs/>
        </w:rPr>
        <w:t>é</w:t>
      </w:r>
    </w:p>
    <w:p w14:paraId="1BF1F972" w14:textId="77777777" w:rsidR="00411979" w:rsidRDefault="00411979" w:rsidP="00BB23CD">
      <w:pPr>
        <w:pStyle w:val="Citationenretrait"/>
        <w:spacing w:line="240" w:lineRule="auto"/>
      </w:pPr>
      <w:r w:rsidRPr="00224768">
        <w:t xml:space="preserve">Sans avoir </w:t>
      </w:r>
      <w:r>
        <w:t>à</w:t>
      </w:r>
      <w:r w:rsidRPr="00224768">
        <w:t xml:space="preserve"> nous payer de frais de remboursement anticip</w:t>
      </w:r>
      <w:r>
        <w:t>é</w:t>
      </w:r>
      <w:r w:rsidRPr="00224768">
        <w:t>, vous pouvez</w:t>
      </w:r>
      <w:r>
        <w:t> :</w:t>
      </w:r>
    </w:p>
    <w:p w14:paraId="2CFB43BC" w14:textId="77777777" w:rsidR="00411979" w:rsidRDefault="00411979" w:rsidP="00BB23CD">
      <w:pPr>
        <w:pStyle w:val="Citationenretrait"/>
        <w:numPr>
          <w:ilvl w:val="0"/>
          <w:numId w:val="21"/>
        </w:numPr>
        <w:spacing w:line="240" w:lineRule="auto"/>
      </w:pPr>
      <w:r w:rsidRPr="00224768">
        <w:t>pendant la dur</w:t>
      </w:r>
      <w:r>
        <w:t>é</w:t>
      </w:r>
      <w:r w:rsidRPr="00224768">
        <w:t xml:space="preserve">e de votre portion </w:t>
      </w:r>
      <w:r>
        <w:t>à</w:t>
      </w:r>
      <w:r w:rsidRPr="00224768">
        <w:t xml:space="preserve"> taux fixe, doubler votre paiement r</w:t>
      </w:r>
      <w:r>
        <w:t>é</w:t>
      </w:r>
      <w:r w:rsidRPr="00224768">
        <w:t>gulier</w:t>
      </w:r>
      <w:r>
        <w:t xml:space="preserve"> </w:t>
      </w:r>
      <w:r w:rsidRPr="00224768">
        <w:t xml:space="preserve">initial de la portion </w:t>
      </w:r>
      <w:r>
        <w:t>à</w:t>
      </w:r>
      <w:r w:rsidRPr="00224768">
        <w:t xml:space="preserve"> taux fixe;</w:t>
      </w:r>
    </w:p>
    <w:p w14:paraId="3E625B6A" w14:textId="77777777" w:rsidR="00411979" w:rsidRDefault="00411979" w:rsidP="00BB23CD">
      <w:pPr>
        <w:pStyle w:val="Citationenretrait"/>
        <w:numPr>
          <w:ilvl w:val="0"/>
          <w:numId w:val="21"/>
        </w:numPr>
        <w:spacing w:line="240" w:lineRule="auto"/>
      </w:pPr>
      <w:r>
        <w:t>à</w:t>
      </w:r>
      <w:r w:rsidRPr="00224768">
        <w:t xml:space="preserve"> chaque ann</w:t>
      </w:r>
      <w:r>
        <w:t>é</w:t>
      </w:r>
      <w:r w:rsidRPr="00224768">
        <w:t>e civile, effectuer un ou plusieurs paiements forfaitaires jusqu</w:t>
      </w:r>
      <w:r>
        <w:t xml:space="preserve">’à </w:t>
      </w:r>
      <w:r w:rsidRPr="00224768">
        <w:t xml:space="preserve">concurrence de </w:t>
      </w:r>
      <w:r w:rsidRPr="00224768">
        <w:rPr>
          <w:b/>
          <w:bCs/>
        </w:rPr>
        <w:t xml:space="preserve">15 % </w:t>
      </w:r>
      <w:r w:rsidRPr="00214498">
        <w:rPr>
          <w:b/>
          <w:bCs/>
        </w:rPr>
        <w:t>(57 000,00 $)</w:t>
      </w:r>
      <w:r w:rsidRPr="00224768">
        <w:t xml:space="preserve"> du montant en capital initial de la portion </w:t>
      </w:r>
      <w:r>
        <w:t>à</w:t>
      </w:r>
      <w:r w:rsidRPr="00224768">
        <w:t xml:space="preserve"> taux fixe en remboursement de votre solde impay</w:t>
      </w:r>
      <w:r>
        <w:t>é</w:t>
      </w:r>
      <w:r w:rsidRPr="00224768">
        <w:t>; et</w:t>
      </w:r>
    </w:p>
    <w:p w14:paraId="5E59BC5C" w14:textId="77777777" w:rsidR="00411979" w:rsidRPr="00224768" w:rsidRDefault="00411979" w:rsidP="00BB23CD">
      <w:pPr>
        <w:pStyle w:val="Citationenretrait"/>
        <w:numPr>
          <w:ilvl w:val="0"/>
          <w:numId w:val="21"/>
        </w:numPr>
        <w:spacing w:line="240" w:lineRule="auto"/>
      </w:pPr>
      <w:r w:rsidRPr="00224768">
        <w:t>modifier votre fr</w:t>
      </w:r>
      <w:r>
        <w:t>é</w:t>
      </w:r>
      <w:r w:rsidRPr="00224768">
        <w:t>quence de paiement en augmentant la fr</w:t>
      </w:r>
      <w:r>
        <w:t>é</w:t>
      </w:r>
      <w:r w:rsidRPr="00224768">
        <w:t>quence de vos</w:t>
      </w:r>
      <w:r>
        <w:t xml:space="preserve"> </w:t>
      </w:r>
      <w:r w:rsidRPr="00224768">
        <w:t>paiements.</w:t>
      </w:r>
    </w:p>
    <w:p w14:paraId="339C00DF" w14:textId="77777777" w:rsidR="00411979" w:rsidRDefault="00411979" w:rsidP="00BB23CD">
      <w:pPr>
        <w:pStyle w:val="JgtParagraphe"/>
        <w:numPr>
          <w:ilvl w:val="0"/>
          <w:numId w:val="18"/>
        </w:numPr>
        <w:spacing w:line="240" w:lineRule="auto"/>
      </w:pPr>
      <w:r>
        <w:t xml:space="preserve">Toutefois, si Haroch rembourse un montant supérieur à ce qui lui est permis au titre du privilège de remboursement anticipé, la convention prévoit </w:t>
      </w:r>
      <w:r w:rsidRPr="00167660">
        <w:t>qu’elle d</w:t>
      </w:r>
      <w:r>
        <w:t>evra</w:t>
      </w:r>
      <w:r w:rsidRPr="00167660">
        <w:t xml:space="preserve"> payer des FRA</w:t>
      </w:r>
      <w:r>
        <w:t xml:space="preserve"> correspondant au montant </w:t>
      </w:r>
      <w:r w:rsidRPr="00167660">
        <w:t>le plus élevé entre trois mois d’intérêt et le montant calculé selon la formule DTI</w:t>
      </w:r>
      <w:r>
        <w:t> :</w:t>
      </w:r>
    </w:p>
    <w:p w14:paraId="0E23A472" w14:textId="77777777" w:rsidR="00BB23CD" w:rsidRDefault="00BB23CD">
      <w:pPr>
        <w:spacing w:line="240" w:lineRule="auto"/>
        <w:rPr>
          <w:b/>
          <w:bCs/>
          <w:kern w:val="24"/>
          <w:sz w:val="22"/>
        </w:rPr>
      </w:pPr>
      <w:r>
        <w:rPr>
          <w:b/>
          <w:bCs/>
        </w:rPr>
        <w:br w:type="page"/>
      </w:r>
    </w:p>
    <w:p w14:paraId="02DA30A0" w14:textId="3D44A967" w:rsidR="00411979" w:rsidRPr="00F16BFC" w:rsidRDefault="00411979" w:rsidP="00BB23CD">
      <w:pPr>
        <w:pStyle w:val="Citationenretrait"/>
        <w:spacing w:line="240" w:lineRule="auto"/>
        <w:rPr>
          <w:b/>
          <w:bCs/>
        </w:rPr>
      </w:pPr>
      <w:r w:rsidRPr="007B749E">
        <w:rPr>
          <w:b/>
          <w:bCs/>
        </w:rPr>
        <w:lastRenderedPageBreak/>
        <w:t>Frais de remboursement anticipé</w:t>
      </w:r>
    </w:p>
    <w:p w14:paraId="078813CA" w14:textId="77777777" w:rsidR="00411979" w:rsidRPr="002A63DF" w:rsidRDefault="00411979" w:rsidP="00BB23CD">
      <w:pPr>
        <w:pStyle w:val="Citationenretrait"/>
        <w:spacing w:line="240" w:lineRule="auto"/>
      </w:pPr>
      <w:r w:rsidRPr="002A63DF">
        <w:t>Si vous payez un montant supérieur à ce que vous permet votre privilège de remboursement anticipé, vous devez nous payer des frais de remboursement anticipé d’un montant correspondant au plus élevé entre :</w:t>
      </w:r>
    </w:p>
    <w:p w14:paraId="0A6BDF91" w14:textId="77777777" w:rsidR="00411979" w:rsidRDefault="00411979" w:rsidP="00BB23CD">
      <w:pPr>
        <w:pStyle w:val="Citationenretrait"/>
        <w:numPr>
          <w:ilvl w:val="0"/>
          <w:numId w:val="19"/>
        </w:numPr>
        <w:spacing w:line="240" w:lineRule="auto"/>
      </w:pPr>
      <w:r w:rsidRPr="002A63DF">
        <w:t>trois (3) mois d’intérêt; et</w:t>
      </w:r>
    </w:p>
    <w:p w14:paraId="676C641A" w14:textId="77777777" w:rsidR="00411979" w:rsidRPr="002A63DF" w:rsidRDefault="00411979" w:rsidP="00BB23CD">
      <w:pPr>
        <w:pStyle w:val="Citationenretrait"/>
        <w:numPr>
          <w:ilvl w:val="0"/>
          <w:numId w:val="19"/>
        </w:numPr>
        <w:spacing w:line="240" w:lineRule="auto"/>
      </w:pPr>
      <w:r w:rsidRPr="002A63DF">
        <w:t>le montant différentiel du taux d’intérêt</w:t>
      </w:r>
      <w:r>
        <w:t> </w:t>
      </w:r>
      <w:r w:rsidRPr="002A63DF">
        <w:t>: soit le montant correspondant à la différence entre votre taux d’intérêt annuel et le taux d</w:t>
      </w:r>
      <w:r>
        <w:t>’</w:t>
      </w:r>
      <w:r w:rsidRPr="002A63DF">
        <w:t>intérêt affiché pour un prêt hypothécaire dont la durée se rapproche le plus du reste de la durée de votre prêt hypothécaire, déduction faite de tout escompte sur le taux que vous avez reçu, multiplié par le montant remboursé par anticipation et multiplié par la durée restante.</w:t>
      </w:r>
    </w:p>
    <w:p w14:paraId="4449315C" w14:textId="77777777" w:rsidR="00411979" w:rsidRDefault="00411979" w:rsidP="00BB23CD">
      <w:pPr>
        <w:pStyle w:val="Paragraphe"/>
        <w:spacing w:line="240" w:lineRule="auto"/>
        <w:rPr>
          <w:rFonts w:cs="Arial"/>
          <w:color w:val="000000"/>
          <w:szCs w:val="24"/>
          <w:lang w:eastAsia="en-US"/>
        </w:rPr>
      </w:pPr>
      <w:r>
        <w:rPr>
          <w:rFonts w:cs="Arial"/>
          <w:color w:val="000000"/>
          <w:szCs w:val="24"/>
          <w:lang w:eastAsia="en-US"/>
        </w:rPr>
        <w:t>La convention prévoit une méthode de calcul simplifiée qui permet d’approximer les FRA</w:t>
      </w:r>
      <w:r w:rsidRPr="002D264D">
        <w:rPr>
          <w:kern w:val="0"/>
        </w:rPr>
        <w:t xml:space="preserve"> </w:t>
      </w:r>
      <w:r w:rsidRPr="002D264D">
        <w:rPr>
          <w:rFonts w:cs="Arial"/>
          <w:color w:val="000000"/>
          <w:szCs w:val="24"/>
          <w:lang w:eastAsia="en-US"/>
        </w:rPr>
        <w:t>selon la formule DTI</w:t>
      </w:r>
      <w:r>
        <w:rPr>
          <w:rStyle w:val="Appelnotedebasdep"/>
          <w:rFonts w:cs="Arial"/>
          <w:color w:val="000000"/>
          <w:szCs w:val="24"/>
          <w:lang w:eastAsia="en-US"/>
        </w:rPr>
        <w:footnoteReference w:id="3"/>
      </w:r>
      <w:r>
        <w:rPr>
          <w:rFonts w:cs="Arial"/>
          <w:color w:val="000000"/>
          <w:szCs w:val="24"/>
          <w:lang w:eastAsia="en-US"/>
        </w:rPr>
        <w:t> :</w:t>
      </w:r>
    </w:p>
    <w:p w14:paraId="46F7694B" w14:textId="77777777" w:rsidR="00411979" w:rsidRPr="002C5AEA" w:rsidRDefault="00411979" w:rsidP="00BB23CD">
      <w:pPr>
        <w:pStyle w:val="Citationenretrait"/>
        <w:spacing w:line="240" w:lineRule="auto"/>
        <w:rPr>
          <w:sz w:val="18"/>
          <w:szCs w:val="18"/>
          <w:lang w:eastAsia="en-US"/>
        </w:rPr>
      </w:pPr>
      <w:r w:rsidRPr="002C5AEA">
        <w:rPr>
          <w:sz w:val="18"/>
          <w:szCs w:val="18"/>
          <w:lang w:eastAsia="en-US"/>
        </w:rPr>
        <w:t xml:space="preserve">Pour évaluer les frais de remboursement anticipé à l’aide du </w:t>
      </w:r>
      <w:r w:rsidRPr="002C5AEA">
        <w:rPr>
          <w:b/>
          <w:bCs/>
          <w:sz w:val="18"/>
          <w:szCs w:val="18"/>
          <w:lang w:eastAsia="en-US"/>
        </w:rPr>
        <w:t>montant des frais de différentiel d’intérêt</w:t>
      </w:r>
      <w:r w:rsidRPr="002C5AEA">
        <w:rPr>
          <w:sz w:val="18"/>
          <w:szCs w:val="18"/>
          <w:lang w:eastAsia="en-US"/>
        </w:rPr>
        <w:t xml:space="preserve"> : </w:t>
      </w:r>
    </w:p>
    <w:tbl>
      <w:tblPr>
        <w:tblStyle w:val="Grilledutableau"/>
        <w:tblW w:w="0" w:type="auto"/>
        <w:tblInd w:w="720" w:type="dxa"/>
        <w:tblLook w:val="04A0" w:firstRow="1" w:lastRow="0" w:firstColumn="1" w:lastColumn="0" w:noHBand="0" w:noVBand="1"/>
      </w:tblPr>
      <w:tblGrid>
        <w:gridCol w:w="976"/>
        <w:gridCol w:w="1134"/>
        <w:gridCol w:w="3828"/>
        <w:gridCol w:w="2126"/>
      </w:tblGrid>
      <w:tr w:rsidR="00411979" w:rsidRPr="003B7D58" w14:paraId="4A43C8BC" w14:textId="77777777" w:rsidTr="007A2AA4">
        <w:tc>
          <w:tcPr>
            <w:tcW w:w="976" w:type="dxa"/>
          </w:tcPr>
          <w:p w14:paraId="1C8F380B" w14:textId="77777777" w:rsidR="00411979" w:rsidRPr="003B7D58" w:rsidRDefault="00411979" w:rsidP="00BB23CD">
            <w:pPr>
              <w:pStyle w:val="Citationenretrait"/>
              <w:spacing w:before="40" w:after="40" w:line="240" w:lineRule="auto"/>
              <w:ind w:left="0"/>
              <w:rPr>
                <w:sz w:val="18"/>
                <w:szCs w:val="18"/>
                <w:lang w:eastAsia="en-US"/>
              </w:rPr>
            </w:pPr>
          </w:p>
        </w:tc>
        <w:tc>
          <w:tcPr>
            <w:tcW w:w="1134" w:type="dxa"/>
          </w:tcPr>
          <w:p w14:paraId="3D65B0A6" w14:textId="77777777" w:rsidR="00411979" w:rsidRPr="003B7D58" w:rsidRDefault="00411979" w:rsidP="00BB23CD">
            <w:pPr>
              <w:pStyle w:val="Citationenretrait"/>
              <w:spacing w:before="40" w:after="40" w:line="240" w:lineRule="auto"/>
              <w:ind w:left="0"/>
              <w:rPr>
                <w:sz w:val="18"/>
                <w:szCs w:val="18"/>
                <w:lang w:eastAsia="en-US"/>
              </w:rPr>
            </w:pPr>
          </w:p>
        </w:tc>
        <w:tc>
          <w:tcPr>
            <w:tcW w:w="3828" w:type="dxa"/>
          </w:tcPr>
          <w:p w14:paraId="0136A20E" w14:textId="77777777" w:rsidR="00411979" w:rsidRPr="003B7D58" w:rsidRDefault="00411979" w:rsidP="00BB23CD">
            <w:pPr>
              <w:pStyle w:val="Citationenretrait"/>
              <w:spacing w:before="40" w:after="40" w:line="240" w:lineRule="auto"/>
              <w:ind w:left="0"/>
              <w:rPr>
                <w:sz w:val="18"/>
                <w:szCs w:val="18"/>
                <w:lang w:eastAsia="en-US"/>
              </w:rPr>
            </w:pPr>
          </w:p>
        </w:tc>
        <w:tc>
          <w:tcPr>
            <w:tcW w:w="2126" w:type="dxa"/>
          </w:tcPr>
          <w:p w14:paraId="27F3AD15" w14:textId="77777777" w:rsidR="00411979" w:rsidRPr="003B7D58" w:rsidRDefault="00411979" w:rsidP="00BB23CD">
            <w:pPr>
              <w:pStyle w:val="Citationenretrait"/>
              <w:spacing w:before="40" w:after="40" w:line="240" w:lineRule="auto"/>
              <w:ind w:left="0" w:right="0"/>
              <w:jc w:val="center"/>
              <w:rPr>
                <w:sz w:val="18"/>
                <w:szCs w:val="18"/>
                <w:lang w:val="en-CA" w:eastAsia="en-US"/>
              </w:rPr>
            </w:pPr>
            <w:r w:rsidRPr="003B7D58">
              <w:rPr>
                <w:sz w:val="18"/>
                <w:szCs w:val="18"/>
                <w:lang w:val="en-CA" w:eastAsia="en-US"/>
              </w:rPr>
              <w:t>Exemple de calcul</w:t>
            </w:r>
          </w:p>
        </w:tc>
      </w:tr>
      <w:tr w:rsidR="00411979" w:rsidRPr="003B7D58" w14:paraId="5E9B94C9" w14:textId="77777777" w:rsidTr="007A2AA4">
        <w:tc>
          <w:tcPr>
            <w:tcW w:w="976" w:type="dxa"/>
          </w:tcPr>
          <w:p w14:paraId="2578ABED" w14:textId="77777777" w:rsidR="00411979" w:rsidRPr="003B7D58" w:rsidRDefault="00411979" w:rsidP="00BB23CD">
            <w:pPr>
              <w:pStyle w:val="Citationenretrait"/>
              <w:spacing w:before="40" w:after="40" w:line="240" w:lineRule="auto"/>
              <w:ind w:left="0" w:right="7"/>
              <w:rPr>
                <w:sz w:val="18"/>
                <w:szCs w:val="18"/>
                <w:lang w:val="en-CA" w:eastAsia="en-US"/>
              </w:rPr>
            </w:pPr>
            <w:r w:rsidRPr="003B7D58">
              <w:rPr>
                <w:sz w:val="18"/>
                <w:szCs w:val="18"/>
                <w:lang w:val="en-CA" w:eastAsia="en-US"/>
              </w:rPr>
              <w:t>Étape 1</w:t>
            </w:r>
          </w:p>
        </w:tc>
        <w:tc>
          <w:tcPr>
            <w:tcW w:w="1134" w:type="dxa"/>
          </w:tcPr>
          <w:p w14:paraId="21687A2B"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_____ (A)</w:t>
            </w:r>
          </w:p>
        </w:tc>
        <w:tc>
          <w:tcPr>
            <w:tcW w:w="3828" w:type="dxa"/>
          </w:tcPr>
          <w:p w14:paraId="402379A5"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taux d’intérêt annuel</w:t>
            </w:r>
          </w:p>
        </w:tc>
        <w:tc>
          <w:tcPr>
            <w:tcW w:w="2126" w:type="dxa"/>
          </w:tcPr>
          <w:p w14:paraId="2BFE875C" w14:textId="77777777" w:rsidR="00411979" w:rsidRPr="003B7D58" w:rsidRDefault="00411979" w:rsidP="00BB23CD">
            <w:pPr>
              <w:pStyle w:val="Citationenretrait"/>
              <w:spacing w:before="40" w:after="40" w:line="240" w:lineRule="auto"/>
              <w:ind w:left="0" w:right="32"/>
              <w:jc w:val="center"/>
              <w:rPr>
                <w:sz w:val="18"/>
                <w:szCs w:val="18"/>
                <w:lang w:val="en-CA" w:eastAsia="en-US"/>
              </w:rPr>
            </w:pPr>
            <w:r w:rsidRPr="003B7D58">
              <w:rPr>
                <w:sz w:val="18"/>
                <w:szCs w:val="18"/>
                <w:lang w:val="en-CA" w:eastAsia="en-US"/>
              </w:rPr>
              <w:t>5,00 %</w:t>
            </w:r>
          </w:p>
        </w:tc>
      </w:tr>
      <w:tr w:rsidR="00411979" w:rsidRPr="003B7D58" w14:paraId="142EA0D8" w14:textId="77777777" w:rsidTr="007A2AA4">
        <w:tc>
          <w:tcPr>
            <w:tcW w:w="976" w:type="dxa"/>
          </w:tcPr>
          <w:p w14:paraId="11A7BDFC" w14:textId="77777777" w:rsidR="00411979" w:rsidRPr="003B7D58" w:rsidRDefault="00411979" w:rsidP="00BB23CD">
            <w:pPr>
              <w:pStyle w:val="Citationenretrait"/>
              <w:spacing w:before="40" w:after="40" w:line="240" w:lineRule="auto"/>
              <w:ind w:left="0" w:right="7"/>
              <w:rPr>
                <w:sz w:val="18"/>
                <w:szCs w:val="18"/>
                <w:lang w:val="en-CA" w:eastAsia="en-US"/>
              </w:rPr>
            </w:pPr>
            <w:r w:rsidRPr="003B7D58">
              <w:rPr>
                <w:sz w:val="18"/>
                <w:szCs w:val="18"/>
                <w:lang w:val="en-CA" w:eastAsia="en-US"/>
              </w:rPr>
              <w:t>Étape 2</w:t>
            </w:r>
          </w:p>
        </w:tc>
        <w:tc>
          <w:tcPr>
            <w:tcW w:w="1134" w:type="dxa"/>
          </w:tcPr>
          <w:p w14:paraId="6B3033A7"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_____ (B)</w:t>
            </w:r>
          </w:p>
        </w:tc>
        <w:tc>
          <w:tcPr>
            <w:tcW w:w="3828" w:type="dxa"/>
          </w:tcPr>
          <w:p w14:paraId="333A75F8"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taux hypothécaire analogue</w:t>
            </w:r>
          </w:p>
        </w:tc>
        <w:tc>
          <w:tcPr>
            <w:tcW w:w="2126" w:type="dxa"/>
          </w:tcPr>
          <w:p w14:paraId="64CC7EF0" w14:textId="77777777" w:rsidR="00411979" w:rsidRPr="003B7D58" w:rsidRDefault="00411979" w:rsidP="00BB23CD">
            <w:pPr>
              <w:pStyle w:val="Citationenretrait"/>
              <w:spacing w:before="40" w:after="40" w:line="240" w:lineRule="auto"/>
              <w:ind w:left="0" w:right="32"/>
              <w:jc w:val="center"/>
              <w:rPr>
                <w:sz w:val="18"/>
                <w:szCs w:val="18"/>
                <w:lang w:val="en-CA" w:eastAsia="en-US"/>
              </w:rPr>
            </w:pPr>
            <w:r w:rsidRPr="003B7D58">
              <w:rPr>
                <w:sz w:val="18"/>
                <w:szCs w:val="18"/>
                <w:lang w:val="en-CA" w:eastAsia="en-US"/>
              </w:rPr>
              <w:t>4,00 %</w:t>
            </w:r>
          </w:p>
        </w:tc>
      </w:tr>
      <w:tr w:rsidR="00411979" w:rsidRPr="003B7D58" w14:paraId="3D7D273B" w14:textId="77777777" w:rsidTr="007A2AA4">
        <w:tc>
          <w:tcPr>
            <w:tcW w:w="976" w:type="dxa"/>
          </w:tcPr>
          <w:p w14:paraId="5BDD4846" w14:textId="77777777" w:rsidR="00411979" w:rsidRPr="003B7D58" w:rsidRDefault="00411979" w:rsidP="00BB23CD">
            <w:pPr>
              <w:pStyle w:val="Citationenretrait"/>
              <w:spacing w:before="40" w:after="40" w:line="240" w:lineRule="auto"/>
              <w:ind w:left="0" w:right="7"/>
              <w:rPr>
                <w:sz w:val="18"/>
                <w:szCs w:val="18"/>
                <w:lang w:val="en-CA" w:eastAsia="en-US"/>
              </w:rPr>
            </w:pPr>
            <w:r w:rsidRPr="003B7D58">
              <w:rPr>
                <w:sz w:val="18"/>
                <w:szCs w:val="18"/>
                <w:lang w:val="en-CA" w:eastAsia="en-US"/>
              </w:rPr>
              <w:t>Étape 3</w:t>
            </w:r>
          </w:p>
        </w:tc>
        <w:tc>
          <w:tcPr>
            <w:tcW w:w="1134" w:type="dxa"/>
          </w:tcPr>
          <w:p w14:paraId="532A7C0C"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_____ (C)</w:t>
            </w:r>
          </w:p>
        </w:tc>
        <w:tc>
          <w:tcPr>
            <w:tcW w:w="3828" w:type="dxa"/>
          </w:tcPr>
          <w:p w14:paraId="1FE5B14D" w14:textId="77777777" w:rsidR="00411979" w:rsidRPr="003B7D58" w:rsidRDefault="00411979" w:rsidP="00BB23CD">
            <w:pPr>
              <w:pStyle w:val="Citationenretrait"/>
              <w:spacing w:before="40" w:after="40" w:line="240" w:lineRule="auto"/>
              <w:ind w:left="0" w:right="0"/>
              <w:jc w:val="left"/>
              <w:rPr>
                <w:sz w:val="18"/>
                <w:szCs w:val="18"/>
                <w:lang w:eastAsia="en-US"/>
              </w:rPr>
            </w:pPr>
            <w:r w:rsidRPr="003B7D58">
              <w:rPr>
                <w:sz w:val="18"/>
                <w:szCs w:val="18"/>
                <w:lang w:eastAsia="en-US"/>
              </w:rPr>
              <w:t>A – B = C, exprimé en décimales</w:t>
            </w:r>
          </w:p>
        </w:tc>
        <w:tc>
          <w:tcPr>
            <w:tcW w:w="2126" w:type="dxa"/>
          </w:tcPr>
          <w:p w14:paraId="49CFA1C0" w14:textId="77777777" w:rsidR="00411979" w:rsidRPr="003B7D58" w:rsidRDefault="00411979" w:rsidP="00BB23CD">
            <w:pPr>
              <w:pStyle w:val="Citationenretrait"/>
              <w:spacing w:before="40" w:after="40" w:line="240" w:lineRule="auto"/>
              <w:ind w:left="0" w:right="32"/>
              <w:jc w:val="center"/>
              <w:rPr>
                <w:sz w:val="18"/>
                <w:szCs w:val="18"/>
                <w:lang w:val="en-CA" w:eastAsia="en-US"/>
              </w:rPr>
            </w:pPr>
            <w:r w:rsidRPr="003B7D58">
              <w:rPr>
                <w:sz w:val="18"/>
                <w:szCs w:val="18"/>
                <w:lang w:val="en-CA" w:eastAsia="en-US"/>
              </w:rPr>
              <w:t>1,00 % = 0,01</w:t>
            </w:r>
          </w:p>
        </w:tc>
      </w:tr>
      <w:tr w:rsidR="00411979" w:rsidRPr="003B7D58" w14:paraId="198F2D42" w14:textId="77777777" w:rsidTr="007A2AA4">
        <w:tc>
          <w:tcPr>
            <w:tcW w:w="976" w:type="dxa"/>
          </w:tcPr>
          <w:p w14:paraId="0556CC2B" w14:textId="77777777" w:rsidR="00411979" w:rsidRPr="003B7D58" w:rsidRDefault="00411979" w:rsidP="00BB23CD">
            <w:pPr>
              <w:pStyle w:val="Citationenretrait"/>
              <w:spacing w:before="40" w:after="40" w:line="240" w:lineRule="auto"/>
              <w:ind w:left="0" w:right="7"/>
              <w:rPr>
                <w:sz w:val="18"/>
                <w:szCs w:val="18"/>
                <w:lang w:val="en-CA" w:eastAsia="en-US"/>
              </w:rPr>
            </w:pPr>
            <w:r w:rsidRPr="003B7D58">
              <w:rPr>
                <w:sz w:val="18"/>
                <w:szCs w:val="18"/>
                <w:lang w:val="en-CA" w:eastAsia="en-US"/>
              </w:rPr>
              <w:t>Étape 4</w:t>
            </w:r>
          </w:p>
        </w:tc>
        <w:tc>
          <w:tcPr>
            <w:tcW w:w="1134" w:type="dxa"/>
          </w:tcPr>
          <w:p w14:paraId="6DE336E7"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_____ (D)</w:t>
            </w:r>
          </w:p>
        </w:tc>
        <w:tc>
          <w:tcPr>
            <w:tcW w:w="3828" w:type="dxa"/>
          </w:tcPr>
          <w:p w14:paraId="40BE3F58"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montant du remboursement anticipé</w:t>
            </w:r>
          </w:p>
        </w:tc>
        <w:tc>
          <w:tcPr>
            <w:tcW w:w="2126" w:type="dxa"/>
          </w:tcPr>
          <w:p w14:paraId="5D90DD85" w14:textId="77777777" w:rsidR="00411979" w:rsidRPr="003B7D58" w:rsidRDefault="00411979" w:rsidP="00BB23CD">
            <w:pPr>
              <w:pStyle w:val="Citationenretrait"/>
              <w:spacing w:before="40" w:after="40" w:line="240" w:lineRule="auto"/>
              <w:ind w:left="0" w:right="0"/>
              <w:jc w:val="center"/>
              <w:rPr>
                <w:sz w:val="18"/>
                <w:szCs w:val="18"/>
                <w:lang w:val="en-CA" w:eastAsia="en-US"/>
              </w:rPr>
            </w:pPr>
            <w:r w:rsidRPr="003B7D58">
              <w:rPr>
                <w:sz w:val="18"/>
                <w:szCs w:val="18"/>
                <w:lang w:val="en-CA" w:eastAsia="en-US"/>
              </w:rPr>
              <w:t>100 000 $</w:t>
            </w:r>
          </w:p>
        </w:tc>
      </w:tr>
      <w:tr w:rsidR="00411979" w:rsidRPr="003B7D58" w14:paraId="76643919" w14:textId="77777777" w:rsidTr="007A2AA4">
        <w:tc>
          <w:tcPr>
            <w:tcW w:w="976" w:type="dxa"/>
          </w:tcPr>
          <w:p w14:paraId="24C7ECB5" w14:textId="77777777" w:rsidR="00411979" w:rsidRPr="003B7D58" w:rsidRDefault="00411979" w:rsidP="00BB23CD">
            <w:pPr>
              <w:pStyle w:val="Citationenretrait"/>
              <w:spacing w:before="40" w:after="40" w:line="240" w:lineRule="auto"/>
              <w:ind w:left="0" w:right="7"/>
              <w:rPr>
                <w:sz w:val="18"/>
                <w:szCs w:val="18"/>
                <w:lang w:val="en-CA" w:eastAsia="en-US"/>
              </w:rPr>
            </w:pPr>
            <w:r w:rsidRPr="003B7D58">
              <w:rPr>
                <w:sz w:val="18"/>
                <w:szCs w:val="18"/>
                <w:lang w:val="en-CA" w:eastAsia="en-US"/>
              </w:rPr>
              <w:t>Étape 5</w:t>
            </w:r>
          </w:p>
        </w:tc>
        <w:tc>
          <w:tcPr>
            <w:tcW w:w="1134" w:type="dxa"/>
          </w:tcPr>
          <w:p w14:paraId="24D0AA48"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_____ (E)</w:t>
            </w:r>
          </w:p>
        </w:tc>
        <w:tc>
          <w:tcPr>
            <w:tcW w:w="3828" w:type="dxa"/>
          </w:tcPr>
          <w:p w14:paraId="74214D6A" w14:textId="77777777" w:rsidR="00411979" w:rsidRPr="003B7D58" w:rsidRDefault="00411979" w:rsidP="00BB23CD">
            <w:pPr>
              <w:pStyle w:val="Citationenretrait"/>
              <w:spacing w:before="40" w:after="40" w:line="240" w:lineRule="auto"/>
              <w:ind w:left="0" w:right="0"/>
              <w:jc w:val="left"/>
              <w:rPr>
                <w:sz w:val="18"/>
                <w:szCs w:val="18"/>
                <w:lang w:eastAsia="en-US"/>
              </w:rPr>
            </w:pPr>
            <w:r w:rsidRPr="003B7D58">
              <w:rPr>
                <w:sz w:val="18"/>
                <w:szCs w:val="18"/>
                <w:lang w:eastAsia="en-US"/>
              </w:rPr>
              <w:t>nombre de mois restant sur la durée de la portion à taux fixe (exception faite du mois en cours)</w:t>
            </w:r>
          </w:p>
        </w:tc>
        <w:tc>
          <w:tcPr>
            <w:tcW w:w="2126" w:type="dxa"/>
          </w:tcPr>
          <w:p w14:paraId="3CA3E3BA" w14:textId="77777777" w:rsidR="00411979" w:rsidRPr="003B7D58" w:rsidRDefault="00411979" w:rsidP="00BB23CD">
            <w:pPr>
              <w:pStyle w:val="Citationenretrait"/>
              <w:spacing w:before="40" w:after="40" w:line="240" w:lineRule="auto"/>
              <w:ind w:left="0" w:right="0"/>
              <w:jc w:val="center"/>
              <w:rPr>
                <w:sz w:val="18"/>
                <w:szCs w:val="18"/>
                <w:lang w:val="en-CA" w:eastAsia="en-US"/>
              </w:rPr>
            </w:pPr>
            <w:r w:rsidRPr="003B7D58">
              <w:rPr>
                <w:sz w:val="18"/>
                <w:szCs w:val="18"/>
                <w:lang w:val="en-CA" w:eastAsia="en-US"/>
              </w:rPr>
              <w:t>28</w:t>
            </w:r>
          </w:p>
        </w:tc>
      </w:tr>
      <w:tr w:rsidR="00411979" w:rsidRPr="008A0B0F" w14:paraId="5F3D3DA7" w14:textId="77777777" w:rsidTr="007A2AA4">
        <w:tc>
          <w:tcPr>
            <w:tcW w:w="976" w:type="dxa"/>
          </w:tcPr>
          <w:p w14:paraId="7DEF6ED0" w14:textId="77777777" w:rsidR="00411979" w:rsidRPr="003B7D58" w:rsidRDefault="00411979" w:rsidP="00BB23CD">
            <w:pPr>
              <w:pStyle w:val="Citationenretrait"/>
              <w:spacing w:before="40" w:after="40" w:line="240" w:lineRule="auto"/>
              <w:ind w:left="0" w:right="7"/>
              <w:rPr>
                <w:sz w:val="18"/>
                <w:szCs w:val="18"/>
                <w:lang w:val="en-CA" w:eastAsia="en-US"/>
              </w:rPr>
            </w:pPr>
            <w:r w:rsidRPr="003B7D58">
              <w:rPr>
                <w:sz w:val="18"/>
                <w:szCs w:val="18"/>
                <w:lang w:val="en-CA" w:eastAsia="en-US"/>
              </w:rPr>
              <w:t>Étape 6</w:t>
            </w:r>
          </w:p>
        </w:tc>
        <w:tc>
          <w:tcPr>
            <w:tcW w:w="1134" w:type="dxa"/>
          </w:tcPr>
          <w:p w14:paraId="657B0FC8" w14:textId="77777777" w:rsidR="00411979" w:rsidRPr="003B7D58" w:rsidRDefault="00411979" w:rsidP="00BB23CD">
            <w:pPr>
              <w:pStyle w:val="Citationenretrait"/>
              <w:spacing w:before="40" w:after="40" w:line="240" w:lineRule="auto"/>
              <w:ind w:left="0" w:right="0"/>
              <w:jc w:val="left"/>
              <w:rPr>
                <w:sz w:val="18"/>
                <w:szCs w:val="18"/>
                <w:lang w:val="en-CA" w:eastAsia="en-US"/>
              </w:rPr>
            </w:pPr>
            <w:r w:rsidRPr="003B7D58">
              <w:rPr>
                <w:sz w:val="18"/>
                <w:szCs w:val="18"/>
                <w:lang w:val="en-CA" w:eastAsia="en-US"/>
              </w:rPr>
              <w:t>_____ (F)</w:t>
            </w:r>
          </w:p>
        </w:tc>
        <w:tc>
          <w:tcPr>
            <w:tcW w:w="3828" w:type="dxa"/>
          </w:tcPr>
          <w:p w14:paraId="3D194CFD" w14:textId="77777777" w:rsidR="00411979" w:rsidRPr="003B7D58" w:rsidRDefault="00411979" w:rsidP="00BB23CD">
            <w:pPr>
              <w:pStyle w:val="Citationenretrait"/>
              <w:spacing w:before="40" w:line="240" w:lineRule="auto"/>
              <w:ind w:left="0" w:right="0"/>
              <w:jc w:val="left"/>
              <w:rPr>
                <w:sz w:val="18"/>
                <w:szCs w:val="18"/>
                <w:lang w:eastAsia="en-US"/>
              </w:rPr>
            </w:pPr>
            <w:r w:rsidRPr="003B7D58">
              <w:rPr>
                <w:sz w:val="18"/>
                <w:szCs w:val="18"/>
                <w:lang w:eastAsia="en-US"/>
              </w:rPr>
              <w:t>(C x D x E) / 12 = F, F est le montant estimé de différentiel d’intérêt</w:t>
            </w:r>
          </w:p>
        </w:tc>
        <w:tc>
          <w:tcPr>
            <w:tcW w:w="2126" w:type="dxa"/>
          </w:tcPr>
          <w:p w14:paraId="0EAB5DE1" w14:textId="77777777" w:rsidR="00411979" w:rsidRPr="008A0B0F" w:rsidRDefault="00411979" w:rsidP="00BB23CD">
            <w:pPr>
              <w:pStyle w:val="Citationenretrait"/>
              <w:spacing w:before="40" w:after="40" w:line="240" w:lineRule="auto"/>
              <w:ind w:left="0" w:right="0"/>
              <w:jc w:val="center"/>
              <w:rPr>
                <w:sz w:val="18"/>
                <w:szCs w:val="18"/>
                <w:lang w:val="en-CA" w:eastAsia="en-US"/>
              </w:rPr>
            </w:pPr>
            <w:r w:rsidRPr="003B7D58">
              <w:rPr>
                <w:sz w:val="18"/>
                <w:szCs w:val="18"/>
                <w:lang w:val="en-CA" w:eastAsia="en-US"/>
              </w:rPr>
              <w:t>2 333 $</w:t>
            </w:r>
          </w:p>
        </w:tc>
      </w:tr>
    </w:tbl>
    <w:p w14:paraId="4B73235B" w14:textId="77777777" w:rsidR="00411979" w:rsidRPr="00224768" w:rsidRDefault="00411979" w:rsidP="00BB23CD">
      <w:pPr>
        <w:pStyle w:val="Paragraphe"/>
        <w:spacing w:line="240" w:lineRule="auto"/>
        <w:rPr>
          <w:rFonts w:cs="Arial"/>
          <w:color w:val="000000"/>
          <w:szCs w:val="24"/>
          <w:lang w:eastAsia="en-US"/>
        </w:rPr>
      </w:pPr>
      <w:r w:rsidRPr="00224768">
        <w:rPr>
          <w:rFonts w:cs="Arial"/>
          <w:color w:val="000000"/>
          <w:szCs w:val="24"/>
          <w:lang w:eastAsia="en-US"/>
        </w:rPr>
        <w:t xml:space="preserve">Haroch </w:t>
      </w:r>
      <w:r>
        <w:rPr>
          <w:rFonts w:cs="Arial"/>
          <w:color w:val="000000"/>
          <w:szCs w:val="24"/>
          <w:lang w:eastAsia="en-US"/>
        </w:rPr>
        <w:t xml:space="preserve">vend sa maison en octobre 2017 et doit donc </w:t>
      </w:r>
      <w:r w:rsidRPr="00224768">
        <w:rPr>
          <w:rFonts w:cs="Arial"/>
          <w:color w:val="000000"/>
          <w:szCs w:val="24"/>
          <w:lang w:eastAsia="en-US"/>
        </w:rPr>
        <w:t>rembourse</w:t>
      </w:r>
      <w:r>
        <w:rPr>
          <w:rFonts w:cs="Arial"/>
          <w:color w:val="000000"/>
          <w:szCs w:val="24"/>
          <w:lang w:eastAsia="en-US"/>
        </w:rPr>
        <w:t>r</w:t>
      </w:r>
      <w:r w:rsidRPr="00224768">
        <w:rPr>
          <w:rFonts w:cs="Arial"/>
          <w:color w:val="000000"/>
          <w:szCs w:val="24"/>
          <w:lang w:eastAsia="en-US"/>
        </w:rPr>
        <w:t xml:space="preserve"> le </w:t>
      </w:r>
      <w:r>
        <w:rPr>
          <w:rFonts w:cs="Arial"/>
          <w:color w:val="000000"/>
          <w:szCs w:val="24"/>
          <w:lang w:eastAsia="en-US"/>
        </w:rPr>
        <w:t xml:space="preserve">solde du </w:t>
      </w:r>
      <w:r w:rsidRPr="00224768">
        <w:rPr>
          <w:rFonts w:cs="Arial"/>
          <w:color w:val="000000"/>
          <w:szCs w:val="24"/>
          <w:lang w:eastAsia="en-US"/>
        </w:rPr>
        <w:t>prêt alors qu’il reste 2</w:t>
      </w:r>
      <w:r>
        <w:rPr>
          <w:rFonts w:cs="Arial"/>
          <w:color w:val="000000"/>
          <w:szCs w:val="24"/>
          <w:lang w:eastAsia="en-US"/>
        </w:rPr>
        <w:t>8</w:t>
      </w:r>
      <w:r w:rsidRPr="00224768">
        <w:rPr>
          <w:rFonts w:cs="Arial"/>
          <w:color w:val="000000"/>
          <w:szCs w:val="24"/>
          <w:lang w:eastAsia="en-US"/>
        </w:rPr>
        <w:t xml:space="preserve"> mois </w:t>
      </w:r>
      <w:r>
        <w:rPr>
          <w:rFonts w:cs="Arial"/>
          <w:color w:val="000000"/>
          <w:szCs w:val="24"/>
          <w:lang w:eastAsia="en-US"/>
        </w:rPr>
        <w:t>avant</w:t>
      </w:r>
      <w:r w:rsidRPr="00224768">
        <w:rPr>
          <w:rFonts w:cs="Arial"/>
          <w:color w:val="000000"/>
          <w:szCs w:val="24"/>
          <w:lang w:eastAsia="en-US"/>
        </w:rPr>
        <w:t xml:space="preserve"> le terme d</w:t>
      </w:r>
      <w:r>
        <w:rPr>
          <w:rFonts w:cs="Arial"/>
          <w:color w:val="000000"/>
          <w:szCs w:val="24"/>
          <w:lang w:eastAsia="en-US"/>
        </w:rPr>
        <w:t>e la portion à taux fixe</w:t>
      </w:r>
      <w:r w:rsidRPr="00224768">
        <w:rPr>
          <w:rFonts w:cs="Arial"/>
          <w:color w:val="000000"/>
          <w:szCs w:val="24"/>
          <w:lang w:eastAsia="en-US"/>
        </w:rPr>
        <w:t xml:space="preserve">. </w:t>
      </w:r>
    </w:p>
    <w:p w14:paraId="1B204549" w14:textId="77777777" w:rsidR="00411979" w:rsidRDefault="00411979" w:rsidP="00BB23CD">
      <w:pPr>
        <w:pStyle w:val="JgtParagraphe"/>
        <w:numPr>
          <w:ilvl w:val="0"/>
          <w:numId w:val="18"/>
        </w:numPr>
        <w:spacing w:line="240" w:lineRule="auto"/>
      </w:pPr>
      <w:r>
        <w:t xml:space="preserve">À cette date, le solde de cette portion du prêt est de 347 976,98 $ et le taux affiché par </w:t>
      </w:r>
      <w:bookmarkStart w:id="12" w:name="_Hlk224122304"/>
      <w:r>
        <w:t xml:space="preserve">la Banque </w:t>
      </w:r>
      <w:bookmarkEnd w:id="12"/>
      <w:r>
        <w:t>TD pour un prêt hypothécaire fermé à taux fixe de deux ans est de 3,04 %. Le montant estimé des FRA selon la formule DTI serait calculé comme suit :</w:t>
      </w:r>
    </w:p>
    <w:p w14:paraId="400EB239" w14:textId="77777777" w:rsidR="00411979" w:rsidRPr="00C42151" w:rsidRDefault="00411979" w:rsidP="00BB23CD">
      <w:pPr>
        <w:pStyle w:val="Paragraphe"/>
        <w:numPr>
          <w:ilvl w:val="0"/>
          <w:numId w:val="0"/>
        </w:numPr>
        <w:spacing w:line="240" w:lineRule="auto"/>
        <w:ind w:left="720"/>
        <w:rPr>
          <w:szCs w:val="24"/>
        </w:rPr>
      </w:pPr>
      <w:r w:rsidRPr="00B2624E">
        <w:rPr>
          <w:szCs w:val="24"/>
        </w:rPr>
        <w:t>(2,74</w:t>
      </w:r>
      <w:r>
        <w:rPr>
          <w:szCs w:val="24"/>
        </w:rPr>
        <w:t> </w:t>
      </w:r>
      <w:r w:rsidRPr="00B2624E">
        <w:rPr>
          <w:szCs w:val="24"/>
        </w:rPr>
        <w:t xml:space="preserve">% - (3,04 % - 2,00 %)) </w:t>
      </w:r>
      <w:r>
        <w:rPr>
          <w:szCs w:val="24"/>
        </w:rPr>
        <w:t xml:space="preserve">X </w:t>
      </w:r>
      <w:r w:rsidRPr="00B2624E">
        <w:rPr>
          <w:szCs w:val="24"/>
        </w:rPr>
        <w:t>347 976,</w:t>
      </w:r>
      <w:r>
        <w:rPr>
          <w:szCs w:val="24"/>
        </w:rPr>
        <w:t>9</w:t>
      </w:r>
      <w:r w:rsidRPr="00B2624E">
        <w:rPr>
          <w:szCs w:val="24"/>
        </w:rPr>
        <w:t>8 $ X 2</w:t>
      </w:r>
      <w:r>
        <w:rPr>
          <w:szCs w:val="24"/>
        </w:rPr>
        <w:t>8</w:t>
      </w:r>
      <w:r w:rsidRPr="00B2624E">
        <w:rPr>
          <w:szCs w:val="24"/>
        </w:rPr>
        <w:t xml:space="preserve"> / 12 = </w:t>
      </w:r>
      <w:r w:rsidRPr="002E07D7">
        <w:rPr>
          <w:szCs w:val="24"/>
        </w:rPr>
        <w:t>13 803,09</w:t>
      </w:r>
      <w:r>
        <w:rPr>
          <w:szCs w:val="24"/>
        </w:rPr>
        <w:t> </w:t>
      </w:r>
      <w:r w:rsidRPr="00B2624E">
        <w:rPr>
          <w:szCs w:val="24"/>
        </w:rPr>
        <w:t>$</w:t>
      </w:r>
      <w:r>
        <w:rPr>
          <w:rStyle w:val="Appelnotedebasdep"/>
          <w:szCs w:val="24"/>
        </w:rPr>
        <w:footnoteReference w:id="4"/>
      </w:r>
    </w:p>
    <w:p w14:paraId="0ED81119" w14:textId="77777777" w:rsidR="00411979" w:rsidRDefault="00411979" w:rsidP="00BB23CD">
      <w:pPr>
        <w:pStyle w:val="JgtParagraphe"/>
        <w:numPr>
          <w:ilvl w:val="0"/>
          <w:numId w:val="18"/>
        </w:numPr>
        <w:spacing w:line="240" w:lineRule="auto"/>
      </w:pPr>
      <w:r>
        <w:t>Les FRA réclamés à Haroch par la</w:t>
      </w:r>
      <w:r w:rsidRPr="00C73885">
        <w:rPr>
          <w:rFonts w:cs="Times New Roman"/>
          <w:color w:val="auto"/>
          <w:kern w:val="0"/>
          <w:szCs w:val="20"/>
          <w:lang w:eastAsia="fr-FR"/>
        </w:rPr>
        <w:t xml:space="preserve"> </w:t>
      </w:r>
      <w:r w:rsidRPr="00C73885">
        <w:t>Banque</w:t>
      </w:r>
      <w:r>
        <w:t xml:space="preserve"> TD sont </w:t>
      </w:r>
      <w:r w:rsidRPr="006A7ADA">
        <w:t>de 12 648,47</w:t>
      </w:r>
      <w:r>
        <w:t> </w:t>
      </w:r>
      <w:r w:rsidRPr="006A7ADA">
        <w:t>$</w:t>
      </w:r>
      <w:r>
        <w:t>.</w:t>
      </w:r>
    </w:p>
    <w:p w14:paraId="12149E23" w14:textId="5ABAFAC5" w:rsidR="00411979" w:rsidRDefault="00411979" w:rsidP="00BB23CD">
      <w:pPr>
        <w:pStyle w:val="JgtParagraphe"/>
        <w:numPr>
          <w:ilvl w:val="0"/>
          <w:numId w:val="18"/>
        </w:numPr>
        <w:spacing w:line="240" w:lineRule="auto"/>
      </w:pPr>
      <w:r>
        <w:lastRenderedPageBreak/>
        <w:t>Haroch</w:t>
      </w:r>
      <w:r w:rsidRPr="006A7ADA">
        <w:t xml:space="preserve"> estime que </w:t>
      </w:r>
      <w:r w:rsidRPr="00C73885">
        <w:t xml:space="preserve">la Banque </w:t>
      </w:r>
      <w:r w:rsidRPr="006A7ADA">
        <w:t xml:space="preserve">TD a agi abusivement en lui réclamant des FRA de </w:t>
      </w:r>
      <w:r>
        <w:t>12 648,47 $</w:t>
      </w:r>
      <w:r w:rsidRPr="006A7ADA">
        <w:t>.</w:t>
      </w:r>
      <w:r>
        <w:rPr>
          <w:kern w:val="0"/>
          <w:szCs w:val="20"/>
          <w:lang w:eastAsia="fr-FR"/>
        </w:rPr>
        <w:t xml:space="preserve"> Selon elle, </w:t>
      </w:r>
      <w:r w:rsidRPr="006A7ADA">
        <w:t>un</w:t>
      </w:r>
      <w:r>
        <w:t>e réclamation se limitant</w:t>
      </w:r>
      <w:r w:rsidRPr="006A7ADA">
        <w:t xml:space="preserve"> à trois mois d’intérêt, soit 2 427,17</w:t>
      </w:r>
      <w:r>
        <w:t> </w:t>
      </w:r>
      <w:r w:rsidRPr="006A7ADA">
        <w:t>$</w:t>
      </w:r>
      <w:r>
        <w:t>,</w:t>
      </w:r>
      <w:r w:rsidRPr="006A7ADA">
        <w:t xml:space="preserve"> aurait été acceptable</w:t>
      </w:r>
      <w:r>
        <w:t>.</w:t>
      </w:r>
    </w:p>
    <w:p w14:paraId="3C036514" w14:textId="77777777" w:rsidR="00411979" w:rsidRDefault="00411979" w:rsidP="00BB23CD">
      <w:pPr>
        <w:pStyle w:val="Paragraphe"/>
        <w:numPr>
          <w:ilvl w:val="0"/>
          <w:numId w:val="25"/>
        </w:numPr>
        <w:spacing w:line="240" w:lineRule="auto"/>
      </w:pPr>
      <w:r>
        <w:rPr>
          <w:i/>
          <w:iCs/>
        </w:rPr>
        <w:t>L’appelant Claude Vaillancourt</w:t>
      </w:r>
    </w:p>
    <w:p w14:paraId="69498B3A" w14:textId="77777777" w:rsidR="00411979" w:rsidRDefault="00411979" w:rsidP="00BB23CD">
      <w:pPr>
        <w:pStyle w:val="Paragraphe"/>
        <w:spacing w:line="240" w:lineRule="auto"/>
      </w:pPr>
      <w:r>
        <w:t xml:space="preserve">En novembre 2017, l’appelant </w:t>
      </w:r>
      <w:r w:rsidRPr="00F76348">
        <w:t>Claude Vaillancourt contract</w:t>
      </w:r>
      <w:r>
        <w:t>e</w:t>
      </w:r>
      <w:r w:rsidRPr="00F76348">
        <w:t xml:space="preserve"> un prêt hypothécaire fermé à taux fixe</w:t>
      </w:r>
      <w:r>
        <w:t xml:space="preserve"> de cinq ans</w:t>
      </w:r>
      <w:r w:rsidRPr="00F76348">
        <w:t xml:space="preserve"> auprès de </w:t>
      </w:r>
      <w:r>
        <w:t xml:space="preserve">la </w:t>
      </w:r>
      <w:r w:rsidRPr="00F76348">
        <w:t>Banque Nationale du Canada (</w:t>
      </w:r>
      <w:r w:rsidRPr="00F76348">
        <w:rPr>
          <w:b/>
          <w:bCs/>
        </w:rPr>
        <w:t>BNC</w:t>
      </w:r>
      <w:r w:rsidRPr="00F76348">
        <w:t xml:space="preserve">). Le prêt est de </w:t>
      </w:r>
      <w:r>
        <w:t>236 120</w:t>
      </w:r>
      <w:r w:rsidRPr="00F76348">
        <w:t xml:space="preserve"> $ et le taux d’intérêt convenu est de </w:t>
      </w:r>
      <w:r>
        <w:t>3,34</w:t>
      </w:r>
      <w:r w:rsidRPr="00F76348">
        <w:t xml:space="preserve"> %, ce qui représente un escompte de </w:t>
      </w:r>
      <w:r>
        <w:t>1,65</w:t>
      </w:r>
      <w:r w:rsidRPr="00F76348">
        <w:t> % sur le taux affiché à cette date</w:t>
      </w:r>
      <w:r>
        <w:t xml:space="preserve"> (4,99 %). </w:t>
      </w:r>
    </w:p>
    <w:p w14:paraId="456F1D8A" w14:textId="77777777" w:rsidR="00411979" w:rsidRDefault="00411979" w:rsidP="00BB23CD">
      <w:pPr>
        <w:pStyle w:val="Paragraphe"/>
        <w:spacing w:line="240" w:lineRule="auto"/>
      </w:pPr>
      <w:r>
        <w:t xml:space="preserve">La convention permet d’effectuer sans frais certains remboursements </w:t>
      </w:r>
      <w:r w:rsidRPr="002D264D">
        <w:t>par anticipation</w:t>
      </w:r>
      <w:r w:rsidRPr="002D264D">
        <w:rPr>
          <w:kern w:val="0"/>
        </w:rPr>
        <w:t xml:space="preserve"> </w:t>
      </w:r>
      <w:r>
        <w:t>et prévoit que des FRA seront payables sur tout autre remboursement, selon la formule suivante :</w:t>
      </w:r>
    </w:p>
    <w:p w14:paraId="52CD1F6F" w14:textId="77777777" w:rsidR="00411979" w:rsidRPr="00982E06" w:rsidRDefault="00411979" w:rsidP="00BB23CD">
      <w:pPr>
        <w:pStyle w:val="Citationenretrait"/>
        <w:tabs>
          <w:tab w:val="left" w:pos="1276"/>
        </w:tabs>
        <w:spacing w:line="240" w:lineRule="auto"/>
        <w:rPr>
          <w:b/>
          <w:bCs/>
        </w:rPr>
      </w:pPr>
      <w:r w:rsidRPr="00982E06">
        <w:rPr>
          <w:b/>
          <w:bCs/>
        </w:rPr>
        <w:t>2.</w:t>
      </w:r>
      <w:r>
        <w:rPr>
          <w:b/>
          <w:bCs/>
        </w:rPr>
        <w:tab/>
      </w:r>
      <w:r w:rsidRPr="000E5BCD">
        <w:rPr>
          <w:b/>
          <w:bCs/>
        </w:rPr>
        <w:t>Remboursement</w:t>
      </w:r>
      <w:r w:rsidRPr="00982E06">
        <w:rPr>
          <w:b/>
          <w:bCs/>
        </w:rPr>
        <w:t xml:space="preserve"> anticipé avec indemnité</w:t>
      </w:r>
    </w:p>
    <w:p w14:paraId="223BB92C" w14:textId="77777777" w:rsidR="00411979" w:rsidRDefault="00411979" w:rsidP="00BB23CD">
      <w:pPr>
        <w:pStyle w:val="Citationenretrait"/>
        <w:spacing w:line="240" w:lineRule="auto"/>
      </w:pPr>
      <w:r>
        <w:t>Vous pouvez en tout temps effectuer un remboursement anticipé de la totalité ou d’une partie d’une tranche en payant une indemnité égale au plus élevé des 2 montants suivants :</w:t>
      </w:r>
    </w:p>
    <w:p w14:paraId="683B8A46" w14:textId="77777777" w:rsidR="00411979" w:rsidRDefault="00411979" w:rsidP="00BB23CD">
      <w:pPr>
        <w:pStyle w:val="Citationenretrait"/>
        <w:numPr>
          <w:ilvl w:val="0"/>
          <w:numId w:val="26"/>
        </w:numPr>
        <w:spacing w:line="240" w:lineRule="auto"/>
      </w:pPr>
      <w:r>
        <w:t xml:space="preserve">un montant correspondant à </w:t>
      </w:r>
      <w:r w:rsidRPr="00D9658A">
        <w:rPr>
          <w:b/>
          <w:bCs/>
        </w:rPr>
        <w:t>3</w:t>
      </w:r>
      <w:r>
        <w:t xml:space="preserve"> mois d’intérêt, calculé sur le montant du remboursement anticipé et au taux affiché de la tranche décrit ci-dessous ou</w:t>
      </w:r>
    </w:p>
    <w:p w14:paraId="4F348F99" w14:textId="77777777" w:rsidR="00411979" w:rsidRDefault="00411979" w:rsidP="00BB23CD">
      <w:pPr>
        <w:pStyle w:val="Citationenretrait"/>
        <w:numPr>
          <w:ilvl w:val="0"/>
          <w:numId w:val="26"/>
        </w:numPr>
        <w:spacing w:line="240" w:lineRule="auto"/>
      </w:pPr>
      <w:r>
        <w:t>la somme des deux montants suivants :</w:t>
      </w:r>
    </w:p>
    <w:p w14:paraId="2E75B733" w14:textId="77777777" w:rsidR="00411979" w:rsidRPr="006114CD" w:rsidRDefault="00411979" w:rsidP="00BB23CD">
      <w:pPr>
        <w:pStyle w:val="Citationenretrait"/>
        <w:numPr>
          <w:ilvl w:val="1"/>
          <w:numId w:val="26"/>
        </w:numPr>
        <w:spacing w:line="240" w:lineRule="auto"/>
        <w:rPr>
          <w:szCs w:val="22"/>
        </w:rPr>
      </w:pPr>
      <w:r w:rsidRPr="006114CD">
        <w:rPr>
          <w:b/>
          <w:bCs/>
          <w:szCs w:val="22"/>
        </w:rPr>
        <w:t>1</w:t>
      </w:r>
      <w:r w:rsidRPr="006114CD">
        <w:rPr>
          <w:szCs w:val="22"/>
        </w:rPr>
        <w:t xml:space="preserve"> mois d’intérêt, calculé sur le montant du remboursement au taux affiché de la tranche, mais avec un maximum de </w:t>
      </w:r>
      <w:r w:rsidRPr="006114CD">
        <w:rPr>
          <w:b/>
          <w:bCs/>
          <w:szCs w:val="22"/>
        </w:rPr>
        <w:t>500$</w:t>
      </w:r>
      <w:r w:rsidRPr="006114CD">
        <w:rPr>
          <w:szCs w:val="22"/>
        </w:rPr>
        <w:t>; et</w:t>
      </w:r>
    </w:p>
    <w:p w14:paraId="7501F877" w14:textId="77777777" w:rsidR="00411979" w:rsidRPr="006114CD" w:rsidRDefault="00411979" w:rsidP="00BB23CD">
      <w:pPr>
        <w:pStyle w:val="Citationenretrait"/>
        <w:numPr>
          <w:ilvl w:val="1"/>
          <w:numId w:val="26"/>
        </w:numPr>
        <w:spacing w:line="240" w:lineRule="auto"/>
        <w:rPr>
          <w:szCs w:val="22"/>
        </w:rPr>
      </w:pPr>
      <w:r w:rsidRPr="006114CD">
        <w:rPr>
          <w:szCs w:val="22"/>
        </w:rPr>
        <w:t>le différentiel d’intérêt; le différentiel d’intérêt correspond à la valeur actualisée (calculée au taux standard indiqué ci-dessous) de l’excédent de l’intérêt que produirait le remboursement pendant le terme restant de la tranche au taux affiché de la tranche, sur l’intérêt que produirait ce remboursement pendant la même période au taux standard indiqué ci-dessous.</w:t>
      </w:r>
    </w:p>
    <w:p w14:paraId="67A5DE5F" w14:textId="77777777" w:rsidR="00411979" w:rsidRDefault="00411979" w:rsidP="00BB23CD">
      <w:pPr>
        <w:pStyle w:val="Paragraphe"/>
        <w:spacing w:line="240" w:lineRule="auto"/>
      </w:pPr>
      <w:r>
        <w:t>La convention inclut une formule simplifiée pour le calcul approximatif des FRA payables selon la formule DTI :</w:t>
      </w:r>
    </w:p>
    <w:p w14:paraId="6150C724" w14:textId="77777777" w:rsidR="00411979" w:rsidRDefault="00411979" w:rsidP="00BB23CD">
      <w:pPr>
        <w:pStyle w:val="Citationenretrait"/>
        <w:spacing w:line="240" w:lineRule="auto"/>
      </w:pPr>
      <w:r>
        <w:t xml:space="preserve">[Solde du prêt X (Taux affiché - Taux standard)] / 12 mois X Terme restant à courir + 1 mois d’intérêt (max. </w:t>
      </w:r>
      <w:r w:rsidRPr="00CE20DD">
        <w:t>$</w:t>
      </w:r>
      <w:r>
        <w:t> </w:t>
      </w:r>
      <w:r w:rsidRPr="00CE20DD">
        <w:t>500)</w:t>
      </w:r>
    </w:p>
    <w:p w14:paraId="72F487BE" w14:textId="77777777" w:rsidR="00411979" w:rsidRPr="00C42151" w:rsidRDefault="00411979" w:rsidP="00BB23CD">
      <w:pPr>
        <w:pStyle w:val="Paragraphe"/>
        <w:spacing w:line="240" w:lineRule="auto"/>
      </w:pPr>
      <w:r>
        <w:t xml:space="preserve">Vaillancourt rembourse son prêt en août 2020, 28 mois avant l’échéance du prêt. </w:t>
      </w:r>
      <w:r w:rsidRPr="00C42151">
        <w:t xml:space="preserve">À cette date, le solde du prêt est de 219 754,37 $ et le taux standard de la BNC pour un prêt hypothécaire fermé à taux fixe de deux ans est de 3,41 %. La formule simplifiée donne </w:t>
      </w:r>
      <w:r>
        <w:t xml:space="preserve">des FRA </w:t>
      </w:r>
      <w:r w:rsidRPr="00C42151">
        <w:t>approximatif</w:t>
      </w:r>
      <w:r>
        <w:t>s</w:t>
      </w:r>
      <w:r w:rsidRPr="00C42151">
        <w:t xml:space="preserve"> de 8 601,61 $ :</w:t>
      </w:r>
    </w:p>
    <w:p w14:paraId="2A0871CC" w14:textId="77777777" w:rsidR="00411979" w:rsidRPr="00C42151" w:rsidRDefault="00411979" w:rsidP="00BB23CD">
      <w:pPr>
        <w:pStyle w:val="Citationenretrait"/>
        <w:spacing w:line="240" w:lineRule="auto"/>
      </w:pPr>
      <w:r w:rsidRPr="00C42151">
        <w:lastRenderedPageBreak/>
        <w:t>219 754,37 $ X (4,99 % - 3,41 %) / 12 mois X 28 mois + 500 $ = 8 601,61 $</w:t>
      </w:r>
      <w:r w:rsidRPr="00C42151">
        <w:rPr>
          <w:rStyle w:val="Appelnotedebasdep"/>
        </w:rPr>
        <w:footnoteReference w:id="5"/>
      </w:r>
    </w:p>
    <w:p w14:paraId="210256A2" w14:textId="77777777" w:rsidR="00411979" w:rsidRPr="00C42151" w:rsidRDefault="00411979" w:rsidP="00BB23CD">
      <w:pPr>
        <w:pStyle w:val="Paragraphe"/>
        <w:spacing w:line="240" w:lineRule="auto"/>
      </w:pPr>
      <w:r w:rsidRPr="00C42151">
        <w:t xml:space="preserve">La BNC lui réclame des FRA de 8 023,52 $ selon la formule DTI. </w:t>
      </w:r>
    </w:p>
    <w:p w14:paraId="71C24F2D" w14:textId="77777777" w:rsidR="00411979" w:rsidRPr="00FC78A3" w:rsidRDefault="00411979" w:rsidP="00BB23CD">
      <w:pPr>
        <w:pStyle w:val="Paragraphe"/>
        <w:numPr>
          <w:ilvl w:val="0"/>
          <w:numId w:val="37"/>
        </w:numPr>
        <w:spacing w:line="240" w:lineRule="auto"/>
        <w:rPr>
          <w:i/>
          <w:iCs/>
        </w:rPr>
      </w:pPr>
      <w:r w:rsidRPr="00FC78A3">
        <w:rPr>
          <w:i/>
          <w:iCs/>
        </w:rPr>
        <w:t>Les intimé</w:t>
      </w:r>
      <w:r>
        <w:rPr>
          <w:i/>
          <w:iCs/>
        </w:rPr>
        <w:t>e</w:t>
      </w:r>
      <w:r w:rsidRPr="00FC78A3">
        <w:rPr>
          <w:i/>
          <w:iCs/>
        </w:rPr>
        <w:t>s</w:t>
      </w:r>
    </w:p>
    <w:p w14:paraId="466478BE" w14:textId="77777777" w:rsidR="00411979" w:rsidRPr="00B241C2" w:rsidRDefault="00411979" w:rsidP="00BB23CD">
      <w:pPr>
        <w:pStyle w:val="JgtParagraphe"/>
        <w:numPr>
          <w:ilvl w:val="0"/>
          <w:numId w:val="18"/>
        </w:numPr>
        <w:spacing w:line="240" w:lineRule="auto"/>
      </w:pPr>
      <w:r w:rsidRPr="00B241C2">
        <w:rPr>
          <w:kern w:val="0"/>
          <w:szCs w:val="20"/>
          <w:lang w:eastAsia="fr-FR"/>
        </w:rPr>
        <w:t xml:space="preserve">Les appelants veulent poursuivre les institutions financières intimées. </w:t>
      </w:r>
      <w:r>
        <w:rPr>
          <w:kern w:val="0"/>
          <w:szCs w:val="20"/>
          <w:lang w:eastAsia="fr-FR"/>
        </w:rPr>
        <w:t>Elles ont t</w:t>
      </w:r>
      <w:r w:rsidRPr="00B241C2">
        <w:rPr>
          <w:kern w:val="0"/>
          <w:szCs w:val="20"/>
          <w:lang w:eastAsia="fr-FR"/>
        </w:rPr>
        <w:t>outes essentiellement les mêmes clauses contractuelles</w:t>
      </w:r>
      <w:r>
        <w:rPr>
          <w:kern w:val="0"/>
          <w:szCs w:val="20"/>
          <w:lang w:eastAsia="fr-FR"/>
        </w:rPr>
        <w:t>.</w:t>
      </w:r>
    </w:p>
    <w:p w14:paraId="1778F38F" w14:textId="77777777" w:rsidR="00411979" w:rsidRDefault="00411979" w:rsidP="00BB23CD">
      <w:pPr>
        <w:pStyle w:val="JgtParagraphe"/>
        <w:numPr>
          <w:ilvl w:val="0"/>
          <w:numId w:val="18"/>
        </w:numPr>
        <w:spacing w:line="240" w:lineRule="auto"/>
      </w:pPr>
      <w:r w:rsidRPr="00167660">
        <w:t>Toutes les intimées</w:t>
      </w:r>
      <w:r>
        <w:t xml:space="preserve"> </w:t>
      </w:r>
      <w:r w:rsidRPr="006A5C77">
        <w:t xml:space="preserve">permettent des remboursements anticipés sans </w:t>
      </w:r>
      <w:r>
        <w:t>frais</w:t>
      </w:r>
      <w:r w:rsidRPr="006A5C77">
        <w:t xml:space="preserve"> </w:t>
      </w:r>
      <w:r>
        <w:t xml:space="preserve">dans certaines circonstances et sous réserve de certaines limites </w:t>
      </w:r>
      <w:r w:rsidRPr="006A5C77">
        <w:t xml:space="preserve">(par exemple, </w:t>
      </w:r>
      <w:r>
        <w:t xml:space="preserve">l’emprunteur peut rembourser </w:t>
      </w:r>
      <w:r w:rsidRPr="006A5C77">
        <w:t>jusqu’à 10</w:t>
      </w:r>
      <w:r>
        <w:t> </w:t>
      </w:r>
      <w:r w:rsidRPr="006A5C77">
        <w:t xml:space="preserve">% du solde </w:t>
      </w:r>
      <w:r>
        <w:t>à</w:t>
      </w:r>
      <w:r w:rsidRPr="006A5C77">
        <w:t xml:space="preserve"> chaque date d’anniversaire du prêt</w:t>
      </w:r>
      <w:r>
        <w:t xml:space="preserve"> sans frais</w:t>
      </w:r>
      <w:r w:rsidRPr="006A5C77">
        <w:t>)</w:t>
      </w:r>
      <w:r>
        <w:t>. Ces clauses ne sont pas en jeu.</w:t>
      </w:r>
    </w:p>
    <w:p w14:paraId="162462F5" w14:textId="77777777" w:rsidR="00411979" w:rsidRPr="00486637" w:rsidRDefault="00411979" w:rsidP="00BB23CD">
      <w:pPr>
        <w:pStyle w:val="JgtParagraphe"/>
        <w:numPr>
          <w:ilvl w:val="0"/>
          <w:numId w:val="18"/>
        </w:numPr>
        <w:spacing w:line="240" w:lineRule="auto"/>
      </w:pPr>
      <w:r>
        <w:t>Toutefois, l’emprunteur doit payer des FRA s’il rembourse une portion plus importante ou la totalité du prêt.</w:t>
      </w:r>
      <w:r w:rsidRPr="006A5C77">
        <w:t xml:space="preserve"> </w:t>
      </w:r>
      <w:r w:rsidRPr="00486637">
        <w:t xml:space="preserve">Les FRA </w:t>
      </w:r>
      <w:r>
        <w:t>correspondent</w:t>
      </w:r>
      <w:r w:rsidRPr="00486637">
        <w:t xml:space="preserve"> généralement </w:t>
      </w:r>
      <w:r>
        <w:t xml:space="preserve">au montant le </w:t>
      </w:r>
      <w:r w:rsidRPr="00486637">
        <w:t xml:space="preserve">plus </w:t>
      </w:r>
      <w:r w:rsidRPr="00B56044">
        <w:t>élevé</w:t>
      </w:r>
      <w:r>
        <w:t xml:space="preserve"> entre</w:t>
      </w:r>
      <w:r w:rsidRPr="00486637">
        <w:t xml:space="preserve"> (1)</w:t>
      </w:r>
      <w:r>
        <w:t> </w:t>
      </w:r>
      <w:r w:rsidRPr="00486637">
        <w:t>trois mois d’intérêt au taux contractuel calculé sur le montant du remboursement anticipé ou (2)</w:t>
      </w:r>
      <w:r>
        <w:t xml:space="preserve"> un montant calculé selon la formule </w:t>
      </w:r>
      <w:r w:rsidRPr="00486637">
        <w:t>DTI, qui es</w:t>
      </w:r>
      <w:r>
        <w:t>t essentiellement</w:t>
      </w:r>
      <w:r w:rsidRPr="00486637">
        <w:t xml:space="preserve"> a)</w:t>
      </w:r>
      <w:r>
        <w:t xml:space="preserve"> la différence entre le taux d’intérêt contractuel et le taux d’intérêt courant pour la durée restante du prêt, </w:t>
      </w:r>
      <w:r w:rsidRPr="00486637">
        <w:t>b)</w:t>
      </w:r>
      <w:r>
        <w:t> sur le montant du remboursement anticipé</w:t>
      </w:r>
      <w:r w:rsidRPr="00486637">
        <w:t>, c)</w:t>
      </w:r>
      <w:r>
        <w:t> pour la durée restante du prêt</w:t>
      </w:r>
      <w:r w:rsidRPr="00486637">
        <w:t xml:space="preserve">. </w:t>
      </w:r>
    </w:p>
    <w:p w14:paraId="0CF518B7" w14:textId="77777777" w:rsidR="00411979" w:rsidRPr="00B27B99" w:rsidRDefault="00411979" w:rsidP="00BB23CD">
      <w:pPr>
        <w:pStyle w:val="JgtParagraphe"/>
        <w:numPr>
          <w:ilvl w:val="0"/>
          <w:numId w:val="18"/>
        </w:numPr>
        <w:spacing w:line="240" w:lineRule="auto"/>
      </w:pPr>
      <w:r w:rsidRPr="007946CB">
        <w:t xml:space="preserve">La majorité des institutions financières intimées, </w:t>
      </w:r>
      <w:r>
        <w:t>do</w:t>
      </w:r>
      <w:r w:rsidRPr="007946CB">
        <w:t xml:space="preserve">nt </w:t>
      </w:r>
      <w:r w:rsidRPr="00C73885">
        <w:t>la Banque</w:t>
      </w:r>
      <w:r w:rsidRPr="007946CB">
        <w:t xml:space="preserve"> TD, calcule la différence dans les taux d’intérêt dans la formule DTI en prenant (i) le taux d’intérêt contractuel et (ii)</w:t>
      </w:r>
      <w:r>
        <w:t xml:space="preserve"> le taux d’intérêt affiché pour la durée restante du prêt moins l’escompte </w:t>
      </w:r>
      <w:r w:rsidRPr="001654BE">
        <w:t>accordé</w:t>
      </w:r>
      <w:r>
        <w:t xml:space="preserve"> lors de l’octroi du prêt</w:t>
      </w:r>
      <w:r w:rsidRPr="007946CB">
        <w:t xml:space="preserve">. </w:t>
      </w:r>
      <w:r w:rsidRPr="00820172">
        <w:t xml:space="preserve">La BNC et la Banque Laurentienne utilisent </w:t>
      </w:r>
      <w:r>
        <w:t>un calcul différent, en ce qu’elles utilisent la différence entre les taux standards ou affichés au moment du prêt (A) et au moment du remboursement (B), mais le résultat est le même</w:t>
      </w:r>
      <w:r>
        <w:rPr>
          <w:rStyle w:val="Appelnotedebasdep"/>
        </w:rPr>
        <w:footnoteReference w:id="6"/>
      </w:r>
      <w:r>
        <w:t>. De plus, la BNC ajoute un mois d’intérêt, jusqu’à un maximum de 500 $.</w:t>
      </w:r>
    </w:p>
    <w:p w14:paraId="31C1D170" w14:textId="77777777" w:rsidR="00411979" w:rsidRPr="00FC78A3" w:rsidRDefault="00411979" w:rsidP="00BB23CD">
      <w:pPr>
        <w:pStyle w:val="JgtParagraphe"/>
        <w:numPr>
          <w:ilvl w:val="0"/>
          <w:numId w:val="24"/>
        </w:numPr>
        <w:spacing w:line="240" w:lineRule="auto"/>
        <w:rPr>
          <w:i/>
          <w:iCs/>
          <w:lang w:val="en-CA"/>
        </w:rPr>
      </w:pPr>
      <w:r>
        <w:rPr>
          <w:lang w:val="en-CA"/>
        </w:rPr>
        <w:t xml:space="preserve">Dossier </w:t>
      </w:r>
      <w:r w:rsidRPr="00FC78A3">
        <w:rPr>
          <w:i/>
          <w:iCs/>
          <w:lang w:val="en-CA"/>
        </w:rPr>
        <w:t>Haroch 1</w:t>
      </w:r>
    </w:p>
    <w:p w14:paraId="738C8EED" w14:textId="77777777" w:rsidR="00411979" w:rsidRPr="00DA6051" w:rsidRDefault="00411979" w:rsidP="00BB23CD">
      <w:pPr>
        <w:pStyle w:val="JgtParagraphe"/>
        <w:numPr>
          <w:ilvl w:val="0"/>
          <w:numId w:val="18"/>
        </w:numPr>
        <w:spacing w:line="240" w:lineRule="auto"/>
      </w:pPr>
      <w:r>
        <w:t>Le présent dossier est la deuxième tentative de Haroch d’intenter une action collective contre les intimées.</w:t>
      </w:r>
    </w:p>
    <w:p w14:paraId="725400BF" w14:textId="3017F870" w:rsidR="00411979" w:rsidRPr="00232F65" w:rsidRDefault="00411979" w:rsidP="00BB23CD">
      <w:pPr>
        <w:pStyle w:val="JgtParagraphe"/>
        <w:numPr>
          <w:ilvl w:val="0"/>
          <w:numId w:val="18"/>
        </w:numPr>
        <w:spacing w:line="240" w:lineRule="auto"/>
      </w:pPr>
      <w:r w:rsidRPr="00203E26">
        <w:rPr>
          <w:kern w:val="0"/>
          <w:szCs w:val="20"/>
          <w:lang w:eastAsia="fr-FR"/>
        </w:rPr>
        <w:t>Le</w:t>
      </w:r>
      <w:r>
        <w:rPr>
          <w:kern w:val="0"/>
          <w:szCs w:val="20"/>
          <w:lang w:eastAsia="fr-FR"/>
        </w:rPr>
        <w:t xml:space="preserve"> premier dossier (</w:t>
      </w:r>
      <w:r w:rsidRPr="00DA6051">
        <w:rPr>
          <w:b/>
          <w:bCs/>
          <w:i/>
          <w:iCs/>
          <w:kern w:val="0"/>
          <w:szCs w:val="20"/>
          <w:lang w:eastAsia="fr-FR"/>
        </w:rPr>
        <w:t>Haroch 1</w:t>
      </w:r>
      <w:r>
        <w:rPr>
          <w:kern w:val="0"/>
          <w:szCs w:val="20"/>
          <w:lang w:eastAsia="fr-FR"/>
        </w:rPr>
        <w:t>) remonte à 2018. Haroch demande alors l’autorisation d’exercer une action collective contre l’ensemble des institutions financières intimées ainsi que la Banque canadienne impériale de commerce (</w:t>
      </w:r>
      <w:r w:rsidRPr="00B27B99">
        <w:rPr>
          <w:b/>
          <w:bCs/>
          <w:kern w:val="0"/>
          <w:szCs w:val="20"/>
          <w:lang w:eastAsia="fr-FR"/>
        </w:rPr>
        <w:t>CIBC</w:t>
      </w:r>
      <w:r>
        <w:rPr>
          <w:kern w:val="0"/>
          <w:szCs w:val="20"/>
          <w:lang w:eastAsia="fr-FR"/>
        </w:rPr>
        <w:t xml:space="preserve">) </w:t>
      </w:r>
      <w:r w:rsidRPr="003851B2">
        <w:rPr>
          <w:kern w:val="0"/>
          <w:szCs w:val="20"/>
          <w:lang w:eastAsia="fr-FR"/>
        </w:rPr>
        <w:t>au</w:t>
      </w:r>
      <w:r>
        <w:rPr>
          <w:kern w:val="0"/>
          <w:szCs w:val="20"/>
          <w:lang w:eastAsia="fr-FR"/>
        </w:rPr>
        <w:t xml:space="preserve"> bénéfice de toutes les personnes physiques qui ont payé des FRA excédant trois mois d’intérêt. </w:t>
      </w:r>
      <w:r w:rsidRPr="00B747AD">
        <w:lastRenderedPageBreak/>
        <w:t>Le</w:t>
      </w:r>
      <w:r w:rsidR="00162289">
        <w:t> </w:t>
      </w:r>
      <w:r w:rsidRPr="00B747AD">
        <w:t xml:space="preserve">deuxième </w:t>
      </w:r>
      <w:r>
        <w:t>demandeur</w:t>
      </w:r>
      <w:r w:rsidRPr="00B747AD">
        <w:t xml:space="preserve">, Avraham Brook, est client de la CIBC. </w:t>
      </w:r>
      <w:r>
        <w:t>Ils</w:t>
      </w:r>
      <w:r w:rsidRPr="00B27B99">
        <w:t xml:space="preserve"> soutien</w:t>
      </w:r>
      <w:r>
        <w:t>nen</w:t>
      </w:r>
      <w:r w:rsidRPr="00B27B99">
        <w:t xml:space="preserve">t que les clauses DTI sont annulables au motif qu’elles sont abusives, incompréhensibles et disproportionnées, et </w:t>
      </w:r>
      <w:r>
        <w:t>ils</w:t>
      </w:r>
      <w:r w:rsidRPr="00B27B99">
        <w:t xml:space="preserve"> demande</w:t>
      </w:r>
      <w:r>
        <w:t>nt</w:t>
      </w:r>
      <w:r w:rsidRPr="00B27B99">
        <w:t xml:space="preserve"> le</w:t>
      </w:r>
      <w:r>
        <w:t xml:space="preserve"> remboursement de toute somme payée excédant trois mois d’intérêt ainsi que le paiement de dommages-intérêts punitifs. </w:t>
      </w:r>
      <w:r w:rsidRPr="00232F65">
        <w:t xml:space="preserve">La juge Chantal Corriveau résume ainsi </w:t>
      </w:r>
      <w:r>
        <w:t>leur</w:t>
      </w:r>
      <w:r w:rsidRPr="00232F65">
        <w:t xml:space="preserve"> position</w:t>
      </w:r>
      <w:r>
        <w:t> </w:t>
      </w:r>
      <w:r w:rsidRPr="00232F65">
        <w:t>:</w:t>
      </w:r>
    </w:p>
    <w:p w14:paraId="1BAD99E6" w14:textId="77777777" w:rsidR="00411979" w:rsidRPr="00C6447A" w:rsidRDefault="00411979" w:rsidP="00BB23CD">
      <w:pPr>
        <w:pStyle w:val="Citationenretrait"/>
        <w:spacing w:line="240" w:lineRule="auto"/>
      </w:pPr>
      <w:r w:rsidRPr="00C6447A">
        <w:t>[2]</w:t>
      </w:r>
      <w:r>
        <w:tab/>
      </w:r>
      <w:r w:rsidRPr="00C6447A">
        <w:t>Les demandeurs</w:t>
      </w:r>
      <w:r>
        <w:t xml:space="preserve"> </w:t>
      </w:r>
      <w:r w:rsidRPr="00C6447A">
        <w:t>exigent</w:t>
      </w:r>
      <w:r>
        <w:t xml:space="preserve"> </w:t>
      </w:r>
      <w:r w:rsidRPr="00C6447A">
        <w:t>le remboursement de tout montant ainsi payé supérieur à trois mois d’intérêt. Ils estiment que de telles clauses sont annulables au motif qu’elles sont incompréhensibles (en violation de l’article 1436 C.c.Q.) abusives (en violation de l’article 1437 C.c.Q.) réductibles puisqu’elles sont des clauses pénales abusives (en violation de l’article 1623 C.c.Q.)</w:t>
      </w:r>
      <w:r>
        <w:t xml:space="preserve"> </w:t>
      </w:r>
      <w:r w:rsidRPr="00C6447A">
        <w:t>disproportionnées</w:t>
      </w:r>
      <w:r>
        <w:t xml:space="preserve"> </w:t>
      </w:r>
      <w:r w:rsidRPr="00C6447A">
        <w:t>(en violation de l’article 8 de la Loi sur la protection des consommateurs (LPC) ce qui donne droit à une réduction des obligations et des dommages punitifs en application de l’article 272 LPC.</w:t>
      </w:r>
      <w:r>
        <w:rPr>
          <w:rStyle w:val="Appelnotedebasdep"/>
        </w:rPr>
        <w:footnoteReference w:id="7"/>
      </w:r>
    </w:p>
    <w:p w14:paraId="6DF5BF6E" w14:textId="77777777" w:rsidR="00411979" w:rsidRPr="008F0162" w:rsidRDefault="00411979" w:rsidP="00BB23CD">
      <w:pPr>
        <w:pStyle w:val="JgtParagraphe"/>
        <w:numPr>
          <w:ilvl w:val="0"/>
          <w:numId w:val="18"/>
        </w:numPr>
        <w:spacing w:line="240" w:lineRule="auto"/>
      </w:pPr>
      <w:r w:rsidRPr="00DB4433">
        <w:t xml:space="preserve">En plaidoirie, leur avocat soulève </w:t>
      </w:r>
      <w:r>
        <w:t xml:space="preserve">oralement </w:t>
      </w:r>
      <w:r w:rsidRPr="00DB4433">
        <w:t>pour la première fois l’argument que l’utilisat</w:t>
      </w:r>
      <w:r>
        <w:t>i</w:t>
      </w:r>
      <w:r w:rsidRPr="00DB4433">
        <w:t xml:space="preserve">on de l’escompte </w:t>
      </w:r>
      <w:r>
        <w:t xml:space="preserve">accordé lors de l’octroi du prêt </w:t>
      </w:r>
      <w:r w:rsidRPr="00DB4433">
        <w:t xml:space="preserve">dans la formule DTI </w:t>
      </w:r>
      <w:r>
        <w:t xml:space="preserve">est abusive parce qu’elle a pour effet de </w:t>
      </w:r>
      <w:r w:rsidRPr="006B3F8F">
        <w:t xml:space="preserve">diminuer artificiellement le taux </w:t>
      </w:r>
      <w:r>
        <w:t>à</w:t>
      </w:r>
      <w:r w:rsidRPr="006B3F8F">
        <w:t xml:space="preserve"> des fins de comparaison et donc d’augmenter le différentiel et l</w:t>
      </w:r>
      <w:r>
        <w:t>es FRA</w:t>
      </w:r>
      <w:r w:rsidRPr="006B3F8F">
        <w:t xml:space="preserve"> payable</w:t>
      </w:r>
      <w:r>
        <w:t>s</w:t>
      </w:r>
      <w:r w:rsidRPr="006B3F8F">
        <w:t xml:space="preserve"> par l’emprunteur</w:t>
      </w:r>
      <w:r>
        <w:t>,</w:t>
      </w:r>
      <w:r w:rsidRPr="006B3F8F">
        <w:t xml:space="preserve"> </w:t>
      </w:r>
      <w:r>
        <w:t>en plus de rendre la clause incompréhensible</w:t>
      </w:r>
      <w:r w:rsidRPr="008F0162">
        <w:t xml:space="preserve">. En outre, il soutient que l’utilisation de l’escompte est contraire aux règles </w:t>
      </w:r>
      <w:r w:rsidRPr="003851B2">
        <w:t>établies par</w:t>
      </w:r>
      <w:r w:rsidRPr="008F0162">
        <w:t xml:space="preserve"> l’Agence de la consomma</w:t>
      </w:r>
      <w:r>
        <w:t>tion en matière financière du Canada (l’</w:t>
      </w:r>
      <w:r w:rsidRPr="00004B7F">
        <w:rPr>
          <w:b/>
          <w:bCs/>
        </w:rPr>
        <w:t>ACFC</w:t>
      </w:r>
      <w:r>
        <w:t>).</w:t>
      </w:r>
    </w:p>
    <w:p w14:paraId="07BDC59E" w14:textId="77777777" w:rsidR="00411979" w:rsidRPr="008F0162" w:rsidRDefault="00411979" w:rsidP="00BB23CD">
      <w:pPr>
        <w:pStyle w:val="JgtParagraphe"/>
        <w:numPr>
          <w:ilvl w:val="0"/>
          <w:numId w:val="18"/>
        </w:numPr>
        <w:spacing w:line="240" w:lineRule="auto"/>
      </w:pPr>
      <w:r w:rsidRPr="008F0162">
        <w:t>Les avocats des institutions financières s’opposent à ce nouvel argument, soutenant qu’il s’agit d’</w:t>
      </w:r>
      <w:r>
        <w:t>une cause d’action qui est entièrement nouvelle et qu’elle est soulevée tardivement.</w:t>
      </w:r>
      <w:r w:rsidRPr="008F0162">
        <w:t xml:space="preserve"> </w:t>
      </w:r>
      <w:r>
        <w:t xml:space="preserve">La juge </w:t>
      </w:r>
      <w:r w:rsidRPr="008F0162">
        <w:t>Corriveau se</w:t>
      </w:r>
      <w:r>
        <w:t>mble d’accord avec eux :</w:t>
      </w:r>
    </w:p>
    <w:p w14:paraId="1652EC2F" w14:textId="77777777" w:rsidR="00411979" w:rsidRPr="00B136AC" w:rsidRDefault="00411979" w:rsidP="00BB23CD">
      <w:pPr>
        <w:pStyle w:val="Citationenretrait"/>
        <w:spacing w:line="240" w:lineRule="auto"/>
      </w:pPr>
      <w:r w:rsidRPr="00B136AC">
        <w:t>[51]</w:t>
      </w:r>
      <w:r>
        <w:tab/>
      </w:r>
      <w:r w:rsidRPr="00B136AC">
        <w:t>Ainsi, les demandeurs ont soulevé dans leur plaidoirie que les clauses attaquées sont illégales, car contraire aux prescriptions de l’ACFC. Ils soutiennent que l’inclusion de la notion d’escompte dans le calcul est interdite, car non permise par les règles obligatoires de l’ACFC.</w:t>
      </w:r>
    </w:p>
    <w:p w14:paraId="063B79E1" w14:textId="77777777" w:rsidR="00411979" w:rsidRDefault="00411979" w:rsidP="00BB23CD">
      <w:pPr>
        <w:pStyle w:val="Citationenretrait"/>
        <w:spacing w:line="240" w:lineRule="auto"/>
      </w:pPr>
      <w:r w:rsidRPr="00B136AC">
        <w:t>[52]</w:t>
      </w:r>
      <w:r>
        <w:tab/>
      </w:r>
      <w:r w:rsidRPr="00634120">
        <w:rPr>
          <w:u w:val="single"/>
        </w:rPr>
        <w:t>Cet argument soulevé en plaidoirie ne cadre pas</w:t>
      </w:r>
      <w:r w:rsidRPr="00B136AC">
        <w:t xml:space="preserve"> avec le règlement précité ni </w:t>
      </w:r>
      <w:r w:rsidRPr="00634120">
        <w:rPr>
          <w:u w:val="single"/>
        </w:rPr>
        <w:t>avec la procédure entreprise</w:t>
      </w:r>
      <w:r w:rsidRPr="00B136AC">
        <w:t xml:space="preserve">. Il n’y a rien dans le texte qui limite ou interdise l’utilisation de la notion d’escompte pour déclarer que cela soit illégal et emporte une violation de la </w:t>
      </w:r>
      <w:r w:rsidRPr="00CE20DD">
        <w:t>règlementation.</w:t>
      </w:r>
      <w:r w:rsidRPr="00B136AC">
        <w:t xml:space="preserve"> </w:t>
      </w:r>
    </w:p>
    <w:p w14:paraId="32BF660F" w14:textId="77777777" w:rsidR="00411979" w:rsidRPr="00B136AC" w:rsidRDefault="00411979" w:rsidP="00BB23CD">
      <w:pPr>
        <w:pStyle w:val="Citationenretrait"/>
        <w:spacing w:line="240" w:lineRule="auto"/>
        <w:jc w:val="right"/>
      </w:pPr>
      <w:r>
        <w:t>[Soulignements ajoutés]</w:t>
      </w:r>
    </w:p>
    <w:p w14:paraId="73BB2590" w14:textId="77777777" w:rsidR="00411979" w:rsidRDefault="00411979" w:rsidP="00BB23CD">
      <w:pPr>
        <w:pStyle w:val="JgtParagraphe"/>
        <w:numPr>
          <w:ilvl w:val="0"/>
          <w:numId w:val="18"/>
        </w:numPr>
        <w:spacing w:line="240" w:lineRule="auto"/>
      </w:pPr>
      <w:r>
        <w:t xml:space="preserve">En outre, elle conclut </w:t>
      </w:r>
      <w:bookmarkStart w:id="13" w:name="_Hlk225838503"/>
      <w:r>
        <w:t xml:space="preserve">que </w:t>
      </w:r>
      <w:bookmarkStart w:id="14" w:name="_Hlk225840035"/>
      <w:r>
        <w:t>l’utilisation du même escompte, ou l’utilisation des taux affichés sans escompte</w:t>
      </w:r>
      <w:bookmarkEnd w:id="14"/>
      <w:r>
        <w:t>, produit « un résultat neutre »</w:t>
      </w:r>
      <w:r>
        <w:rPr>
          <w:rStyle w:val="Appelnotedebasdep"/>
        </w:rPr>
        <w:footnoteReference w:id="8"/>
      </w:r>
      <w:r>
        <w:t xml:space="preserve">. </w:t>
      </w:r>
      <w:bookmarkEnd w:id="13"/>
      <w:r>
        <w:t>En fin de compte</w:t>
      </w:r>
      <w:r w:rsidRPr="003F60E4">
        <w:t xml:space="preserve">, </w:t>
      </w:r>
      <w:r>
        <w:t>elle</w:t>
      </w:r>
      <w:r w:rsidRPr="003F60E4">
        <w:t xml:space="preserve"> rejette la demande d’</w:t>
      </w:r>
      <w:r>
        <w:t>autorisation, sauf en ce qui concerne la période d’amortissement dans le cas de la CIBC. Voici sa conclusion :</w:t>
      </w:r>
    </w:p>
    <w:p w14:paraId="6D9CF687" w14:textId="77777777" w:rsidR="00411979" w:rsidRPr="00513C12" w:rsidRDefault="00411979" w:rsidP="00BB23CD">
      <w:pPr>
        <w:pStyle w:val="Citationenretrait"/>
        <w:spacing w:line="240" w:lineRule="auto"/>
      </w:pPr>
      <w:r>
        <w:lastRenderedPageBreak/>
        <w:t>[100]</w:t>
      </w:r>
      <w:r>
        <w:tab/>
      </w:r>
      <w:r w:rsidRPr="00513C12">
        <w:t>Dans le cas contraire</w:t>
      </w:r>
      <w:r>
        <w:t xml:space="preserve"> [FRA calculés selon la formule DTI]</w:t>
      </w:r>
      <w:r w:rsidRPr="00513C12">
        <w:t>; la banque obtient une indemnité nécessairement moins élevée que si le consommateur avait conservé son hypothèque jusqu’à la fin du contrat de prêt. La banque limite sa perte en calculant une indemnité. Le Tribunal ne peut y voir d’abus, lésion ou pénalité déraisonnable, indue, excessive ou disproportionnée.</w:t>
      </w:r>
    </w:p>
    <w:p w14:paraId="39AA8491" w14:textId="77777777" w:rsidR="00411979" w:rsidRPr="00AE374C" w:rsidRDefault="00411979" w:rsidP="00BB23CD">
      <w:pPr>
        <w:pStyle w:val="JgtParagraphe"/>
        <w:numPr>
          <w:ilvl w:val="0"/>
          <w:numId w:val="18"/>
        </w:numPr>
        <w:spacing w:line="240" w:lineRule="auto"/>
      </w:pPr>
      <w:r>
        <w:t xml:space="preserve">Haroch et Brook portent en appel le refus d’autoriser un recours collectif contre les institutions financières, et la CIBC porte en appel l’autorisation du recours collectif contre elle. </w:t>
      </w:r>
      <w:r w:rsidRPr="003F60E4">
        <w:t xml:space="preserve">Un règlement intervient entre </w:t>
      </w:r>
      <w:r>
        <w:t xml:space="preserve">la CIBC et Brook pour mettre fin à un appel. </w:t>
      </w:r>
      <w:r w:rsidRPr="00634120">
        <w:t>Dans le cadre de son appel, Haroch demande la perm</w:t>
      </w:r>
      <w:r>
        <w:t xml:space="preserve">ission de produire une demande substantiellement modifiée pour traiter de la notion des escomptes. </w:t>
      </w:r>
      <w:r w:rsidRPr="006B3F8F">
        <w:t>La Cour refuse la</w:t>
      </w:r>
      <w:r>
        <w:t xml:space="preserve"> </w:t>
      </w:r>
      <w:r w:rsidRPr="006B3F8F">
        <w:t>m</w:t>
      </w:r>
      <w:r>
        <w:t>odification en raison du</w:t>
      </w:r>
      <w:r w:rsidRPr="00AE374C">
        <w:t xml:space="preserve"> fait qu’</w:t>
      </w:r>
      <w:r>
        <w:t>« </w:t>
      </w:r>
      <w:r w:rsidRPr="006B3F8F">
        <w:t>il n’existe aucune allégation dans la demande en autorisation qui a été débattue en première instance au sujet des escomptes</w:t>
      </w:r>
      <w:r>
        <w:t> » et que l’appelante présente « un tout nouveau syllogisme en appel »</w:t>
      </w:r>
      <w:r>
        <w:rPr>
          <w:rStyle w:val="Appelnotedebasdep"/>
        </w:rPr>
        <w:footnoteReference w:id="9"/>
      </w:r>
      <w:r>
        <w:t>. Comme Haroch reconnaît par ailleurs que sans l’argument de l’escompte, elle ne peut contester les FRA, son appel est rejeté</w:t>
      </w:r>
      <w:r>
        <w:rPr>
          <w:rStyle w:val="Appelnotedebasdep"/>
        </w:rPr>
        <w:footnoteReference w:id="10"/>
      </w:r>
      <w:r>
        <w:t>.</w:t>
      </w:r>
    </w:p>
    <w:p w14:paraId="5DAC7B53" w14:textId="77777777" w:rsidR="00411979" w:rsidRPr="00C42151" w:rsidRDefault="00411979" w:rsidP="00BB23CD">
      <w:pPr>
        <w:pStyle w:val="JgtParagraphe"/>
        <w:numPr>
          <w:ilvl w:val="0"/>
          <w:numId w:val="24"/>
        </w:numPr>
        <w:spacing w:line="240" w:lineRule="auto"/>
        <w:rPr>
          <w:i/>
          <w:iCs/>
          <w:lang w:val="en-CA"/>
        </w:rPr>
      </w:pPr>
      <w:r>
        <w:rPr>
          <w:lang w:val="en-CA"/>
        </w:rPr>
        <w:t xml:space="preserve">Dossier </w:t>
      </w:r>
      <w:r w:rsidRPr="00C42151">
        <w:rPr>
          <w:i/>
          <w:iCs/>
          <w:lang w:val="en-CA"/>
        </w:rPr>
        <w:t>Haroch 2</w:t>
      </w:r>
    </w:p>
    <w:p w14:paraId="3D041863" w14:textId="77777777" w:rsidR="00411979" w:rsidRPr="00B17495" w:rsidRDefault="00411979" w:rsidP="00BB23CD">
      <w:pPr>
        <w:pStyle w:val="JgtParagraphe"/>
        <w:numPr>
          <w:ilvl w:val="0"/>
          <w:numId w:val="18"/>
        </w:numPr>
        <w:spacing w:line="240" w:lineRule="auto"/>
      </w:pPr>
      <w:r w:rsidRPr="00881B40">
        <w:t>Trois</w:t>
      </w:r>
      <w:r w:rsidRPr="00B17495">
        <w:t xml:space="preserve"> jours après le rejet de son appel dans </w:t>
      </w:r>
      <w:r w:rsidRPr="00B17495">
        <w:rPr>
          <w:i/>
          <w:iCs/>
        </w:rPr>
        <w:t>Haroch 1</w:t>
      </w:r>
      <w:r w:rsidRPr="00B17495">
        <w:t>, Haroch d</w:t>
      </w:r>
      <w:r>
        <w:t>épose une nouvelle demande d’autorisation dans le présent dossier</w:t>
      </w:r>
      <w:r w:rsidRPr="00B17495">
        <w:t xml:space="preserve"> (</w:t>
      </w:r>
      <w:r w:rsidRPr="00B17495">
        <w:rPr>
          <w:i/>
          <w:iCs/>
        </w:rPr>
        <w:t>Haroch 2</w:t>
      </w:r>
      <w:r w:rsidRPr="00B17495">
        <w:t>)</w:t>
      </w:r>
      <w:r>
        <w:t xml:space="preserve">, qui vise toutes les institutions financières incluses dans </w:t>
      </w:r>
      <w:r w:rsidRPr="005E0472">
        <w:rPr>
          <w:i/>
          <w:iCs/>
        </w:rPr>
        <w:t>Haroch</w:t>
      </w:r>
      <w:r>
        <w:rPr>
          <w:i/>
          <w:iCs/>
        </w:rPr>
        <w:t xml:space="preserve"> </w:t>
      </w:r>
      <w:r w:rsidRPr="005E0472">
        <w:rPr>
          <w:i/>
          <w:iCs/>
        </w:rPr>
        <w:t>1</w:t>
      </w:r>
      <w:r>
        <w:t>, à l’exception de la CIBC.</w:t>
      </w:r>
      <w:r w:rsidRPr="00B17495">
        <w:t xml:space="preserve"> Vaillancourt se joint à elle comme </w:t>
      </w:r>
      <w:r>
        <w:t xml:space="preserve">codemandeur le 31 janvier </w:t>
      </w:r>
      <w:r w:rsidRPr="00B17495">
        <w:t>2022.</w:t>
      </w:r>
    </w:p>
    <w:p w14:paraId="612863C2" w14:textId="77777777" w:rsidR="00411979" w:rsidRPr="00340BE0" w:rsidRDefault="00411979" w:rsidP="00BB23CD">
      <w:pPr>
        <w:pStyle w:val="JgtParagraphe"/>
        <w:numPr>
          <w:ilvl w:val="0"/>
          <w:numId w:val="18"/>
        </w:numPr>
        <w:spacing w:line="240" w:lineRule="auto"/>
      </w:pPr>
      <w:r w:rsidRPr="00340BE0">
        <w:t xml:space="preserve">Dans leur demande modifiée d’autorisation d’intenter une action collective, les appelants plaident que </w:t>
      </w:r>
      <w:r>
        <w:t>la formule DTI est faussée par l</w:t>
      </w:r>
      <w:r w:rsidRPr="00340BE0">
        <w:t>’utilis</w:t>
      </w:r>
      <w:r>
        <w:t>ation de</w:t>
      </w:r>
      <w:r w:rsidRPr="00340BE0">
        <w:t xml:space="preserve"> l’escompte </w:t>
      </w:r>
      <w:r w:rsidRPr="001654BE">
        <w:t>accordé</w:t>
      </w:r>
      <w:r w:rsidRPr="00340BE0">
        <w:t xml:space="preserve"> lors de </w:t>
      </w:r>
      <w:r>
        <w:t>l’octroi du prêt dans le calcul du taux d’intérêt courant (ce qu’ils appellent le « </w:t>
      </w:r>
      <w:r w:rsidRPr="00340BE0">
        <w:rPr>
          <w:i/>
          <w:iCs/>
        </w:rPr>
        <w:t>constant discount</w:t>
      </w:r>
      <w:r>
        <w:t> ») :</w:t>
      </w:r>
    </w:p>
    <w:p w14:paraId="6587E27D" w14:textId="647728B8" w:rsidR="00411979" w:rsidRPr="00C44D60" w:rsidRDefault="00411979" w:rsidP="00BB23CD">
      <w:pPr>
        <w:pStyle w:val="Citationenretrait"/>
        <w:tabs>
          <w:tab w:val="left" w:pos="1134"/>
        </w:tabs>
        <w:spacing w:line="240" w:lineRule="auto"/>
        <w:rPr>
          <w:lang w:val="en-CA"/>
        </w:rPr>
      </w:pPr>
      <w:r w:rsidRPr="00C44D60">
        <w:rPr>
          <w:lang w:val="en-CA"/>
        </w:rPr>
        <w:t>10.</w:t>
      </w:r>
      <w:r w:rsidR="00BB23CD">
        <w:rPr>
          <w:lang w:val="en-CA"/>
        </w:rPr>
        <w:tab/>
      </w:r>
      <w:r w:rsidRPr="00C44D60">
        <w:rPr>
          <w:lang w:val="en-CA"/>
        </w:rPr>
        <w:t>The Applicants’ legal syllogism is the following: The Defendants deceitfully</w:t>
      </w:r>
      <w:r>
        <w:rPr>
          <w:lang w:val="en-CA"/>
        </w:rPr>
        <w:t xml:space="preserve"> </w:t>
      </w:r>
      <w:r w:rsidRPr="00C44D60">
        <w:rPr>
          <w:lang w:val="en-CA"/>
        </w:rPr>
        <w:t>incorporate the concept of a “constant discount” (as a percentage) in their IRD</w:t>
      </w:r>
      <w:r>
        <w:rPr>
          <w:lang w:val="en-CA"/>
        </w:rPr>
        <w:t xml:space="preserve"> </w:t>
      </w:r>
      <w:r w:rsidRPr="00C44D60">
        <w:rPr>
          <w:lang w:val="en-CA"/>
        </w:rPr>
        <w:t>formula. They then incorporate this same constant discount to calculate the</w:t>
      </w:r>
      <w:r>
        <w:rPr>
          <w:lang w:val="en-CA"/>
        </w:rPr>
        <w:t xml:space="preserve"> </w:t>
      </w:r>
      <w:r w:rsidRPr="00C44D60">
        <w:rPr>
          <w:lang w:val="en-CA"/>
        </w:rPr>
        <w:t>prepayment indemnity, even though the Defendants’ discounts – just like their</w:t>
      </w:r>
      <w:r>
        <w:rPr>
          <w:lang w:val="en-CA"/>
        </w:rPr>
        <w:t xml:space="preserve"> </w:t>
      </w:r>
      <w:r w:rsidRPr="00C44D60">
        <w:rPr>
          <w:lang w:val="en-CA"/>
        </w:rPr>
        <w:t>interest rates – vary constantly according to the borrower and over time. This</w:t>
      </w:r>
      <w:r>
        <w:rPr>
          <w:lang w:val="en-CA"/>
        </w:rPr>
        <w:t xml:space="preserve"> </w:t>
      </w:r>
      <w:r w:rsidRPr="00C44D60">
        <w:rPr>
          <w:lang w:val="en-CA"/>
        </w:rPr>
        <w:t>artificially creates or inflates a loss, which is not allowed by Directive CG-4 and the</w:t>
      </w:r>
      <w:r>
        <w:rPr>
          <w:lang w:val="en-CA"/>
        </w:rPr>
        <w:t xml:space="preserve"> </w:t>
      </w:r>
      <w:r w:rsidRPr="00C44D60">
        <w:rPr>
          <w:lang w:val="en-CA"/>
        </w:rPr>
        <w:t>Civil Code, and which is against the purported objective of the indemnity</w:t>
      </w:r>
      <w:r>
        <w:rPr>
          <w:lang w:val="en-CA"/>
        </w:rPr>
        <w:t xml:space="preserve"> </w:t>
      </w:r>
      <w:r w:rsidRPr="00C44D60">
        <w:rPr>
          <w:lang w:val="en-CA"/>
        </w:rPr>
        <w:t>announced by the Defendants;</w:t>
      </w:r>
    </w:p>
    <w:p w14:paraId="2908CD86" w14:textId="2E0B2BAF" w:rsidR="00411979" w:rsidRPr="00C44D60" w:rsidRDefault="00411979" w:rsidP="00BB23CD">
      <w:pPr>
        <w:pStyle w:val="Citationenretrait"/>
        <w:tabs>
          <w:tab w:val="left" w:pos="1134"/>
        </w:tabs>
        <w:spacing w:line="240" w:lineRule="auto"/>
        <w:rPr>
          <w:lang w:val="en-CA"/>
        </w:rPr>
      </w:pPr>
      <w:r w:rsidRPr="00C44D60">
        <w:rPr>
          <w:lang w:val="en-CA"/>
        </w:rPr>
        <w:t>11.</w:t>
      </w:r>
      <w:r w:rsidR="00BB23CD">
        <w:rPr>
          <w:lang w:val="en-CA"/>
        </w:rPr>
        <w:tab/>
      </w:r>
      <w:r w:rsidRPr="00C44D60">
        <w:rPr>
          <w:lang w:val="en-CA"/>
        </w:rPr>
        <w:t>Simply put, by applying the exact same discount to their posted comparator rate</w:t>
      </w:r>
      <w:r>
        <w:rPr>
          <w:lang w:val="en-CA"/>
        </w:rPr>
        <w:t xml:space="preserve"> </w:t>
      </w:r>
      <w:r w:rsidRPr="00C44D60">
        <w:rPr>
          <w:lang w:val="en-CA"/>
        </w:rPr>
        <w:t>(at the time of prepayment) as they do to the posted rate (at the time of the loan)</w:t>
      </w:r>
      <w:r>
        <w:rPr>
          <w:lang w:val="en-CA"/>
        </w:rPr>
        <w:t xml:space="preserve"> </w:t>
      </w:r>
      <w:r w:rsidRPr="00C44D60">
        <w:rPr>
          <w:lang w:val="en-CA"/>
        </w:rPr>
        <w:t>the Defendants make an illegal and hidden profit. In order to calculate their actual</w:t>
      </w:r>
      <w:r>
        <w:rPr>
          <w:lang w:val="en-CA"/>
        </w:rPr>
        <w:t xml:space="preserve"> </w:t>
      </w:r>
      <w:r w:rsidRPr="00C44D60">
        <w:rPr>
          <w:lang w:val="en-CA"/>
        </w:rPr>
        <w:t>loss at the time of prepayment – and to comply with Directive CG-4 – the</w:t>
      </w:r>
      <w:r>
        <w:rPr>
          <w:lang w:val="en-CA"/>
        </w:rPr>
        <w:t xml:space="preserve"> </w:t>
      </w:r>
      <w:r w:rsidRPr="00C44D60">
        <w:rPr>
          <w:lang w:val="en-CA"/>
        </w:rPr>
        <w:lastRenderedPageBreak/>
        <w:t>Defendants must apply the discount to the comparator posted rate at the time of</w:t>
      </w:r>
      <w:r>
        <w:rPr>
          <w:lang w:val="en-CA"/>
        </w:rPr>
        <w:t xml:space="preserve"> </w:t>
      </w:r>
      <w:r w:rsidRPr="00C44D60">
        <w:rPr>
          <w:lang w:val="en-CA"/>
        </w:rPr>
        <w:t>prepayment (as opposed to the discounts given years prior at the time of the loan);</w:t>
      </w:r>
    </w:p>
    <w:p w14:paraId="51C147AC" w14:textId="77777777" w:rsidR="00411979" w:rsidRDefault="00411979" w:rsidP="00BB23CD">
      <w:pPr>
        <w:pStyle w:val="JgtParagraphe"/>
        <w:numPr>
          <w:ilvl w:val="0"/>
          <w:numId w:val="18"/>
        </w:numPr>
        <w:spacing w:line="240" w:lineRule="auto"/>
      </w:pPr>
      <w:r w:rsidRPr="00A976A7">
        <w:t>Les appelants</w:t>
      </w:r>
      <w:r w:rsidRPr="00851573">
        <w:t xml:space="preserve"> déposent à l’appui de leur demande le rapport de </w:t>
      </w:r>
      <w:r w:rsidRPr="00DD3A5C">
        <w:t>l’expert</w:t>
      </w:r>
      <w:r>
        <w:t xml:space="preserve"> </w:t>
      </w:r>
      <w:r w:rsidRPr="00851573">
        <w:t>Jeremy Bell</w:t>
      </w:r>
      <w:r>
        <w:rPr>
          <w:rStyle w:val="Appelnotedebasdep"/>
        </w:rPr>
        <w:footnoteReference w:id="11"/>
      </w:r>
      <w:r w:rsidRPr="00851573">
        <w:t xml:space="preserve">. </w:t>
      </w:r>
      <w:r w:rsidRPr="00E52E6E">
        <w:t xml:space="preserve">Il décrit le fonctionnement de la formule DTI et il analyse en détail les informations </w:t>
      </w:r>
      <w:r>
        <w:t xml:space="preserve">de la Banque du Canada </w:t>
      </w:r>
      <w:r w:rsidRPr="00E52E6E">
        <w:t>quan</w:t>
      </w:r>
      <w:r>
        <w:t>t aux escomptes</w:t>
      </w:r>
      <w:r w:rsidRPr="00E52E6E">
        <w:t xml:space="preserve"> accordé</w:t>
      </w:r>
      <w:r>
        <w:t>s</w:t>
      </w:r>
      <w:r w:rsidRPr="00E52E6E">
        <w:t xml:space="preserve"> par les institutions financières</w:t>
      </w:r>
      <w:r>
        <w:t xml:space="preserve">. </w:t>
      </w:r>
      <w:r w:rsidRPr="00A3469F">
        <w:t xml:space="preserve">Il </w:t>
      </w:r>
      <w:r>
        <w:t xml:space="preserve">constate </w:t>
      </w:r>
      <w:r w:rsidRPr="00A3469F">
        <w:t xml:space="preserve">que les escomptes sont généralement </w:t>
      </w:r>
      <w:r>
        <w:t xml:space="preserve">1 % </w:t>
      </w:r>
      <w:r w:rsidRPr="00A3469F">
        <w:t xml:space="preserve">plus élevés sur un prêt </w:t>
      </w:r>
      <w:r>
        <w:t xml:space="preserve">de cinq ans que sur un prêt de trois ans. </w:t>
      </w:r>
      <w:r w:rsidRPr="00314BEA">
        <w:t xml:space="preserve">En conséquence, </w:t>
      </w:r>
      <w:r>
        <w:t>il conclut que l’utilisation de l’</w:t>
      </w:r>
      <w:r w:rsidRPr="00314BEA">
        <w:t xml:space="preserve">escompte </w:t>
      </w:r>
      <w:r w:rsidRPr="001654BE">
        <w:t>accordé</w:t>
      </w:r>
      <w:r>
        <w:t xml:space="preserve"> lors de l’octroi du prêt </w:t>
      </w:r>
      <w:r w:rsidRPr="00314BEA">
        <w:t xml:space="preserve">dans le calcul du taux d’intérêt courant (ou </w:t>
      </w:r>
      <w:r>
        <w:t>l’</w:t>
      </w:r>
      <w:r w:rsidRPr="00314BEA">
        <w:t>utilisat</w:t>
      </w:r>
      <w:r>
        <w:t>ion d</w:t>
      </w:r>
      <w:r w:rsidRPr="00314BEA">
        <w:t xml:space="preserve">es taux affichés sans escompte) </w:t>
      </w:r>
      <w:r>
        <w:t>vise à systématiquement surindemniser les banques pour les pertes économiques liées aux remboursements anticipés (</w:t>
      </w:r>
      <w:r w:rsidRPr="00314BEA">
        <w:t>« </w:t>
      </w:r>
      <w:r w:rsidRPr="00314BEA">
        <w:rPr>
          <w:i/>
          <w:iCs/>
        </w:rPr>
        <w:t>serves to systematically and significantly overcompensate banks for their economic loss associated with prepayments</w:t>
      </w:r>
      <w:r w:rsidRPr="00314BEA">
        <w:t> »</w:t>
      </w:r>
      <w:r>
        <w:t>).</w:t>
      </w:r>
      <w:r w:rsidRPr="00314BEA">
        <w:t xml:space="preserve"> </w:t>
      </w:r>
    </w:p>
    <w:p w14:paraId="7EE781F3" w14:textId="77777777" w:rsidR="00411979" w:rsidRDefault="00411979" w:rsidP="00BB23CD">
      <w:pPr>
        <w:pStyle w:val="JgtParagraphe"/>
        <w:numPr>
          <w:ilvl w:val="0"/>
          <w:numId w:val="18"/>
        </w:numPr>
        <w:spacing w:line="240" w:lineRule="auto"/>
      </w:pPr>
      <w:r w:rsidRPr="00314BEA">
        <w:t xml:space="preserve">Les appelants modifient deux fois </w:t>
      </w:r>
      <w:r>
        <w:t xml:space="preserve">pendant leur plaidoirie </w:t>
      </w:r>
      <w:r w:rsidRPr="00314BEA">
        <w:t>les questions communes</w:t>
      </w:r>
      <w:r>
        <w:t xml:space="preserve"> proposées pour finir par proposer la question principale suivante :</w:t>
      </w:r>
    </w:p>
    <w:p w14:paraId="127139C5" w14:textId="77777777" w:rsidR="00411979" w:rsidRPr="006B3167" w:rsidRDefault="00411979" w:rsidP="00BB23CD">
      <w:pPr>
        <w:pStyle w:val="Citationenretrait"/>
        <w:spacing w:line="240" w:lineRule="auto"/>
      </w:pPr>
      <w:r w:rsidRPr="006B3167">
        <w:t>a)</w:t>
      </w:r>
      <w:r w:rsidRPr="006B3167">
        <w:tab/>
        <w:t>Les Défenderesses reçoivent-elles une indemnité plus élevée au moment du remboursement anticipé d</w:t>
      </w:r>
      <w:r>
        <w:t>’</w:t>
      </w:r>
      <w:r w:rsidRPr="006B3167">
        <w:t>une hypothèque à taux fixe</w:t>
      </w:r>
      <w:r>
        <w:t> </w:t>
      </w:r>
      <w:r w:rsidRPr="006B3167">
        <w:t>: (i) en ignorant toute variation à la baisse de l</w:t>
      </w:r>
      <w:r>
        <w:t>’</w:t>
      </w:r>
      <w:r w:rsidRPr="006B3167">
        <w:t>escompte ou de la réduction entre le moment de l</w:t>
      </w:r>
      <w:r>
        <w:t>’</w:t>
      </w:r>
      <w:r w:rsidRPr="006B3167">
        <w:t>hypothèque et le moment du remboursement anticipé; ou (ii) en utilisant, à titre de comparaison, les taux affichés à ces deux périodes au lieu des taux effectifs accordés pour des hypothèques similaires?</w:t>
      </w:r>
    </w:p>
    <w:p w14:paraId="1CC20306" w14:textId="77777777" w:rsidR="00411979" w:rsidRPr="00FC78A3" w:rsidRDefault="00411979" w:rsidP="00BB23CD">
      <w:pPr>
        <w:pStyle w:val="JgtParagraphe"/>
        <w:tabs>
          <w:tab w:val="clear" w:pos="720"/>
        </w:tabs>
        <w:spacing w:line="240" w:lineRule="auto"/>
        <w:rPr>
          <w:b/>
          <w:bCs/>
          <w:lang w:val="en-CA"/>
        </w:rPr>
      </w:pPr>
      <w:r w:rsidRPr="00FC78A3">
        <w:rPr>
          <w:b/>
          <w:bCs/>
          <w:lang w:val="en-CA"/>
        </w:rPr>
        <w:t>JUGEMENT ENTREPRIS</w:t>
      </w:r>
    </w:p>
    <w:p w14:paraId="59FAC975" w14:textId="77777777" w:rsidR="00411979" w:rsidRPr="006B3167" w:rsidRDefault="00411979" w:rsidP="00BB23CD">
      <w:pPr>
        <w:pStyle w:val="JgtParagraphe"/>
        <w:numPr>
          <w:ilvl w:val="0"/>
          <w:numId w:val="18"/>
        </w:numPr>
        <w:spacing w:line="240" w:lineRule="auto"/>
      </w:pPr>
      <w:r w:rsidRPr="006B3167">
        <w:t xml:space="preserve">Le juge </w:t>
      </w:r>
      <w:r>
        <w:t>de première instance</w:t>
      </w:r>
      <w:r w:rsidRPr="006B3167">
        <w:t xml:space="preserve"> rejette la demande d’autorisation.</w:t>
      </w:r>
    </w:p>
    <w:p w14:paraId="050F63E6" w14:textId="77777777" w:rsidR="00411979" w:rsidRDefault="00411979" w:rsidP="00BB23CD">
      <w:pPr>
        <w:pStyle w:val="Paragraphe"/>
        <w:spacing w:line="240" w:lineRule="auto"/>
        <w:rPr>
          <w:rFonts w:cs="Arial"/>
          <w:color w:val="000000"/>
          <w:szCs w:val="24"/>
          <w:lang w:eastAsia="en-US"/>
        </w:rPr>
      </w:pPr>
      <w:r>
        <w:rPr>
          <w:rFonts w:cs="Arial"/>
          <w:color w:val="000000"/>
          <w:szCs w:val="24"/>
          <w:lang w:eastAsia="en-US"/>
        </w:rPr>
        <w:t>Il</w:t>
      </w:r>
      <w:r w:rsidRPr="00157FE1">
        <w:rPr>
          <w:rFonts w:cs="Arial"/>
          <w:color w:val="000000"/>
          <w:szCs w:val="24"/>
          <w:lang w:eastAsia="en-US"/>
        </w:rPr>
        <w:t xml:space="preserve"> tient pour avéré que les taux </w:t>
      </w:r>
      <w:r>
        <w:rPr>
          <w:rFonts w:cs="Arial"/>
          <w:color w:val="000000"/>
          <w:szCs w:val="24"/>
          <w:lang w:eastAsia="en-US"/>
        </w:rPr>
        <w:t xml:space="preserve">d’intérêt </w:t>
      </w:r>
      <w:r w:rsidRPr="00157FE1">
        <w:rPr>
          <w:rFonts w:cs="Arial"/>
          <w:color w:val="000000"/>
          <w:szCs w:val="24"/>
          <w:lang w:eastAsia="en-US"/>
        </w:rPr>
        <w:t xml:space="preserve">affichés ne représentent pas la réalité des taux accordés et que systématiquement les banques appliquent des escomptes. Il tient aussi pour avéré que les escomptes effectivement accordés diminuent lorsque les taux d’intérêt </w:t>
      </w:r>
      <w:r>
        <w:rPr>
          <w:rFonts w:cs="Arial"/>
          <w:color w:val="000000"/>
          <w:szCs w:val="24"/>
          <w:lang w:eastAsia="en-US"/>
        </w:rPr>
        <w:t>baissent</w:t>
      </w:r>
      <w:r w:rsidRPr="00157FE1">
        <w:rPr>
          <w:rFonts w:cs="Arial"/>
          <w:color w:val="000000"/>
          <w:szCs w:val="24"/>
          <w:lang w:eastAsia="en-US"/>
        </w:rPr>
        <w:t xml:space="preserve"> et plus la durée du prêt est courte. De ce fait, l’escompte accordé </w:t>
      </w:r>
      <w:r>
        <w:rPr>
          <w:rFonts w:cs="Arial"/>
          <w:color w:val="000000"/>
          <w:szCs w:val="24"/>
          <w:lang w:eastAsia="en-US"/>
        </w:rPr>
        <w:t>lors de l’octroi</w:t>
      </w:r>
      <w:r w:rsidRPr="00157FE1">
        <w:rPr>
          <w:rFonts w:cs="Arial"/>
          <w:color w:val="000000"/>
          <w:szCs w:val="24"/>
          <w:lang w:eastAsia="en-US"/>
        </w:rPr>
        <w:t xml:space="preserve"> du prêt, dans un marché où les intérêts sont en baisse, est nécessairement moindre au moment du remboursement</w:t>
      </w:r>
      <w:r>
        <w:rPr>
          <w:rStyle w:val="Appelnotedebasdep"/>
          <w:rFonts w:cs="Arial"/>
          <w:color w:val="000000"/>
          <w:szCs w:val="24"/>
          <w:lang w:eastAsia="en-US"/>
        </w:rPr>
        <w:footnoteReference w:id="12"/>
      </w:r>
      <w:r w:rsidRPr="00157FE1">
        <w:rPr>
          <w:rFonts w:cs="Arial"/>
          <w:color w:val="000000"/>
          <w:szCs w:val="24"/>
          <w:lang w:eastAsia="en-US"/>
        </w:rPr>
        <w:t xml:space="preserve">. </w:t>
      </w:r>
    </w:p>
    <w:p w14:paraId="3A783297" w14:textId="77777777" w:rsidR="00411979" w:rsidRPr="00D630E3" w:rsidRDefault="00411979" w:rsidP="00BB23CD">
      <w:pPr>
        <w:pStyle w:val="JgtParagraphe"/>
        <w:numPr>
          <w:ilvl w:val="0"/>
          <w:numId w:val="18"/>
        </w:numPr>
        <w:spacing w:line="240" w:lineRule="auto"/>
      </w:pPr>
      <w:r>
        <w:t xml:space="preserve">Néanmoins, il estime que le syllogisme proposé par les appelants est « insoutenable » en raison de </w:t>
      </w:r>
      <w:r w:rsidRPr="00E952A0">
        <w:t xml:space="preserve">la règle du </w:t>
      </w:r>
      <w:r w:rsidRPr="00E952A0">
        <w:rPr>
          <w:i/>
          <w:iCs/>
        </w:rPr>
        <w:t>stare decisis</w:t>
      </w:r>
      <w:r>
        <w:rPr>
          <w:i/>
          <w:iCs/>
        </w:rPr>
        <w:t> </w:t>
      </w:r>
      <w:r>
        <w:t>:</w:t>
      </w:r>
    </w:p>
    <w:p w14:paraId="3039A200" w14:textId="77777777" w:rsidR="00411979" w:rsidRPr="00157FE1" w:rsidRDefault="00411979" w:rsidP="00BB23CD">
      <w:pPr>
        <w:pStyle w:val="Citationenretrait"/>
        <w:spacing w:line="240" w:lineRule="auto"/>
      </w:pPr>
      <w:r w:rsidRPr="00157FE1">
        <w:t>[56]</w:t>
      </w:r>
      <w:r w:rsidRPr="00157FE1">
        <w:tab/>
        <w:t xml:space="preserve">Cela étant dit, tout en acceptant ces allégations comme fondées, le Tribunal estime que la règle du </w:t>
      </w:r>
      <w:r w:rsidRPr="00157FE1">
        <w:rPr>
          <w:i/>
          <w:iCs/>
        </w:rPr>
        <w:t>stare decisis</w:t>
      </w:r>
      <w:r w:rsidRPr="00157FE1">
        <w:t xml:space="preserve"> à la lumière de </w:t>
      </w:r>
      <w:r w:rsidRPr="00157FE1">
        <w:rPr>
          <w:i/>
          <w:iCs/>
        </w:rPr>
        <w:t>Brunelle</w:t>
      </w:r>
      <w:r w:rsidRPr="00157FE1">
        <w:t xml:space="preserve">, du Jugement Corriveau confirmé </w:t>
      </w:r>
      <w:r w:rsidRPr="00157FE1">
        <w:rPr>
          <w:i/>
          <w:iCs/>
        </w:rPr>
        <w:t>Haroch 1 QCCA</w:t>
      </w:r>
      <w:r w:rsidRPr="00157FE1">
        <w:t xml:space="preserve"> et plus généralement de l’article 1437 C.c.Q., </w:t>
      </w:r>
      <w:r w:rsidRPr="00DB5DA9">
        <w:lastRenderedPageBreak/>
        <w:t>rendent insoutenables le syllogis</w:t>
      </w:r>
      <w:r w:rsidRPr="00157FE1">
        <w:t>me proposé par les demandeurs, même en tenant ces faits pour avérés.</w:t>
      </w:r>
    </w:p>
    <w:p w14:paraId="2E0896FE" w14:textId="77777777" w:rsidR="00411979" w:rsidRPr="0078242C" w:rsidRDefault="00411979" w:rsidP="00BB23CD">
      <w:pPr>
        <w:pStyle w:val="JgtParagraphe"/>
        <w:numPr>
          <w:ilvl w:val="0"/>
          <w:numId w:val="18"/>
        </w:numPr>
        <w:spacing w:line="240" w:lineRule="auto"/>
      </w:pPr>
      <w:r w:rsidRPr="00CF73E1">
        <w:t xml:space="preserve"> Il explique que </w:t>
      </w:r>
      <w:r>
        <w:t xml:space="preserve">les jugements dans </w:t>
      </w:r>
      <w:r w:rsidRPr="00D630E3">
        <w:rPr>
          <w:i/>
          <w:iCs/>
        </w:rPr>
        <w:t>Haroch 1</w:t>
      </w:r>
      <w:r w:rsidRPr="00CF73E1">
        <w:t xml:space="preserve"> n’</w:t>
      </w:r>
      <w:r>
        <w:t>ont</w:t>
      </w:r>
      <w:r w:rsidRPr="00CF73E1">
        <w:t xml:space="preserve"> pas l’autorité de la chose jugée au sens de l’article 2848 </w:t>
      </w:r>
      <w:r w:rsidRPr="00D630E3">
        <w:rPr>
          <w:i/>
          <w:iCs/>
        </w:rPr>
        <w:t>C.c.Q.</w:t>
      </w:r>
      <w:r w:rsidRPr="00CF73E1">
        <w:t>, car les faits soulevés à l’égard de l’effet de l’escompte n’ont pas été soulevés en première instance</w:t>
      </w:r>
      <w:r>
        <w:t xml:space="preserve"> et la modification a été refusée en appel</w:t>
      </w:r>
      <w:r w:rsidRPr="00CF73E1">
        <w:t xml:space="preserve">. </w:t>
      </w:r>
      <w:r w:rsidRPr="00205558">
        <w:t xml:space="preserve">Toutefois, il estime que </w:t>
      </w:r>
      <w:r>
        <w:t>« </w:t>
      </w:r>
      <w:r w:rsidRPr="00205558">
        <w:t xml:space="preserve">les précédents </w:t>
      </w:r>
      <w:r w:rsidRPr="0078242C">
        <w:t>“</w:t>
      </w:r>
      <w:r w:rsidRPr="00205558">
        <w:t>porte[nt] bien sur l’ensemble du débat</w:t>
      </w:r>
      <w:r w:rsidRPr="00D9544A">
        <w:t>”</w:t>
      </w:r>
      <w:r w:rsidRPr="00205558">
        <w:t xml:space="preserve"> et </w:t>
      </w:r>
      <w:r w:rsidRPr="0078242C">
        <w:t>“</w:t>
      </w:r>
      <w:r w:rsidRPr="00205558">
        <w:t>y apporte[nt] une solution complète, certaine et définitive</w:t>
      </w:r>
      <w:r w:rsidRPr="00D9544A">
        <w:t>”</w:t>
      </w:r>
      <w:r>
        <w:t> »</w:t>
      </w:r>
      <w:r>
        <w:rPr>
          <w:rStyle w:val="Appelnotedebasdep"/>
        </w:rPr>
        <w:footnoteReference w:id="13"/>
      </w:r>
      <w:r>
        <w:t>.</w:t>
      </w:r>
      <w:r w:rsidRPr="00205558">
        <w:t xml:space="preserve"> </w:t>
      </w:r>
      <w:r>
        <w:t>Le juge conclut que les appelants « </w:t>
      </w:r>
      <w:r w:rsidRPr="00205558">
        <w:t xml:space="preserve">échouent à atteindre le seuil peu élevé qu’est la démonstration d’une simple possibilité que dans l’application de la méthode du DTI, ils avaient été désavantagés de manière excessive ou déraisonnable au sens de l’article 1437 </w:t>
      </w:r>
      <w:r w:rsidRPr="00DB1428">
        <w:rPr>
          <w:i/>
          <w:iCs/>
        </w:rPr>
        <w:t>C.c.Q</w:t>
      </w:r>
      <w:r w:rsidRPr="00205558">
        <w:t>.</w:t>
      </w:r>
      <w:r>
        <w:t> »</w:t>
      </w:r>
      <w:r>
        <w:rPr>
          <w:rStyle w:val="Appelnotedebasdep"/>
        </w:rPr>
        <w:footnoteReference w:id="14"/>
      </w:r>
      <w:r>
        <w:t>. Essentiellement, il estime que les institutions financières ont droit aux intérêts contractuels jusqu’au terme du prêt et que la formule DTI, en réduisant ce montant, est donc à l’avantage des emprunteurs.</w:t>
      </w:r>
    </w:p>
    <w:p w14:paraId="1A956292" w14:textId="77777777" w:rsidR="00411979" w:rsidRPr="00B850F7" w:rsidRDefault="00411979" w:rsidP="00BB23CD">
      <w:pPr>
        <w:pStyle w:val="JgtParagraphe"/>
        <w:numPr>
          <w:ilvl w:val="0"/>
          <w:numId w:val="18"/>
        </w:numPr>
        <w:spacing w:line="240" w:lineRule="auto"/>
      </w:pPr>
      <w:r w:rsidRPr="00B850F7">
        <w:t xml:space="preserve">En outre, il estime qu’il n’y a pas de question commune à trancher </w:t>
      </w:r>
      <w:r>
        <w:t xml:space="preserve">au sens de l’article 575(1) </w:t>
      </w:r>
      <w:r w:rsidRPr="00B850F7">
        <w:rPr>
          <w:i/>
          <w:iCs/>
        </w:rPr>
        <w:t>C.p.c.</w:t>
      </w:r>
      <w:r>
        <w:t xml:space="preserve"> </w:t>
      </w:r>
      <w:r w:rsidRPr="00B850F7">
        <w:t>en</w:t>
      </w:r>
      <w:r>
        <w:t xml:space="preserve"> </w:t>
      </w:r>
      <w:r w:rsidRPr="00B850F7">
        <w:t xml:space="preserve">ce que la </w:t>
      </w:r>
      <w:r w:rsidRPr="00D92A05">
        <w:t xml:space="preserve">formule DTI ne serait abusive que </w:t>
      </w:r>
      <w:r w:rsidRPr="00351C64">
        <w:t>lorsque les escomptes sont d’ampleur moindre au moment du remboursement</w:t>
      </w:r>
      <w:r>
        <w:t>,</w:t>
      </w:r>
      <w:r w:rsidRPr="00351C64">
        <w:t xml:space="preserve"> parce que les taux</w:t>
      </w:r>
      <w:r w:rsidRPr="00B850F7">
        <w:t xml:space="preserve"> </w:t>
      </w:r>
      <w:r>
        <w:t xml:space="preserve">d’intérêt </w:t>
      </w:r>
      <w:r w:rsidRPr="00B850F7">
        <w:t xml:space="preserve">sont en baisse et </w:t>
      </w:r>
      <w:r>
        <w:t xml:space="preserve">que </w:t>
      </w:r>
      <w:r w:rsidRPr="00B850F7">
        <w:t>des escomptes importants ont été consentis au début d’un</w:t>
      </w:r>
      <w:r>
        <w:t xml:space="preserve"> prêt d’une durée</w:t>
      </w:r>
      <w:r w:rsidRPr="00B850F7">
        <w:t xml:space="preserve"> de </w:t>
      </w:r>
      <w:r>
        <w:t xml:space="preserve">cinq </w:t>
      </w:r>
      <w:r w:rsidRPr="00B850F7">
        <w:t>ans</w:t>
      </w:r>
      <w:r>
        <w:rPr>
          <w:rStyle w:val="Appelnotedebasdep"/>
        </w:rPr>
        <w:footnoteReference w:id="15"/>
      </w:r>
      <w:r w:rsidRPr="00B850F7">
        <w:t xml:space="preserve">. Même dans </w:t>
      </w:r>
      <w:r>
        <w:t>une telle situation</w:t>
      </w:r>
      <w:r w:rsidRPr="00B850F7">
        <w:t xml:space="preserve">, la </w:t>
      </w:r>
      <w:r>
        <w:t>« </w:t>
      </w:r>
      <w:r w:rsidRPr="00B850F7">
        <w:t xml:space="preserve">supposée disproportion entre </w:t>
      </w:r>
      <w:r>
        <w:t>[les FRA]</w:t>
      </w:r>
      <w:r w:rsidRPr="00B850F7">
        <w:t xml:space="preserve"> et le supposé préjudice subi</w:t>
      </w:r>
      <w:r>
        <w:t> »</w:t>
      </w:r>
      <w:r w:rsidRPr="00B850F7">
        <w:t xml:space="preserve"> par les </w:t>
      </w:r>
      <w:r>
        <w:t>institutions financières</w:t>
      </w:r>
      <w:r w:rsidRPr="00B850F7">
        <w:t xml:space="preserve"> varie grandement selon les circonstances de chaque cas particulier</w:t>
      </w:r>
      <w:r>
        <w:rPr>
          <w:rStyle w:val="Appelnotedebasdep"/>
        </w:rPr>
        <w:footnoteReference w:id="16"/>
      </w:r>
      <w:r w:rsidRPr="00B850F7">
        <w:t xml:space="preserve">. </w:t>
      </w:r>
      <w:r>
        <w:t>Il est donc d’avis que c</w:t>
      </w:r>
      <w:r w:rsidRPr="00B850F7">
        <w:t xml:space="preserve">’est nécessairement par voie d’action individuelle et non </w:t>
      </w:r>
      <w:r>
        <w:t>d’</w:t>
      </w:r>
      <w:r w:rsidRPr="00B850F7">
        <w:t>action collective que des réponses seront fournies non seulement sur l’étendue du préjudice, mais sur l’existence même d’un abus</w:t>
      </w:r>
      <w:r>
        <w:rPr>
          <w:rStyle w:val="Appelnotedebasdep"/>
        </w:rPr>
        <w:footnoteReference w:id="17"/>
      </w:r>
      <w:r>
        <w:t>.</w:t>
      </w:r>
    </w:p>
    <w:p w14:paraId="6FF33BC6" w14:textId="77777777" w:rsidR="00411979" w:rsidRDefault="00411979" w:rsidP="00BB23CD">
      <w:pPr>
        <w:pStyle w:val="JgtParagraphe"/>
        <w:tabs>
          <w:tab w:val="clear" w:pos="720"/>
        </w:tabs>
        <w:spacing w:line="240" w:lineRule="auto"/>
        <w:rPr>
          <w:b/>
          <w:bCs/>
          <w:lang w:val="en-CA"/>
        </w:rPr>
      </w:pPr>
      <w:r>
        <w:rPr>
          <w:b/>
          <w:bCs/>
          <w:lang w:val="en-CA"/>
        </w:rPr>
        <w:t>MOYENS D’APPEL</w:t>
      </w:r>
    </w:p>
    <w:p w14:paraId="614918BC" w14:textId="77777777" w:rsidR="00411979" w:rsidRDefault="00411979" w:rsidP="00BB23CD">
      <w:pPr>
        <w:pStyle w:val="Paragraphe"/>
        <w:spacing w:line="240" w:lineRule="auto"/>
      </w:pPr>
      <w:r w:rsidRPr="00E100F3">
        <w:t>Les appelants proposent trois q</w:t>
      </w:r>
      <w:r>
        <w:t>uestions, qui se résument ainsi :</w:t>
      </w:r>
    </w:p>
    <w:p w14:paraId="4C46BD3D" w14:textId="77777777" w:rsidR="00411979" w:rsidRDefault="00411979" w:rsidP="00BB23CD">
      <w:pPr>
        <w:pStyle w:val="Paragraphe"/>
        <w:numPr>
          <w:ilvl w:val="0"/>
          <w:numId w:val="30"/>
        </w:numPr>
        <w:spacing w:line="240" w:lineRule="auto"/>
      </w:pPr>
      <w:r w:rsidRPr="00351C64">
        <w:t>Le juge a-t-il erré en concluant qu’il n’y a pas existence d’une cause d’action défendable?</w:t>
      </w:r>
    </w:p>
    <w:p w14:paraId="50D697F0" w14:textId="77777777" w:rsidR="00411979" w:rsidRDefault="00411979" w:rsidP="00BB23CD">
      <w:pPr>
        <w:pStyle w:val="Paragraphe"/>
        <w:numPr>
          <w:ilvl w:val="0"/>
          <w:numId w:val="30"/>
        </w:numPr>
        <w:spacing w:line="240" w:lineRule="auto"/>
      </w:pPr>
      <w:r w:rsidRPr="00351C64">
        <w:t>Le juge a-t-il erré en concluant qu’il n’y a pas existence d’une question commune?</w:t>
      </w:r>
    </w:p>
    <w:p w14:paraId="538FB6AA" w14:textId="77777777" w:rsidR="00411979" w:rsidRDefault="00411979" w:rsidP="00BB23CD">
      <w:pPr>
        <w:pStyle w:val="Paragraphe"/>
        <w:numPr>
          <w:ilvl w:val="0"/>
          <w:numId w:val="30"/>
        </w:numPr>
        <w:spacing w:line="240" w:lineRule="auto"/>
      </w:pPr>
      <w:r>
        <w:t xml:space="preserve">Y a-t-il chose jugée avec le jugement dans </w:t>
      </w:r>
      <w:r w:rsidRPr="001D12AF">
        <w:rPr>
          <w:i/>
          <w:iCs/>
        </w:rPr>
        <w:t>Haroch 1</w:t>
      </w:r>
      <w:r>
        <w:t>?</w:t>
      </w:r>
    </w:p>
    <w:p w14:paraId="4B5F87DA" w14:textId="77777777" w:rsidR="00411979" w:rsidRDefault="00411979" w:rsidP="00BB23CD">
      <w:pPr>
        <w:pStyle w:val="Paragraphe"/>
        <w:spacing w:line="240" w:lineRule="auto"/>
      </w:pPr>
      <w:r>
        <w:t>Il est approprié de répondre d’abord à la question de la chose jugée.</w:t>
      </w:r>
    </w:p>
    <w:p w14:paraId="2AEB85D8" w14:textId="77777777" w:rsidR="00411979" w:rsidRDefault="00411979" w:rsidP="00BB23CD">
      <w:pPr>
        <w:pStyle w:val="JgtParagraphe"/>
        <w:tabs>
          <w:tab w:val="clear" w:pos="720"/>
        </w:tabs>
        <w:spacing w:line="240" w:lineRule="auto"/>
        <w:rPr>
          <w:b/>
          <w:bCs/>
          <w:lang w:val="en-CA"/>
        </w:rPr>
      </w:pPr>
      <w:r w:rsidRPr="00A014F8">
        <w:rPr>
          <w:b/>
          <w:bCs/>
          <w:lang w:val="en-CA"/>
        </w:rPr>
        <w:lastRenderedPageBreak/>
        <w:t>ANALYS</w:t>
      </w:r>
      <w:r>
        <w:rPr>
          <w:b/>
          <w:bCs/>
          <w:lang w:val="en-CA"/>
        </w:rPr>
        <w:t>E</w:t>
      </w:r>
    </w:p>
    <w:p w14:paraId="287A8C88" w14:textId="77777777" w:rsidR="00411979" w:rsidRDefault="00411979" w:rsidP="00BB23CD">
      <w:pPr>
        <w:pStyle w:val="JgtParagraphe"/>
        <w:tabs>
          <w:tab w:val="clear" w:pos="720"/>
        </w:tabs>
        <w:spacing w:line="240" w:lineRule="auto"/>
        <w:rPr>
          <w:b/>
          <w:bCs/>
          <w:lang w:val="en-CA"/>
        </w:rPr>
      </w:pPr>
      <w:r>
        <w:rPr>
          <w:b/>
          <w:bCs/>
          <w:lang w:val="en-CA"/>
        </w:rPr>
        <w:t>La norme d’intervention</w:t>
      </w:r>
    </w:p>
    <w:p w14:paraId="006E07D0" w14:textId="77777777" w:rsidR="00411979" w:rsidRDefault="00411979" w:rsidP="00BB23CD">
      <w:pPr>
        <w:pStyle w:val="Paragraphe"/>
        <w:spacing w:line="240" w:lineRule="auto"/>
      </w:pPr>
      <w:r w:rsidRPr="00351C64">
        <w:t>La norme d’intervention lorsque l</w:t>
      </w:r>
      <w:r>
        <w:t>e juge de première instance refuse d’autoriser une action collective est élevée</w:t>
      </w:r>
      <w:r>
        <w:rPr>
          <w:rStyle w:val="Appelnotedebasdep"/>
        </w:rPr>
        <w:footnoteReference w:id="18"/>
      </w:r>
      <w:r>
        <w:t> :</w:t>
      </w:r>
    </w:p>
    <w:p w14:paraId="182E7834" w14:textId="77777777" w:rsidR="00411979" w:rsidRDefault="00411979" w:rsidP="00BB23CD">
      <w:pPr>
        <w:pStyle w:val="Citationenretrait"/>
        <w:spacing w:line="240" w:lineRule="auto"/>
      </w:pPr>
      <w:r>
        <w:t>[21]</w:t>
      </w:r>
      <w:r>
        <w:tab/>
        <w:t xml:space="preserve">En matière d’appel d’un jugement portant sur l’autorisation d’une action collective, la norme d’intervention est élevée puisque le juge possède un pouvoir discrétionnaire dans l’évaluation et l’application des critères de l’article 575 </w:t>
      </w:r>
      <w:r w:rsidRPr="008F479E">
        <w:rPr>
          <w:i/>
          <w:iCs/>
        </w:rPr>
        <w:t>C.p.c</w:t>
      </w:r>
      <w:r>
        <w:t xml:space="preserve">. aux faits de l’espèce. Bien que la déférence soit généralement de mise, la Cour peut néanmoins intervenir en présence d’une erreur de droit ou d’une appréciation manifestement mal fondée des critères d’évaluation en cause, comme le rappelle la Cour suprême dans l’arrêt </w:t>
      </w:r>
      <w:r w:rsidRPr="00E84401">
        <w:rPr>
          <w:i/>
          <w:iCs/>
        </w:rPr>
        <w:t>Oratoire</w:t>
      </w:r>
      <w:r>
        <w:rPr>
          <w:i/>
          <w:iCs/>
        </w:rPr>
        <w:t xml:space="preserve"> Saint-Joseph</w:t>
      </w:r>
      <w:r w:rsidRPr="00EB2138">
        <w:t> </w:t>
      </w:r>
      <w:r>
        <w:t>:</w:t>
      </w:r>
    </w:p>
    <w:p w14:paraId="49C61ADD" w14:textId="77777777" w:rsidR="00411979" w:rsidRPr="000C2CF5" w:rsidRDefault="00411979" w:rsidP="00BB23CD">
      <w:pPr>
        <w:pStyle w:val="Citationenretrait"/>
        <w:spacing w:line="240" w:lineRule="auto"/>
        <w:ind w:left="1440"/>
        <w:rPr>
          <w:color w:val="000000" w:themeColor="text1"/>
          <w:sz w:val="20"/>
          <w:lang w:eastAsia="fr-CA"/>
        </w:rPr>
      </w:pPr>
      <w:r w:rsidRPr="000C2CF5">
        <w:rPr>
          <w:color w:val="000000" w:themeColor="text1"/>
          <w:sz w:val="20"/>
        </w:rPr>
        <w:t>[10]</w:t>
      </w:r>
      <w:r w:rsidRPr="000C2CF5">
        <w:rPr>
          <w:color w:val="000000" w:themeColor="text1"/>
          <w:sz w:val="20"/>
        </w:rPr>
        <w:tab/>
        <w:t xml:space="preserve">Lorsqu’elle siège en appel d’une décision portant sur une demande sollicitant l’autorisation d’exercer une action collective, la Cour d’appel « ne détient qu’un pouvoir limité d’intervention »; ainsi, « elle doit faire preuve de déférence envers la décision du juge d’autorisation » : </w:t>
      </w:r>
      <w:r w:rsidRPr="000C2CF5">
        <w:rPr>
          <w:i/>
          <w:iCs/>
          <w:color w:val="000000" w:themeColor="text1"/>
          <w:sz w:val="20"/>
        </w:rPr>
        <w:t>Vivendi</w:t>
      </w:r>
      <w:r w:rsidRPr="000C2CF5">
        <w:rPr>
          <w:color w:val="000000" w:themeColor="text1"/>
          <w:sz w:val="20"/>
        </w:rPr>
        <w:t xml:space="preserve">, par. 34. Il est en effet bien établi que l’appréciation du respect des conditions d’autorisation implique l’exercice d’un pouvoir discrétionnaire : </w:t>
      </w:r>
      <w:r w:rsidRPr="000C2CF5">
        <w:rPr>
          <w:i/>
          <w:iCs/>
          <w:color w:val="000000" w:themeColor="text1"/>
          <w:sz w:val="20"/>
        </w:rPr>
        <w:t>Harmegnies</w:t>
      </w:r>
      <w:r w:rsidRPr="000C2CF5">
        <w:rPr>
          <w:color w:val="000000" w:themeColor="text1"/>
          <w:sz w:val="20"/>
        </w:rPr>
        <w:t xml:space="preserve">, par. 20-24. </w:t>
      </w:r>
      <w:r w:rsidRPr="000C2CF5">
        <w:rPr>
          <w:color w:val="000000" w:themeColor="text1"/>
          <w:sz w:val="20"/>
          <w:u w:val="single"/>
        </w:rPr>
        <w:t>En conséquence, la Cour d’appel « n’interviendra [...] que si le juge d’autorisation a commis une erreur de droit ou si son appréciation des critères énoncés à l’art. [575] </w:t>
      </w:r>
      <w:r w:rsidRPr="000C2CF5">
        <w:rPr>
          <w:i/>
          <w:color w:val="000000" w:themeColor="text1"/>
          <w:sz w:val="20"/>
          <w:u w:val="single"/>
        </w:rPr>
        <w:t>C.p.c.</w:t>
      </w:r>
      <w:r w:rsidRPr="000C2CF5">
        <w:rPr>
          <w:color w:val="000000" w:themeColor="text1"/>
          <w:sz w:val="20"/>
          <w:u w:val="single"/>
        </w:rPr>
        <w:t> est manifestement non fondée </w:t>
      </w:r>
      <w:r w:rsidRPr="000C2CF5">
        <w:rPr>
          <w:color w:val="000000" w:themeColor="text1"/>
          <w:sz w:val="20"/>
        </w:rPr>
        <w:t xml:space="preserve">» : </w:t>
      </w:r>
      <w:r w:rsidRPr="000C2CF5">
        <w:rPr>
          <w:i/>
          <w:iCs/>
          <w:color w:val="000000" w:themeColor="text1"/>
          <w:sz w:val="20"/>
        </w:rPr>
        <w:t>Vivendi</w:t>
      </w:r>
      <w:r w:rsidRPr="000C2CF5">
        <w:rPr>
          <w:color w:val="000000" w:themeColor="text1"/>
          <w:sz w:val="20"/>
        </w:rPr>
        <w:t>, par. 34. En outre, « en présence d’une erreur de droit ou d’une appréciation manifestement non fondée de la part du juge d’autorisation à l’égard d’un critère prévu à l’art. [575] </w:t>
      </w:r>
      <w:r w:rsidRPr="000C2CF5">
        <w:rPr>
          <w:i/>
          <w:iCs/>
          <w:color w:val="000000" w:themeColor="text1"/>
          <w:sz w:val="20"/>
        </w:rPr>
        <w:t>C.p.c.</w:t>
      </w:r>
      <w:r w:rsidRPr="000C2CF5">
        <w:rPr>
          <w:color w:val="000000" w:themeColor="text1"/>
          <w:sz w:val="20"/>
        </w:rPr>
        <w:t xml:space="preserve">, la Cour d’appel peut uniquement substituer son appréciation pour ce critère et non pour les autres » : </w:t>
      </w:r>
      <w:r w:rsidRPr="000C2CF5">
        <w:rPr>
          <w:i/>
          <w:iCs/>
          <w:color w:val="000000" w:themeColor="text1"/>
          <w:sz w:val="20"/>
        </w:rPr>
        <w:t>Vivendi</w:t>
      </w:r>
      <w:r w:rsidRPr="000C2CF5">
        <w:rPr>
          <w:color w:val="000000" w:themeColor="text1"/>
          <w:sz w:val="20"/>
        </w:rPr>
        <w:t xml:space="preserve">, par. 35; voir aussi </w:t>
      </w:r>
      <w:r w:rsidRPr="000C2CF5">
        <w:rPr>
          <w:i/>
          <w:iCs/>
          <w:color w:val="000000" w:themeColor="text1"/>
          <w:sz w:val="20"/>
        </w:rPr>
        <w:t>Sofio c. Organisme canadien de réglementation du commerce des valeurs mobilières (OCRCVM),</w:t>
      </w:r>
      <w:r w:rsidRPr="000C2CF5">
        <w:rPr>
          <w:color w:val="000000" w:themeColor="text1"/>
          <w:sz w:val="20"/>
        </w:rPr>
        <w:t xml:space="preserve"> </w:t>
      </w:r>
      <w:r w:rsidRPr="000C2CF5">
        <w:rPr>
          <w:rFonts w:cs="Arial"/>
          <w:color w:val="000000" w:themeColor="text1"/>
          <w:sz w:val="20"/>
        </w:rPr>
        <w:t>2015 QCCA 1820</w:t>
      </w:r>
      <w:r w:rsidRPr="000C2CF5">
        <w:rPr>
          <w:color w:val="000000" w:themeColor="text1"/>
          <w:sz w:val="20"/>
        </w:rPr>
        <w:t>, par. </w:t>
      </w:r>
      <w:r w:rsidRPr="000C2CF5">
        <w:rPr>
          <w:rFonts w:cs="Arial"/>
          <w:color w:val="000000" w:themeColor="text1"/>
          <w:sz w:val="20"/>
        </w:rPr>
        <w:t>17</w:t>
      </w:r>
      <w:r w:rsidRPr="000C2CF5">
        <w:rPr>
          <w:color w:val="000000" w:themeColor="text1"/>
          <w:sz w:val="20"/>
        </w:rPr>
        <w:t xml:space="preserve">; </w:t>
      </w:r>
      <w:r w:rsidRPr="000C2CF5">
        <w:rPr>
          <w:i/>
          <w:iCs/>
          <w:color w:val="000000" w:themeColor="text1"/>
          <w:sz w:val="20"/>
        </w:rPr>
        <w:t>Sibiga c. Fido Solutions inc.</w:t>
      </w:r>
      <w:r w:rsidRPr="000C2CF5">
        <w:rPr>
          <w:color w:val="000000" w:themeColor="text1"/>
          <w:sz w:val="20"/>
        </w:rPr>
        <w:t xml:space="preserve">, </w:t>
      </w:r>
      <w:r w:rsidRPr="000C2CF5">
        <w:rPr>
          <w:rFonts w:cs="Arial"/>
          <w:color w:val="000000" w:themeColor="text1"/>
          <w:sz w:val="20"/>
        </w:rPr>
        <w:t>2016 QCCA 1299</w:t>
      </w:r>
      <w:r w:rsidRPr="000C2CF5">
        <w:rPr>
          <w:color w:val="000000" w:themeColor="text1"/>
          <w:sz w:val="20"/>
        </w:rPr>
        <w:t>, par. </w:t>
      </w:r>
      <w:r w:rsidRPr="000C2CF5">
        <w:rPr>
          <w:rFonts w:cs="Arial"/>
          <w:color w:val="000000" w:themeColor="text1"/>
          <w:sz w:val="20"/>
        </w:rPr>
        <w:t>32-35</w:t>
      </w:r>
      <w:r w:rsidRPr="000C2CF5">
        <w:rPr>
          <w:color w:val="000000" w:themeColor="text1"/>
          <w:sz w:val="20"/>
        </w:rPr>
        <w:t xml:space="preserve">; </w:t>
      </w:r>
      <w:r w:rsidRPr="000C2CF5">
        <w:rPr>
          <w:i/>
          <w:iCs/>
          <w:color w:val="000000" w:themeColor="text1"/>
          <w:sz w:val="20"/>
        </w:rPr>
        <w:t>Charles c. Boiron Canada inc.</w:t>
      </w:r>
      <w:r w:rsidRPr="000C2CF5">
        <w:rPr>
          <w:color w:val="000000" w:themeColor="text1"/>
          <w:sz w:val="20"/>
        </w:rPr>
        <w:t xml:space="preserve">, </w:t>
      </w:r>
      <w:r w:rsidRPr="000C2CF5">
        <w:rPr>
          <w:rFonts w:cs="Arial"/>
          <w:color w:val="000000" w:themeColor="text1"/>
          <w:sz w:val="20"/>
        </w:rPr>
        <w:t>2016 QCCA 1716</w:t>
      </w:r>
      <w:r w:rsidRPr="000C2CF5">
        <w:rPr>
          <w:color w:val="000000" w:themeColor="text1"/>
          <w:sz w:val="20"/>
        </w:rPr>
        <w:t>, par. </w:t>
      </w:r>
      <w:r w:rsidRPr="000C2CF5">
        <w:rPr>
          <w:rFonts w:cs="Arial"/>
          <w:color w:val="000000" w:themeColor="text1"/>
          <w:sz w:val="20"/>
        </w:rPr>
        <w:t>37</w:t>
      </w:r>
      <w:r w:rsidRPr="000C2CF5">
        <w:rPr>
          <w:color w:val="000000" w:themeColor="text1"/>
          <w:sz w:val="20"/>
        </w:rPr>
        <w:t xml:space="preserve">; </w:t>
      </w:r>
      <w:r w:rsidRPr="000C2CF5">
        <w:rPr>
          <w:i/>
          <w:iCs/>
          <w:color w:val="000000" w:themeColor="text1"/>
          <w:sz w:val="20"/>
        </w:rPr>
        <w:t>Belmamoun c. Brossard (Ville)</w:t>
      </w:r>
      <w:r w:rsidRPr="000C2CF5">
        <w:rPr>
          <w:color w:val="000000" w:themeColor="text1"/>
          <w:sz w:val="20"/>
        </w:rPr>
        <w:t xml:space="preserve">, </w:t>
      </w:r>
      <w:r w:rsidRPr="000C2CF5">
        <w:rPr>
          <w:rFonts w:cs="Arial"/>
          <w:color w:val="000000" w:themeColor="text1"/>
          <w:sz w:val="20"/>
        </w:rPr>
        <w:t>2017 QCCA 102</w:t>
      </w:r>
      <w:r w:rsidRPr="000C2CF5">
        <w:rPr>
          <w:color w:val="000000" w:themeColor="text1"/>
          <w:sz w:val="20"/>
        </w:rPr>
        <w:t>, 68 M.P.L.R. (5th) 46, par. </w:t>
      </w:r>
      <w:r w:rsidRPr="000C2CF5">
        <w:rPr>
          <w:rFonts w:cs="Arial"/>
          <w:color w:val="000000" w:themeColor="text1"/>
          <w:sz w:val="20"/>
        </w:rPr>
        <w:t>70</w:t>
      </w:r>
      <w:r w:rsidRPr="000C2CF5">
        <w:rPr>
          <w:color w:val="000000" w:themeColor="text1"/>
          <w:sz w:val="20"/>
        </w:rPr>
        <w:t>.</w:t>
      </w:r>
    </w:p>
    <w:p w14:paraId="50016990" w14:textId="77777777" w:rsidR="00411979" w:rsidRPr="00351C64" w:rsidRDefault="00411979" w:rsidP="00BB23CD">
      <w:pPr>
        <w:pStyle w:val="Citationenretrait"/>
        <w:spacing w:line="240" w:lineRule="auto"/>
        <w:ind w:left="1418"/>
        <w:rPr>
          <w:sz w:val="20"/>
        </w:rPr>
      </w:pPr>
      <w:r w:rsidRPr="00351C64">
        <w:rPr>
          <w:sz w:val="20"/>
        </w:rPr>
        <w:t>[11]</w:t>
      </w:r>
      <w:r w:rsidRPr="00351C64">
        <w:rPr>
          <w:sz w:val="20"/>
        </w:rPr>
        <w:tab/>
      </w:r>
      <w:r w:rsidRPr="00351C64">
        <w:rPr>
          <w:sz w:val="20"/>
          <w:u w:val="single"/>
        </w:rPr>
        <w:t>Toutefois, s’il est vrai que le pouvoir d’intervention de la Cour d’appel à l’égard d’une décision portant sur une demande d’autorisation d’exercer une action collective est limité, il convient de souligner que le rôle du juge de l’autorisation l’est tout autant</w:t>
      </w:r>
      <w:r w:rsidRPr="00351C64">
        <w:rPr>
          <w:sz w:val="20"/>
        </w:rPr>
        <w:t> :</w:t>
      </w:r>
    </w:p>
    <w:p w14:paraId="613B903A" w14:textId="77777777" w:rsidR="00411979" w:rsidRPr="00004B7F" w:rsidRDefault="00411979" w:rsidP="00BB23CD">
      <w:pPr>
        <w:pStyle w:val="Citationenretrait"/>
        <w:spacing w:line="240" w:lineRule="auto"/>
        <w:ind w:left="2116"/>
        <w:rPr>
          <w:sz w:val="18"/>
          <w:szCs w:val="18"/>
        </w:rPr>
      </w:pPr>
      <w:r w:rsidRPr="00004B7F">
        <w:rPr>
          <w:sz w:val="20"/>
        </w:rPr>
        <w:t>[</w:t>
      </w:r>
      <w:r w:rsidRPr="00004B7F">
        <w:rPr>
          <w:sz w:val="18"/>
          <w:szCs w:val="18"/>
        </w:rPr>
        <w:t xml:space="preserve">TRADUCTION] Bien que le champ d’intervention en appel soit effectivement limité, le rôle du juge de l’autorisation l’est tout autant. En termes clairs, particulièrement depuis sa décision dans l’affaire </w:t>
      </w:r>
      <w:r w:rsidRPr="00004B7F">
        <w:rPr>
          <w:i/>
          <w:iCs/>
          <w:sz w:val="18"/>
          <w:szCs w:val="18"/>
        </w:rPr>
        <w:t xml:space="preserve">Infineon, </w:t>
      </w:r>
      <w:r w:rsidRPr="00004B7F">
        <w:rPr>
          <w:sz w:val="18"/>
          <w:szCs w:val="18"/>
        </w:rPr>
        <w:t xml:space="preserve">la Cour suprême a maintes fois réitéré que la fonction du juge à l’étape de l’autorisation consiste uniquement à écarter les demandes insoutenables. La Cour [suprême] a affirmé que la loi n’impose pas un fardeau onéreux à la personne qui demande l’autorisation : « [le demandeur] doit uniquement démontrer l’existence d’une “apparence sérieuse de droit”, d’une “cause défendable” », ont écrit les juges LeBel et Wagner dans l’arrêt </w:t>
      </w:r>
      <w:r w:rsidRPr="00004B7F">
        <w:rPr>
          <w:i/>
          <w:iCs/>
          <w:sz w:val="18"/>
          <w:szCs w:val="18"/>
        </w:rPr>
        <w:t>Vivendi,</w:t>
      </w:r>
      <w:r w:rsidRPr="00004B7F">
        <w:rPr>
          <w:sz w:val="18"/>
          <w:szCs w:val="18"/>
        </w:rPr>
        <w:t xml:space="preserve"> précisant que le juge de l’autorisation « ne doit pas </w:t>
      </w:r>
      <w:r w:rsidRPr="00004B7F">
        <w:rPr>
          <w:sz w:val="18"/>
          <w:szCs w:val="18"/>
        </w:rPr>
        <w:lastRenderedPageBreak/>
        <w:t>se pencher sur le fond du litige, étape qui s’ouvre seulement après l’octroi de la requête en autorisation ».</w:t>
      </w:r>
    </w:p>
    <w:p w14:paraId="4518F5E2" w14:textId="77777777" w:rsidR="00411979" w:rsidRPr="00DA524F" w:rsidRDefault="00411979" w:rsidP="00BB23CD">
      <w:pPr>
        <w:pStyle w:val="Citationenretrait"/>
        <w:spacing w:line="240" w:lineRule="auto"/>
        <w:ind w:left="2116"/>
        <w:rPr>
          <w:rFonts w:cs="Arial"/>
          <w:sz w:val="18"/>
          <w:szCs w:val="18"/>
        </w:rPr>
      </w:pPr>
      <w:r w:rsidRPr="00004B7F">
        <w:rPr>
          <w:rFonts w:cs="Arial"/>
          <w:sz w:val="18"/>
          <w:szCs w:val="18"/>
        </w:rPr>
        <w:t xml:space="preserve">Depuis l’arrêt </w:t>
      </w:r>
      <w:r w:rsidRPr="00004B7F">
        <w:rPr>
          <w:rFonts w:cs="Arial"/>
          <w:i/>
          <w:iCs/>
          <w:sz w:val="18"/>
          <w:szCs w:val="18"/>
        </w:rPr>
        <w:t>Infineon,</w:t>
      </w:r>
      <w:r w:rsidRPr="00004B7F">
        <w:rPr>
          <w:rFonts w:cs="Arial"/>
          <w:sz w:val="18"/>
          <w:szCs w:val="18"/>
        </w:rPr>
        <w:t xml:space="preserve"> [la Cour d’appel] s’est constamment appuyée sur cette norme, l’invoquant lorsque </w:t>
      </w:r>
      <w:r w:rsidRPr="00004B7F">
        <w:rPr>
          <w:sz w:val="18"/>
          <w:szCs w:val="18"/>
        </w:rPr>
        <w:t>l’autorisation</w:t>
      </w:r>
      <w:r w:rsidRPr="00004B7F">
        <w:rPr>
          <w:rFonts w:cs="Arial"/>
          <w:sz w:val="18"/>
          <w:szCs w:val="18"/>
        </w:rPr>
        <w:t xml:space="preserve"> a à tort été refusée parce qu’un fardeau trop lourd avait été imposé. (</w:t>
      </w:r>
      <w:r w:rsidRPr="00004B7F">
        <w:rPr>
          <w:rFonts w:cs="Arial"/>
          <w:i/>
          <w:iCs/>
          <w:sz w:val="18"/>
          <w:szCs w:val="18"/>
        </w:rPr>
        <w:t>Sibiga</w:t>
      </w:r>
      <w:r w:rsidRPr="00004B7F">
        <w:rPr>
          <w:rFonts w:cs="Arial"/>
          <w:sz w:val="18"/>
          <w:szCs w:val="18"/>
        </w:rPr>
        <w:t>, par. 34-35)</w:t>
      </w:r>
    </w:p>
    <w:p w14:paraId="699DBFC2" w14:textId="77777777" w:rsidR="00411979" w:rsidRPr="00351C64" w:rsidRDefault="00411979" w:rsidP="00BB23CD">
      <w:pPr>
        <w:pStyle w:val="Citationenretrait"/>
        <w:spacing w:line="240" w:lineRule="auto"/>
        <w:ind w:left="2116"/>
        <w:jc w:val="right"/>
        <w:rPr>
          <w:rFonts w:cs="Arial"/>
          <w:color w:val="000000"/>
          <w:szCs w:val="22"/>
        </w:rPr>
      </w:pPr>
      <w:r w:rsidRPr="00351C64">
        <w:rPr>
          <w:rFonts w:cs="Arial"/>
          <w:color w:val="000000"/>
          <w:szCs w:val="22"/>
        </w:rPr>
        <w:t>[</w:t>
      </w:r>
      <w:r>
        <w:rPr>
          <w:rFonts w:cs="Arial"/>
          <w:color w:val="000000"/>
          <w:szCs w:val="22"/>
        </w:rPr>
        <w:t>Renvois omis; s</w:t>
      </w:r>
      <w:r w:rsidRPr="00351C64">
        <w:rPr>
          <w:rFonts w:cs="Arial"/>
          <w:color w:val="000000"/>
          <w:szCs w:val="22"/>
        </w:rPr>
        <w:t>oulignements ajoutés dans le texte original]</w:t>
      </w:r>
    </w:p>
    <w:p w14:paraId="63D25B74" w14:textId="77777777" w:rsidR="00411979" w:rsidRPr="00351C64" w:rsidRDefault="00411979" w:rsidP="00BB23CD">
      <w:pPr>
        <w:pStyle w:val="Paragraphe"/>
        <w:spacing w:line="240" w:lineRule="auto"/>
      </w:pPr>
      <w:r>
        <w:t>En l’espèce, le juge a erré</w:t>
      </w:r>
      <w:r w:rsidRPr="00020C95">
        <w:rPr>
          <w:kern w:val="0"/>
        </w:rPr>
        <w:t xml:space="preserve"> </w:t>
      </w:r>
      <w:r>
        <w:rPr>
          <w:kern w:val="0"/>
        </w:rPr>
        <w:t xml:space="preserve">dans </w:t>
      </w:r>
      <w:r w:rsidRPr="00020C95">
        <w:t xml:space="preserve">son appréciation </w:t>
      </w:r>
      <w:r>
        <w:t>de son rôle limité quant aux</w:t>
      </w:r>
      <w:r w:rsidRPr="00020C95">
        <w:t xml:space="preserve"> critères d’autorisation prévus aux paragraphes 575 (1°) et (2°) </w:t>
      </w:r>
      <w:r w:rsidRPr="00020C95">
        <w:rPr>
          <w:i/>
          <w:iCs/>
        </w:rPr>
        <w:t>C.p.c.</w:t>
      </w:r>
      <w:r>
        <w:t xml:space="preserve"> </w:t>
      </w:r>
    </w:p>
    <w:p w14:paraId="180B5326" w14:textId="77777777" w:rsidR="00411979" w:rsidRPr="00A36159" w:rsidRDefault="00411979" w:rsidP="00BB23CD">
      <w:pPr>
        <w:pStyle w:val="JgtParagraphe"/>
        <w:numPr>
          <w:ilvl w:val="0"/>
          <w:numId w:val="31"/>
        </w:numPr>
        <w:spacing w:line="240" w:lineRule="auto"/>
        <w:rPr>
          <w:b/>
          <w:bCs/>
          <w:lang w:val="en-CA"/>
        </w:rPr>
      </w:pPr>
      <w:r w:rsidRPr="00A36159">
        <w:rPr>
          <w:b/>
          <w:bCs/>
          <w:lang w:val="en-CA"/>
        </w:rPr>
        <w:t>Chose jugée</w:t>
      </w:r>
    </w:p>
    <w:p w14:paraId="0581A2C3" w14:textId="77777777" w:rsidR="00411979" w:rsidRDefault="00411979" w:rsidP="00BB23CD">
      <w:pPr>
        <w:pStyle w:val="Paragraphe"/>
        <w:spacing w:line="240" w:lineRule="auto"/>
      </w:pPr>
      <w:r>
        <w:t xml:space="preserve">Les intimées plaident en première instance qu’il y a chose jugée avec </w:t>
      </w:r>
      <w:r w:rsidRPr="006124BB">
        <w:rPr>
          <w:i/>
          <w:iCs/>
        </w:rPr>
        <w:t>Haroch 1</w:t>
      </w:r>
      <w:r>
        <w:t>. Le juge rejette cet argument :</w:t>
      </w:r>
    </w:p>
    <w:p w14:paraId="594DD107" w14:textId="77777777" w:rsidR="00411979" w:rsidRDefault="00411979" w:rsidP="00BB23CD">
      <w:pPr>
        <w:pStyle w:val="Citationenretrait"/>
        <w:spacing w:line="240" w:lineRule="auto"/>
      </w:pPr>
      <w:r>
        <w:t>[77]</w:t>
      </w:r>
      <w:r>
        <w:tab/>
        <w:t xml:space="preserve">Le Tribunal est d’avis que le Jugement Corriveau et l’arrêt </w:t>
      </w:r>
      <w:r w:rsidRPr="004E4DDD">
        <w:rPr>
          <w:i/>
          <w:iCs/>
        </w:rPr>
        <w:t>Haroch 1 QCCA</w:t>
      </w:r>
      <w:r>
        <w:t xml:space="preserve"> n’ont pas l’autorité de la chose jugée au sens de l’article 2848 C.c.Q., car les faits soulevés à l’égard de l’effet de l’escompte n’ont pas été soulevés en première instance. La Cour d’appel a alors jugé qu’il s’agissait « d’un tout nouveau syllogisme en appel » qu’elle a refusé de considérer. </w:t>
      </w:r>
    </w:p>
    <w:p w14:paraId="1958F09B" w14:textId="77777777" w:rsidR="00411979" w:rsidRDefault="00411979" w:rsidP="00BB23CD">
      <w:pPr>
        <w:pStyle w:val="Citationenretrait"/>
        <w:spacing w:line="240" w:lineRule="auto"/>
      </w:pPr>
      <w:r>
        <w:t>[78]</w:t>
      </w:r>
      <w:r>
        <w:tab/>
        <w:t>En conséquence, bien qu’il y ait identité de personne - le groupe visé est le même et Haroch demeure représentante – et d’objet - l’annulation ou la réduction des obligations de la composante DTI des FRA est toujours recherchée - , il ne peut y avoir d’identité de cause.</w:t>
      </w:r>
    </w:p>
    <w:p w14:paraId="041335D7" w14:textId="77777777" w:rsidR="00411979" w:rsidRPr="008E1258" w:rsidRDefault="00411979" w:rsidP="00BB23CD">
      <w:pPr>
        <w:pStyle w:val="Paragraphe"/>
        <w:spacing w:line="240" w:lineRule="auto"/>
      </w:pPr>
      <w:r>
        <w:t xml:space="preserve">Cette conclusion est bien fondée. L’argument voulant que </w:t>
      </w:r>
      <w:r w:rsidRPr="006B5036">
        <w:t>l’utilisation du même escompte, ou des taux affichés sans escompte</w:t>
      </w:r>
      <w:r>
        <w:t>, soit abusive</w:t>
      </w:r>
      <w:r w:rsidRPr="00020C95">
        <w:t xml:space="preserve"> n’a pas été traité dans </w:t>
      </w:r>
      <w:r w:rsidRPr="00020C95">
        <w:rPr>
          <w:i/>
          <w:iCs/>
        </w:rPr>
        <w:t>Haroch 1</w:t>
      </w:r>
      <w:r w:rsidRPr="00020C95">
        <w:t xml:space="preserve">. </w:t>
      </w:r>
      <w:r>
        <w:t>Il</w:t>
      </w:r>
      <w:r w:rsidRPr="00020C95">
        <w:t xml:space="preserve"> est soulevé pour la première fois en</w:t>
      </w:r>
      <w:r>
        <w:t xml:space="preserve"> première instance lors des plaidoiries et la juge Corriveau indique qu’il « ne cadre pas … </w:t>
      </w:r>
      <w:r w:rsidRPr="006124BB">
        <w:t>avec la procédure entreprise »</w:t>
      </w:r>
      <w:r>
        <w:rPr>
          <w:rStyle w:val="Appelnotedebasdep"/>
        </w:rPr>
        <w:footnoteReference w:id="19"/>
      </w:r>
      <w:r>
        <w:t>. Elle traite des escomptes à plusieurs reprises dans son jugement, mais dans le cadre d’autres arguments. Elle indique qu’</w:t>
      </w:r>
      <w:r w:rsidRPr="006566AD">
        <w:t>« [i]l n’y a pas d’exigence légale à interdire l’utilisation de rabais ou d’escompte »</w:t>
      </w:r>
      <w:r w:rsidRPr="006566AD">
        <w:rPr>
          <w:rStyle w:val="Appelnotedebasdep"/>
        </w:rPr>
        <w:footnoteReference w:id="20"/>
      </w:r>
      <w:r w:rsidRPr="006566AD">
        <w:t xml:space="preserve"> et que </w:t>
      </w:r>
      <w:r>
        <w:t>« [l]</w:t>
      </w:r>
      <w:r w:rsidRPr="00177CA6">
        <w:t>’ajout de la composante escompte ne complexifie pas davantage la compréhension de la clause et ne la rend pas inintelligible</w:t>
      </w:r>
      <w:r>
        <w:t> »</w:t>
      </w:r>
      <w:r>
        <w:rPr>
          <w:rStyle w:val="Appelnotedebasdep"/>
        </w:rPr>
        <w:footnoteReference w:id="21"/>
      </w:r>
      <w:r>
        <w:t xml:space="preserve">. Elle mentionne également que </w:t>
      </w:r>
      <w:r w:rsidRPr="006566AD">
        <w:t>l’utilisation du même escompte, ou des taux affichés sans escompte, produit « un résultat neutre </w:t>
      </w:r>
      <w:r w:rsidRPr="008E1258">
        <w:t>»</w:t>
      </w:r>
      <w:r w:rsidRPr="008E1258">
        <w:rPr>
          <w:vertAlign w:val="superscript"/>
        </w:rPr>
        <w:footnoteReference w:id="22"/>
      </w:r>
      <w:r>
        <w:t>, mais c</w:t>
      </w:r>
      <w:r w:rsidRPr="008E1258">
        <w:t xml:space="preserve">ette dernière affirmation </w:t>
      </w:r>
      <w:r>
        <w:t>sera</w:t>
      </w:r>
      <w:r w:rsidRPr="008E1258">
        <w:t xml:space="preserve"> </w:t>
      </w:r>
      <w:r>
        <w:t>contredite par la preuve dans le présent dossier et rejetée par le juge Immer</w:t>
      </w:r>
      <w:r>
        <w:rPr>
          <w:rStyle w:val="Appelnotedebasdep"/>
        </w:rPr>
        <w:footnoteReference w:id="23"/>
      </w:r>
      <w:r>
        <w:t>.</w:t>
      </w:r>
    </w:p>
    <w:p w14:paraId="7005302D" w14:textId="77777777" w:rsidR="00411979" w:rsidRPr="00CA2AF6" w:rsidRDefault="00411979" w:rsidP="00BB23CD">
      <w:pPr>
        <w:pStyle w:val="Paragraphe"/>
        <w:spacing w:line="240" w:lineRule="auto"/>
      </w:pPr>
      <w:r>
        <w:t xml:space="preserve">Les appelants demandent ensuite en appel la permission de modifier leur procédure pour y ajouter l’argument que </w:t>
      </w:r>
      <w:r w:rsidRPr="00CA2AF6">
        <w:t xml:space="preserve">l’utilisation du même escompte, ou des taux </w:t>
      </w:r>
      <w:r w:rsidRPr="00CA2AF6">
        <w:lastRenderedPageBreak/>
        <w:t>affichés sans escompte, est abusi</w:t>
      </w:r>
      <w:r>
        <w:t xml:space="preserve">ve. </w:t>
      </w:r>
      <w:r w:rsidRPr="00CA2AF6">
        <w:rPr>
          <w:lang w:val="en-CA"/>
        </w:rPr>
        <w:t xml:space="preserve">Le syllogisme qu’ils veulent ajouter est le suivant : </w:t>
      </w:r>
      <w:r w:rsidRPr="004A178A">
        <w:rPr>
          <w:lang w:val="en-CA"/>
        </w:rPr>
        <w:t>«</w:t>
      </w:r>
      <w:r>
        <w:rPr>
          <w:lang w:val="en-CA"/>
        </w:rPr>
        <w:t> </w:t>
      </w:r>
      <w:r w:rsidRPr="00CA2AF6">
        <w:rPr>
          <w:i/>
          <w:iCs/>
          <w:lang w:val="en-CA"/>
        </w:rPr>
        <w:t>the banks deceitfully incorporate the concept of a “discount” in their interest rate differential (“IRD”) formula used to calculate the prepayment penalty thereby artificially creating or inflating a loss.</w:t>
      </w:r>
      <w:r>
        <w:rPr>
          <w:i/>
          <w:iCs/>
          <w:lang w:val="en-CA"/>
        </w:rPr>
        <w:t> </w:t>
      </w:r>
      <w:r w:rsidRPr="004A178A">
        <w:rPr>
          <w:lang w:val="en-CA"/>
        </w:rPr>
        <w:t>»</w:t>
      </w:r>
      <w:r>
        <w:rPr>
          <w:i/>
          <w:iCs/>
          <w:lang w:val="en-CA"/>
        </w:rPr>
        <w:t xml:space="preserve"> </w:t>
      </w:r>
      <w:r w:rsidRPr="00CA2AF6">
        <w:t>Cette permission leur est refusée, vu qu’il s’agit d’un tout nouveau syllogisme</w:t>
      </w:r>
      <w:r>
        <w:rPr>
          <w:rStyle w:val="Appelnotedebasdep"/>
        </w:rPr>
        <w:footnoteReference w:id="24"/>
      </w:r>
      <w:r w:rsidRPr="00CA2AF6">
        <w:t xml:space="preserve">. </w:t>
      </w:r>
    </w:p>
    <w:p w14:paraId="12161B99" w14:textId="77777777" w:rsidR="00411979" w:rsidRPr="00A36159" w:rsidRDefault="00411979" w:rsidP="00BB23CD">
      <w:pPr>
        <w:pStyle w:val="Paragraphe"/>
        <w:spacing w:line="240" w:lineRule="auto"/>
      </w:pPr>
      <w:r>
        <w:t>Il n’y a donc pas chose jugée lorsque les appelants soulèvent ce syllogisme dans une nouvelle demande d’autorisation</w:t>
      </w:r>
      <w:r w:rsidRPr="00F458EF">
        <w:t>, faute d’identité de cause d’action</w:t>
      </w:r>
      <w:r>
        <w:t xml:space="preserve">. Les intimées ne peuvent s’opposer, avec succès, à ce que les appelants plaident ce syllogisme dans </w:t>
      </w:r>
      <w:r w:rsidRPr="00B35886">
        <w:rPr>
          <w:i/>
          <w:iCs/>
        </w:rPr>
        <w:t>Haroch 1</w:t>
      </w:r>
      <w:r>
        <w:t xml:space="preserve">, pour ensuite soutenir dans </w:t>
      </w:r>
      <w:r w:rsidRPr="00B35886">
        <w:rPr>
          <w:i/>
          <w:iCs/>
        </w:rPr>
        <w:t>Haroch 2</w:t>
      </w:r>
      <w:r>
        <w:t xml:space="preserve"> que la question a déjà été </w:t>
      </w:r>
      <w:r w:rsidRPr="00650FE3">
        <w:t xml:space="preserve">traitée dans </w:t>
      </w:r>
      <w:r w:rsidRPr="00650FE3">
        <w:rPr>
          <w:i/>
          <w:iCs/>
        </w:rPr>
        <w:t>Haroch</w:t>
      </w:r>
      <w:r w:rsidRPr="00B35886">
        <w:rPr>
          <w:i/>
          <w:iCs/>
        </w:rPr>
        <w:t xml:space="preserve"> 1</w:t>
      </w:r>
      <w:r>
        <w:t xml:space="preserve">. </w:t>
      </w:r>
    </w:p>
    <w:p w14:paraId="752D69C3" w14:textId="77777777" w:rsidR="00411979" w:rsidRDefault="00411979" w:rsidP="00BB23CD">
      <w:pPr>
        <w:pStyle w:val="Paragraphe"/>
        <w:spacing w:line="240" w:lineRule="auto"/>
      </w:pPr>
      <w:r>
        <w:t xml:space="preserve">Or, le juge indique que la règle du </w:t>
      </w:r>
      <w:r w:rsidRPr="00463F79">
        <w:rPr>
          <w:i/>
          <w:iCs/>
        </w:rPr>
        <w:t>stare decisis</w:t>
      </w:r>
      <w:r>
        <w:t xml:space="preserve"> rend le syllogisme des appelants « insoutenable » :</w:t>
      </w:r>
    </w:p>
    <w:p w14:paraId="6A3F4BFB" w14:textId="77777777" w:rsidR="00411979" w:rsidRDefault="00411979" w:rsidP="00BB23CD">
      <w:pPr>
        <w:pStyle w:val="Citationenretrait"/>
        <w:spacing w:line="240" w:lineRule="auto"/>
      </w:pPr>
      <w:r>
        <w:t>[56]</w:t>
      </w:r>
      <w:r>
        <w:tab/>
        <w:t xml:space="preserve">Cela étant dit, tout en acceptant ces allégations comme fondées, le Tribunal estime que la règle du </w:t>
      </w:r>
      <w:r w:rsidRPr="00463F79">
        <w:rPr>
          <w:i/>
          <w:iCs/>
        </w:rPr>
        <w:t>stare decisis</w:t>
      </w:r>
      <w:r>
        <w:t xml:space="preserve"> à la lumière de </w:t>
      </w:r>
      <w:r w:rsidRPr="00463F79">
        <w:rPr>
          <w:i/>
          <w:iCs/>
        </w:rPr>
        <w:t>Brunelle</w:t>
      </w:r>
      <w:r>
        <w:t xml:space="preserve">, du Jugement Corriveau confirmé </w:t>
      </w:r>
      <w:r w:rsidRPr="00463F79">
        <w:rPr>
          <w:i/>
          <w:iCs/>
        </w:rPr>
        <w:t xml:space="preserve">Haroch 1 QCCA </w:t>
      </w:r>
      <w:r w:rsidRPr="002F3928">
        <w:t>et</w:t>
      </w:r>
      <w:r>
        <w:t xml:space="preserve"> plus généralement de l’article 1437 C.c.Q., rendent </w:t>
      </w:r>
      <w:r w:rsidRPr="00DB5DA9">
        <w:t>insoutenables le syllogisme</w:t>
      </w:r>
      <w:r>
        <w:t xml:space="preserve"> proposé par les demandeurs, même en tenant ces faits pour avérés.</w:t>
      </w:r>
    </w:p>
    <w:p w14:paraId="1952DCFD" w14:textId="77777777" w:rsidR="00411979" w:rsidRDefault="00411979" w:rsidP="00BB23CD">
      <w:pPr>
        <w:pStyle w:val="Paragraphe"/>
        <w:spacing w:line="240" w:lineRule="auto"/>
      </w:pPr>
      <w:r w:rsidRPr="008E1258">
        <w:t xml:space="preserve">La règle du </w:t>
      </w:r>
      <w:r w:rsidRPr="008E1258">
        <w:rPr>
          <w:i/>
          <w:iCs/>
        </w:rPr>
        <w:t xml:space="preserve">stare decisis </w:t>
      </w:r>
      <w:r w:rsidRPr="008E1258">
        <w:t xml:space="preserve">contraint un tribunal de suivre les précédents de juridictions supérieures (le </w:t>
      </w:r>
      <w:r w:rsidRPr="008E1258">
        <w:rPr>
          <w:i/>
          <w:iCs/>
        </w:rPr>
        <w:t>stare decisis</w:t>
      </w:r>
      <w:r w:rsidRPr="008E1258">
        <w:t xml:space="preserve"> </w:t>
      </w:r>
      <w:r>
        <w:t>« </w:t>
      </w:r>
      <w:r w:rsidRPr="008E1258">
        <w:t>vertical</w:t>
      </w:r>
      <w:r>
        <w:t> »</w:t>
      </w:r>
      <w:r w:rsidRPr="008E1258">
        <w:t xml:space="preserve">) ainsi que </w:t>
      </w:r>
      <w:r w:rsidRPr="00F458EF">
        <w:t xml:space="preserve">de </w:t>
      </w:r>
      <w:r>
        <w:t xml:space="preserve">considérer </w:t>
      </w:r>
      <w:r w:rsidRPr="008E1258">
        <w:t>ses propres précédents</w:t>
      </w:r>
      <w:r>
        <w:t>, sans être nécessairement lié par ceux-ci</w:t>
      </w:r>
      <w:r w:rsidRPr="008E1258">
        <w:t xml:space="preserve"> (le </w:t>
      </w:r>
      <w:r w:rsidRPr="008E1258">
        <w:rPr>
          <w:i/>
          <w:iCs/>
        </w:rPr>
        <w:t>stare decisis</w:t>
      </w:r>
      <w:r w:rsidRPr="008E1258">
        <w:t xml:space="preserve"> </w:t>
      </w:r>
      <w:r>
        <w:t>« </w:t>
      </w:r>
      <w:r w:rsidRPr="008E1258">
        <w:t>horizontal</w:t>
      </w:r>
      <w:r>
        <w:t> »</w:t>
      </w:r>
      <w:r w:rsidRPr="008E1258">
        <w:t>). Cette règle ne s’applique qu’à la</w:t>
      </w:r>
      <w:r>
        <w:t xml:space="preserve"> </w:t>
      </w:r>
      <w:r w:rsidRPr="008E1258">
        <w:rPr>
          <w:i/>
          <w:iCs/>
        </w:rPr>
        <w:t>ratio decidendi</w:t>
      </w:r>
      <w:r>
        <w:rPr>
          <w:i/>
          <w:iCs/>
        </w:rPr>
        <w:t xml:space="preserve"> </w:t>
      </w:r>
      <w:r w:rsidRPr="008E1258">
        <w:t>d’une affaire</w:t>
      </w:r>
      <w:bookmarkStart w:id="20" w:name="_ftnref108"/>
      <w:bookmarkEnd w:id="20"/>
      <w:r>
        <w:rPr>
          <w:rStyle w:val="Appelnotedebasdep"/>
        </w:rPr>
        <w:footnoteReference w:id="25"/>
      </w:r>
      <w:r>
        <w:t>.</w:t>
      </w:r>
    </w:p>
    <w:p w14:paraId="1AF4929B" w14:textId="53181564" w:rsidR="00411979" w:rsidRDefault="00411979" w:rsidP="00BB23CD">
      <w:pPr>
        <w:pStyle w:val="Paragraphe"/>
        <w:spacing w:line="240" w:lineRule="auto"/>
      </w:pPr>
      <w:r w:rsidRPr="008E1258">
        <w:t xml:space="preserve">Dans le cas en </w:t>
      </w:r>
      <w:r>
        <w:t>l’</w:t>
      </w:r>
      <w:r w:rsidRPr="008E1258">
        <w:t xml:space="preserve">espèce, le juge de première instance était effectivement lié par </w:t>
      </w:r>
      <w:r w:rsidRPr="00177CA6">
        <w:rPr>
          <w:i/>
          <w:iCs/>
        </w:rPr>
        <w:t>Brunelle</w:t>
      </w:r>
      <w:r w:rsidRPr="00463F79">
        <w:rPr>
          <w:rStyle w:val="Appelnotedebasdep"/>
        </w:rPr>
        <w:footnoteReference w:id="26"/>
      </w:r>
      <w:r>
        <w:rPr>
          <w:i/>
          <w:iCs/>
        </w:rPr>
        <w:t xml:space="preserve"> </w:t>
      </w:r>
      <w:r w:rsidRPr="008E1258">
        <w:t>et</w:t>
      </w:r>
      <w:r>
        <w:t xml:space="preserve"> l’arrêt de la Cour dans</w:t>
      </w:r>
      <w:r w:rsidRPr="008E1258">
        <w:t xml:space="preserve"> </w:t>
      </w:r>
      <w:r w:rsidRPr="00177CA6">
        <w:rPr>
          <w:i/>
          <w:iCs/>
        </w:rPr>
        <w:t>Haroch 1</w:t>
      </w:r>
      <w:r w:rsidRPr="008E1258">
        <w:t xml:space="preserve">. </w:t>
      </w:r>
      <w:r>
        <w:t>Toutefois,</w:t>
      </w:r>
      <w:r w:rsidRPr="008E1258">
        <w:t xml:space="preserve"> </w:t>
      </w:r>
      <w:r>
        <w:t xml:space="preserve">le juge a tort de conclure que </w:t>
      </w:r>
      <w:r w:rsidRPr="008E1258">
        <w:t>ces arrêt</w:t>
      </w:r>
      <w:r>
        <w:t>s</w:t>
      </w:r>
      <w:r w:rsidRPr="008E1258">
        <w:t xml:space="preserve"> décident en entier </w:t>
      </w:r>
      <w:r>
        <w:t xml:space="preserve">de </w:t>
      </w:r>
      <w:r w:rsidRPr="008E1258">
        <w:t>l’affaire ou rendent le syllogisme fondé sur les escomptes insoutenable</w:t>
      </w:r>
      <w:r w:rsidR="00A976A7">
        <w:t>s</w:t>
      </w:r>
      <w:r w:rsidRPr="008E1258">
        <w:t>.</w:t>
      </w:r>
    </w:p>
    <w:p w14:paraId="33A8FCBB" w14:textId="77777777" w:rsidR="00411979" w:rsidRDefault="00411979" w:rsidP="00BB23CD">
      <w:pPr>
        <w:pStyle w:val="Paragraphe"/>
        <w:spacing w:line="240" w:lineRule="auto"/>
      </w:pPr>
      <w:r>
        <w:t xml:space="preserve">Dans </w:t>
      </w:r>
      <w:r w:rsidRPr="00463F79">
        <w:rPr>
          <w:i/>
          <w:iCs/>
        </w:rPr>
        <w:t>Brunelle</w:t>
      </w:r>
      <w:r>
        <w:t xml:space="preserve">, </w:t>
      </w:r>
      <w:r w:rsidRPr="00177CA6">
        <w:t xml:space="preserve">il était aussi question de clauses </w:t>
      </w:r>
      <w:r>
        <w:t xml:space="preserve">contractuelles </w:t>
      </w:r>
      <w:r w:rsidRPr="00177CA6">
        <w:t xml:space="preserve">imposant des frais </w:t>
      </w:r>
      <w:r>
        <w:t xml:space="preserve">de pénalité </w:t>
      </w:r>
      <w:r w:rsidRPr="00177CA6">
        <w:t>pour remboursement anticipé</w:t>
      </w:r>
      <w:r>
        <w:t xml:space="preserve"> du prêt :</w:t>
      </w:r>
      <w:r w:rsidRPr="00177CA6">
        <w:t xml:space="preserve"> les emprunteurs</w:t>
      </w:r>
      <w:r>
        <w:t xml:space="preserve"> avaient le droit de rembourser sans frais une certaine portion du prêt, mais devaient payer des frais s’ils remboursaient plus. Les frais</w:t>
      </w:r>
      <w:r w:rsidRPr="00650FE3">
        <w:t xml:space="preserve"> payables </w:t>
      </w:r>
      <w:r>
        <w:t xml:space="preserve">correspondaient au plus élevé entre trois mois d’intérêt ou une pénalité calculée selon une formule DTI, tout comme dans le présent dossier. </w:t>
      </w:r>
    </w:p>
    <w:p w14:paraId="74F46327" w14:textId="77777777" w:rsidR="00411979" w:rsidRPr="00AD5110" w:rsidRDefault="00411979" w:rsidP="00BB23CD">
      <w:pPr>
        <w:pStyle w:val="Paragraphe"/>
        <w:spacing w:line="240" w:lineRule="auto"/>
      </w:pPr>
      <w:r>
        <w:lastRenderedPageBreak/>
        <w:t xml:space="preserve">Pourtant, la question en appel dans </w:t>
      </w:r>
      <w:r w:rsidRPr="00AD5110">
        <w:rPr>
          <w:i/>
          <w:iCs/>
        </w:rPr>
        <w:t>Brunelle</w:t>
      </w:r>
      <w:r>
        <w:rPr>
          <w:i/>
          <w:iCs/>
        </w:rPr>
        <w:t xml:space="preserve"> </w:t>
      </w:r>
      <w:r>
        <w:t>étai</w:t>
      </w:r>
      <w:r w:rsidRPr="00AD5110">
        <w:t>t très différente d</w:t>
      </w:r>
      <w:r>
        <w:t>e celle qui se pose dans le</w:t>
      </w:r>
      <w:r w:rsidRPr="00AD5110">
        <w:t xml:space="preserve"> présent dossier :</w:t>
      </w:r>
    </w:p>
    <w:p w14:paraId="5E8CCB79" w14:textId="77777777" w:rsidR="00411979" w:rsidRDefault="00411979" w:rsidP="00BB23CD">
      <w:pPr>
        <w:pStyle w:val="Citationenretrait"/>
        <w:spacing w:line="240" w:lineRule="auto"/>
      </w:pPr>
      <w:r w:rsidRPr="00463F79">
        <w:t>[10]</w:t>
      </w:r>
      <w:r>
        <w:tab/>
      </w:r>
      <w:r w:rsidRPr="00463F79">
        <w:t>Les pourvois soulèvent principalement la question de l’existence d’une obligation pour la banque de ne calculer la pénalité qu’après avoir déduit la portion inutilisée du capital que l’emprunteur peut, en vertu du contrat, rembourser annuellement sans avoir à payer de pénalité.</w:t>
      </w:r>
    </w:p>
    <w:p w14:paraId="5A66C7FB" w14:textId="77777777" w:rsidR="00411979" w:rsidRDefault="00411979" w:rsidP="00BB23CD">
      <w:pPr>
        <w:pStyle w:val="Paragraphe"/>
        <w:spacing w:line="240" w:lineRule="auto"/>
      </w:pPr>
      <w:r>
        <w:t>La Cour devait décider si la pénalité portait sur le plein montant du remboursement anticipé ou seulement sur la partie qui excédait ce que l’emprunteur pouvait rembourser sans frais. La pénalité comme telle n’était pas contestée. De toute façon, la pénalité réclamée correspondait à trois mois d’intérêt. La formule DTI n’était aucunement en jeu. Le mot « escompte » n’était pas mentionné. Les intimées exagèrent lorsqu’elles soutiennent dans leur mémoire que « cette Cour a conclu que les clauses en question étaient parfaitement légales ». L’arrêt énonce certains principes concernant le bénéfice du terme et le dédommagement de la partie qui y renonce</w:t>
      </w:r>
      <w:r>
        <w:rPr>
          <w:rStyle w:val="Appelnotedebasdep"/>
        </w:rPr>
        <w:footnoteReference w:id="27"/>
      </w:r>
      <w:r>
        <w:t xml:space="preserve">, mais ces principes ne sont pas contestés. </w:t>
      </w:r>
    </w:p>
    <w:p w14:paraId="3412DF05" w14:textId="77777777" w:rsidR="00411979" w:rsidRDefault="00411979" w:rsidP="00BB23CD">
      <w:pPr>
        <w:pStyle w:val="Paragraphe"/>
        <w:spacing w:line="240" w:lineRule="auto"/>
      </w:pPr>
      <w:r>
        <w:t xml:space="preserve">Dans </w:t>
      </w:r>
      <w:r w:rsidRPr="00F824F5">
        <w:rPr>
          <w:i/>
          <w:iCs/>
        </w:rPr>
        <w:t>Haroch 1</w:t>
      </w:r>
      <w:r>
        <w:t xml:space="preserve">, la juge Corriveau rejette plusieurs arguments mis de l’avant par les appelants pour contester la validité de la formule DTI, dont certains qui touchent à la notion d’escomptes, mais elle ne traite pas de </w:t>
      </w:r>
      <w:r w:rsidRPr="00CA2AF6">
        <w:t xml:space="preserve">l’argument </w:t>
      </w:r>
      <w:r>
        <w:t>selon lequel</w:t>
      </w:r>
      <w:r w:rsidRPr="00CA2AF6">
        <w:t xml:space="preserve"> l’utilisation du même escompte, ou des taux affichés sans escompte, est abusi</w:t>
      </w:r>
      <w:r>
        <w:t>ve. La Cour refuse ensuite de permettre la modification visant à soulever cette question en appel, et rejette l’appel, parce que les appelants ont concédé que sans cet argument l’appel échouait :</w:t>
      </w:r>
    </w:p>
    <w:p w14:paraId="53029FCD" w14:textId="77777777" w:rsidR="00411979" w:rsidRDefault="00411979" w:rsidP="00BB23CD">
      <w:pPr>
        <w:pStyle w:val="Citationenretrait"/>
        <w:spacing w:line="240" w:lineRule="auto"/>
      </w:pPr>
      <w:r w:rsidRPr="00946EDA">
        <w:t>[</w:t>
      </w:r>
      <w:r>
        <w:t>14</w:t>
      </w:r>
      <w:r w:rsidRPr="00946EDA">
        <w:t>]</w:t>
      </w:r>
      <w:r w:rsidRPr="00946EDA">
        <w:tab/>
        <w:t xml:space="preserve">Non seulement il n’existe aucune allégation dans la demande en autorisation qui a été débattue en première instance au sujet des escomptes, mais les appelants modifient de manière importante leur théorie présentée en première instance, alors qu’ils reconnaissent maintenant ce qui suit : </w:t>
      </w:r>
      <w:r w:rsidRPr="00946EDA">
        <w:rPr>
          <w:u w:val="single"/>
        </w:rPr>
        <w:t xml:space="preserve">“[t]he appelant concede </w:t>
      </w:r>
      <w:r>
        <w:rPr>
          <w:u w:val="single"/>
        </w:rPr>
        <w:t>[</w:t>
      </w:r>
      <w:r w:rsidRPr="00F458EF">
        <w:rPr>
          <w:i/>
          <w:iCs/>
          <w:u w:val="single"/>
        </w:rPr>
        <w:t>sic</w:t>
      </w:r>
      <w:r w:rsidRPr="00F458EF">
        <w:rPr>
          <w:u w:val="single"/>
        </w:rPr>
        <w:t>]</w:t>
      </w:r>
      <w:r>
        <w:rPr>
          <w:u w:val="single"/>
        </w:rPr>
        <w:t xml:space="preserve"> </w:t>
      </w:r>
      <w:r w:rsidRPr="00946EDA">
        <w:rPr>
          <w:u w:val="single"/>
        </w:rPr>
        <w:t>that without putting in the concept of a “discount”, the prepayment penalty clauses could not be contested”</w:t>
      </w:r>
      <w:r w:rsidRPr="00946EDA">
        <w:t>.</w:t>
      </w:r>
    </w:p>
    <w:p w14:paraId="26B96546" w14:textId="77777777" w:rsidR="00411979" w:rsidRDefault="00411979" w:rsidP="00BB23CD">
      <w:pPr>
        <w:pStyle w:val="Citationenretrait"/>
        <w:spacing w:line="240" w:lineRule="auto"/>
        <w:jc w:val="right"/>
      </w:pPr>
      <w:r>
        <w:t>[Soulignement ajouté]</w:t>
      </w:r>
    </w:p>
    <w:p w14:paraId="316EF430" w14:textId="77777777" w:rsidR="00411979" w:rsidRDefault="00411979" w:rsidP="00BB23CD">
      <w:pPr>
        <w:pStyle w:val="Paragraphe"/>
        <w:spacing w:line="240" w:lineRule="auto"/>
      </w:pPr>
      <w:r>
        <w:t>Vu cette concession, la Cour n’a pas eu à adopter ou à approuver le raisonnement de la juge Corriveau.</w:t>
      </w:r>
    </w:p>
    <w:p w14:paraId="089AB367" w14:textId="77777777" w:rsidR="00411979" w:rsidRPr="00053922" w:rsidRDefault="00411979" w:rsidP="00BB23CD">
      <w:pPr>
        <w:pStyle w:val="Paragraphe"/>
        <w:spacing w:line="240" w:lineRule="auto"/>
      </w:pPr>
      <w:r>
        <w:t xml:space="preserve">Donc, dans la mesure où le juge est lié par </w:t>
      </w:r>
      <w:r w:rsidRPr="00137BE1">
        <w:rPr>
          <w:i/>
          <w:iCs/>
        </w:rPr>
        <w:t>Haroch 1</w:t>
      </w:r>
      <w:r>
        <w:t xml:space="preserve">, les jugements </w:t>
      </w:r>
      <w:r w:rsidRPr="00B56044">
        <w:t>ne traitent pas</w:t>
      </w:r>
      <w:r>
        <w:t xml:space="preserve"> de la question précise qui est devant lui dans </w:t>
      </w:r>
      <w:r w:rsidRPr="00137BE1">
        <w:rPr>
          <w:i/>
          <w:iCs/>
        </w:rPr>
        <w:t>Haroch 2</w:t>
      </w:r>
      <w:r>
        <w:t>.</w:t>
      </w:r>
    </w:p>
    <w:p w14:paraId="31E1215A" w14:textId="77777777" w:rsidR="00411979" w:rsidRPr="00696A79" w:rsidRDefault="00411979" w:rsidP="00BB23CD">
      <w:pPr>
        <w:pStyle w:val="JgtParagraphe"/>
        <w:numPr>
          <w:ilvl w:val="0"/>
          <w:numId w:val="31"/>
        </w:numPr>
        <w:spacing w:line="240" w:lineRule="auto"/>
        <w:rPr>
          <w:b/>
          <w:bCs/>
          <w:lang w:val="en-CA"/>
        </w:rPr>
      </w:pPr>
      <w:r w:rsidRPr="00696A79">
        <w:rPr>
          <w:b/>
          <w:bCs/>
          <w:lang w:val="en-CA"/>
        </w:rPr>
        <w:t>Cause d’action défendable</w:t>
      </w:r>
    </w:p>
    <w:p w14:paraId="24C9569C" w14:textId="77777777" w:rsidR="00411979" w:rsidRDefault="00411979" w:rsidP="00BB23CD">
      <w:pPr>
        <w:pStyle w:val="JgtParagraphe"/>
        <w:numPr>
          <w:ilvl w:val="0"/>
          <w:numId w:val="18"/>
        </w:numPr>
        <w:spacing w:line="240" w:lineRule="auto"/>
      </w:pPr>
      <w:r>
        <w:t xml:space="preserve">Le deuxième paragraphe de l’article 575 </w:t>
      </w:r>
      <w:r w:rsidRPr="000C7200">
        <w:rPr>
          <w:i/>
          <w:iCs/>
        </w:rPr>
        <w:t>C.p.c</w:t>
      </w:r>
      <w:r>
        <w:t>. exige que « </w:t>
      </w:r>
      <w:r w:rsidRPr="00C24D8E">
        <w:t>les faits allégués paraissent justifier les conclusions recherchées</w:t>
      </w:r>
      <w:r>
        <w:t xml:space="preserve"> /</w:t>
      </w:r>
      <w:r w:rsidRPr="00125D1B">
        <w:t xml:space="preserve"> </w:t>
      </w:r>
      <w:r w:rsidRPr="00125D1B">
        <w:rPr>
          <w:i/>
          <w:iCs/>
        </w:rPr>
        <w:t xml:space="preserve">the facts alleged appear to justify the </w:t>
      </w:r>
      <w:r w:rsidRPr="00125D1B">
        <w:rPr>
          <w:i/>
          <w:iCs/>
        </w:rPr>
        <w:lastRenderedPageBreak/>
        <w:t>conclusions sought</w:t>
      </w:r>
      <w:r>
        <w:t xml:space="preserve"> ». La jurisprudence de la Cour suprême et de notre Cour établit qu’il s’agit d’un mécanisme de filtrage et d’un seuil peu élevé : </w:t>
      </w:r>
      <w:r w:rsidRPr="00C24D8E">
        <w:t xml:space="preserve">« le demandeur n’a qu’à établir une simple “possibilitéˮ d’avoir gain de cause sur le fond, </w:t>
      </w:r>
      <w:r w:rsidRPr="00C24D8E">
        <w:rPr>
          <w:i/>
        </w:rPr>
        <w:t>pas même</w:t>
      </w:r>
      <w:r w:rsidRPr="00C24D8E">
        <w:t xml:space="preserve"> une possibilité “réalisteˮ ou “raisonnableˮ »</w:t>
      </w:r>
      <w:r>
        <w:rPr>
          <w:rStyle w:val="Appelnotedebasdep"/>
        </w:rPr>
        <w:footnoteReference w:id="28"/>
      </w:r>
      <w:r>
        <w:t>.</w:t>
      </w:r>
    </w:p>
    <w:p w14:paraId="5B0C5B23" w14:textId="77777777" w:rsidR="00411979" w:rsidRDefault="00411979" w:rsidP="00BB23CD">
      <w:pPr>
        <w:pStyle w:val="JgtParagraphe"/>
        <w:numPr>
          <w:ilvl w:val="0"/>
          <w:numId w:val="18"/>
        </w:numPr>
        <w:spacing w:line="240" w:lineRule="auto"/>
      </w:pPr>
      <w:r>
        <w:t>Le juge conclut que les appelants ne franchissent pas ce seuil. Nous ne sommes pas d’accord.</w:t>
      </w:r>
    </w:p>
    <w:p w14:paraId="04113DF6" w14:textId="77777777" w:rsidR="00411979" w:rsidRPr="00D630E3" w:rsidRDefault="00411979" w:rsidP="00BB23CD">
      <w:pPr>
        <w:pStyle w:val="JgtParagraphe"/>
        <w:numPr>
          <w:ilvl w:val="0"/>
          <w:numId w:val="18"/>
        </w:numPr>
        <w:spacing w:line="240" w:lineRule="auto"/>
      </w:pPr>
      <w:r w:rsidRPr="0062652C">
        <w:t xml:space="preserve">Pour bien situer le débat sur la cause d’action </w:t>
      </w:r>
      <w:r w:rsidRPr="00137BE1">
        <w:t xml:space="preserve">que veulent exercer les </w:t>
      </w:r>
      <w:r w:rsidRPr="0062652C">
        <w:t xml:space="preserve">appelants, il faut, comme le fait </w:t>
      </w:r>
      <w:r w:rsidRPr="00137BE1">
        <w:t>d’ailleurs l</w:t>
      </w:r>
      <w:r w:rsidRPr="0062652C">
        <w:t>e juge</w:t>
      </w:r>
      <w:r>
        <w:t xml:space="preserve"> de première instance, retourner à certains principes de base. </w:t>
      </w:r>
    </w:p>
    <w:p w14:paraId="2482BD97" w14:textId="77777777" w:rsidR="00411979" w:rsidRPr="00E0662D" w:rsidRDefault="00411979" w:rsidP="00BB23CD">
      <w:pPr>
        <w:pStyle w:val="JgtParagraphe"/>
        <w:numPr>
          <w:ilvl w:val="0"/>
          <w:numId w:val="18"/>
        </w:numPr>
        <w:spacing w:line="240" w:lineRule="auto"/>
      </w:pPr>
      <w:r w:rsidRPr="0062652C">
        <w:t xml:space="preserve">Un prêt hypothécaire fermé à taux fixe </w:t>
      </w:r>
      <w:r>
        <w:t>est avantageux pour les</w:t>
      </w:r>
      <w:r w:rsidRPr="0062652C">
        <w:t xml:space="preserve"> deux parties</w:t>
      </w:r>
      <w:r>
        <w:t> :</w:t>
      </w:r>
      <w:r w:rsidRPr="0062652C">
        <w:t xml:space="preserve"> l’emprunteur est prot</w:t>
      </w:r>
      <w:r>
        <w:t xml:space="preserve">égé contre les hausses des taux d’intérêt et l’institution financière contre les baisses. </w:t>
      </w:r>
      <w:r w:rsidRPr="0062652C">
        <w:t xml:space="preserve">Les deux parties obtiennent la certitude </w:t>
      </w:r>
      <w:r>
        <w:t xml:space="preserve">du taux d’intérêt </w:t>
      </w:r>
      <w:r w:rsidRPr="0062652C">
        <w:t>pour la durée du</w:t>
      </w:r>
      <w:r>
        <w:t xml:space="preserve"> prêt et les deux ont droit au bénéfice de ce terme. L</w:t>
      </w:r>
      <w:r w:rsidRPr="00E0662D">
        <w:t>’emprunteur ne peut rembourser le prêt avant l’arrivée du terme et l’institution financière ne peut</w:t>
      </w:r>
      <w:r>
        <w:t xml:space="preserve"> exiger son remboursement.</w:t>
      </w:r>
    </w:p>
    <w:p w14:paraId="46B01EAD" w14:textId="77777777" w:rsidR="00411979" w:rsidRPr="00FC5628" w:rsidRDefault="00411979" w:rsidP="00BB23CD">
      <w:pPr>
        <w:pStyle w:val="JgtParagraphe"/>
        <w:numPr>
          <w:ilvl w:val="0"/>
          <w:numId w:val="18"/>
        </w:numPr>
        <w:spacing w:line="240" w:lineRule="auto"/>
      </w:pPr>
      <w:r w:rsidRPr="00E0662D">
        <w:t xml:space="preserve">Donc, </w:t>
      </w:r>
      <w:r>
        <w:t>à moins qu’</w:t>
      </w:r>
      <w:r w:rsidRPr="00E0662D">
        <w:t>une clause contractuelle le permet</w:t>
      </w:r>
      <w:r>
        <w:t>te</w:t>
      </w:r>
      <w:r w:rsidRPr="00E0662D">
        <w:t xml:space="preserve">, l’institution </w:t>
      </w:r>
      <w:r>
        <w:t>financière ne peut être contrainte de recevoir le remboursement du prêt</w:t>
      </w:r>
      <w:r w:rsidRPr="00E0662D">
        <w:t xml:space="preserve"> avant échéance</w:t>
      </w:r>
      <w:r>
        <w:t xml:space="preserve">. Si la situation se présente, elle </w:t>
      </w:r>
      <w:r w:rsidRPr="00E0662D">
        <w:t xml:space="preserve">peut </w:t>
      </w:r>
      <w:r>
        <w:t xml:space="preserve">soit </w:t>
      </w:r>
      <w:r w:rsidRPr="00E0662D">
        <w:t>refuser</w:t>
      </w:r>
      <w:r>
        <w:t xml:space="preserve"> le remboursement, soit l’accepter et poursuivre l’emprunteur pour le préjudice que lui cause le remboursement anticipé. </w:t>
      </w:r>
      <w:r w:rsidRPr="00E0662D">
        <w:t xml:space="preserve">En principe, ce préjudice est </w:t>
      </w:r>
      <w:r>
        <w:t>composé de</w:t>
      </w:r>
      <w:r w:rsidRPr="00E0662D">
        <w:t xml:space="preserve">s intérêts que l’institution financière </w:t>
      </w:r>
      <w:r>
        <w:t>aurait reçus</w:t>
      </w:r>
      <w:r w:rsidRPr="00E0662D">
        <w:t xml:space="preserve"> si l’emprunteur </w:t>
      </w:r>
      <w:r>
        <w:t xml:space="preserve">avait </w:t>
      </w:r>
      <w:r w:rsidRPr="00E0662D">
        <w:t>rembours</w:t>
      </w:r>
      <w:r>
        <w:t>é</w:t>
      </w:r>
      <w:r w:rsidRPr="00E0662D">
        <w:t xml:space="preserve"> le </w:t>
      </w:r>
      <w:r>
        <w:t>prêt selon ses modalités (soit les intérêts au taux contractuel pour la durée convenue du prêt). Toutefois, l’institution financière a l’obligation de minimiser son préjudice, et donc de prêter la somme remise à un tiers, ce qui lui permet de percevoir des intérêts au taux courant. Elle aurait donc droit à la différence entre les intérêts payables en vertu du contrat et les intérêts au taux courant.</w:t>
      </w:r>
    </w:p>
    <w:p w14:paraId="6D959E00" w14:textId="77777777" w:rsidR="00411979" w:rsidRDefault="00411979" w:rsidP="00BB23CD">
      <w:pPr>
        <w:pStyle w:val="JgtParagraphe"/>
        <w:numPr>
          <w:ilvl w:val="0"/>
          <w:numId w:val="18"/>
        </w:numPr>
        <w:spacing w:line="240" w:lineRule="auto"/>
      </w:pPr>
      <w:r>
        <w:t xml:space="preserve">Chacune des institutions financières intimées inclut dans ses contrats de prêt une clause accordant à l’emprunteur un privilège de remboursement anticipé sans frais dans certaines circonstances limitées, ainsi qu’un privilège de remboursement dépassant ces limites à condition de payer les FRA. Les FRA correspondent au montant le plus élevé entre trois mois d’intérêt au taux contractuel ou un montant calculé selon une formule DTI. La </w:t>
      </w:r>
      <w:r w:rsidRPr="009C20A2">
        <w:t xml:space="preserve">formule DTI </w:t>
      </w:r>
      <w:r>
        <w:t xml:space="preserve">calcule le différentiel entre les intérêts au taux lors du prêt et les intérêts au taux courant. </w:t>
      </w:r>
    </w:p>
    <w:p w14:paraId="1FDB46F6" w14:textId="77777777" w:rsidR="00411979" w:rsidRPr="003379AF" w:rsidRDefault="00411979" w:rsidP="00BB23CD">
      <w:pPr>
        <w:pStyle w:val="JgtParagraphe"/>
        <w:numPr>
          <w:ilvl w:val="0"/>
          <w:numId w:val="18"/>
        </w:numPr>
        <w:spacing w:line="240" w:lineRule="auto"/>
      </w:pPr>
      <w:r w:rsidRPr="00EA3867">
        <w:t>L’</w:t>
      </w:r>
      <w:r>
        <w:t xml:space="preserve">ACFC </w:t>
      </w:r>
      <w:r w:rsidRPr="00EA3867">
        <w:t xml:space="preserve">préconise cette approche dans son exemple de convention de crédit pour un prêt </w:t>
      </w:r>
      <w:r>
        <w:t xml:space="preserve">d’un montant fixe </w:t>
      </w:r>
      <w:r w:rsidRPr="00EA3867">
        <w:t>à taux d’intérêt fixe</w:t>
      </w:r>
      <w:r>
        <w:t xml:space="preserve">. </w:t>
      </w:r>
      <w:r w:rsidRPr="003379AF">
        <w:t xml:space="preserve">Sa clause </w:t>
      </w:r>
      <w:r>
        <w:t>portant sur les</w:t>
      </w:r>
      <w:r w:rsidRPr="003379AF">
        <w:t xml:space="preserve"> frais</w:t>
      </w:r>
      <w:r>
        <w:t xml:space="preserve"> de pénalité</w:t>
      </w:r>
      <w:r w:rsidRPr="003379AF">
        <w:t xml:space="preserve"> pour rem</w:t>
      </w:r>
      <w:r>
        <w:t>boursement</w:t>
      </w:r>
      <w:r w:rsidRPr="003379AF">
        <w:t xml:space="preserve"> anticipé prévoit ce qui suit:</w:t>
      </w:r>
    </w:p>
    <w:p w14:paraId="3A3E00A4" w14:textId="77777777" w:rsidR="00411979" w:rsidRDefault="00411979" w:rsidP="00BB23CD">
      <w:pPr>
        <w:pStyle w:val="Citationenretrait"/>
        <w:spacing w:line="240" w:lineRule="auto"/>
        <w:rPr>
          <w:lang w:eastAsia="fr-CA"/>
        </w:rPr>
      </w:pPr>
      <w:r>
        <w:rPr>
          <w:lang w:eastAsia="fr-CA"/>
        </w:rPr>
        <w:lastRenderedPageBreak/>
        <w:t>Vous paierez une pénalité si vous versez un montant supérieur au montant autorisé en vertu du privilège de paiement par anticipation. Si vous voulez rembourser la totalité ou une partie de votre hypothèque avant la fin de la durée du prêt, vous serez également assujetti à une pénalité.</w:t>
      </w:r>
    </w:p>
    <w:p w14:paraId="77AB7309" w14:textId="77777777" w:rsidR="00411979" w:rsidRDefault="00411979" w:rsidP="00BB23CD">
      <w:pPr>
        <w:pStyle w:val="Citationenretrait"/>
        <w:spacing w:line="240" w:lineRule="auto"/>
        <w:rPr>
          <w:lang w:eastAsia="fr-CA"/>
        </w:rPr>
      </w:pPr>
      <w:r>
        <w:rPr>
          <w:lang w:eastAsia="fr-CA"/>
        </w:rPr>
        <w:t>La pénalité est égale au montant le plus élevé des deux :</w:t>
      </w:r>
    </w:p>
    <w:p w14:paraId="076909D9" w14:textId="77777777" w:rsidR="00411979" w:rsidRDefault="00411979" w:rsidP="00BB23CD">
      <w:pPr>
        <w:pStyle w:val="Citationenretrait"/>
        <w:numPr>
          <w:ilvl w:val="1"/>
          <w:numId w:val="24"/>
        </w:numPr>
        <w:spacing w:line="240" w:lineRule="auto"/>
        <w:rPr>
          <w:lang w:eastAsia="fr-CA"/>
        </w:rPr>
      </w:pPr>
      <w:r>
        <w:rPr>
          <w:lang w:eastAsia="fr-CA"/>
        </w:rPr>
        <w:t>trois mois d’intérêt; ou</w:t>
      </w:r>
    </w:p>
    <w:p w14:paraId="63AB7AC2" w14:textId="77777777" w:rsidR="00411979" w:rsidRDefault="00411979" w:rsidP="00BB23CD">
      <w:pPr>
        <w:pStyle w:val="Citationenretrait"/>
        <w:numPr>
          <w:ilvl w:val="1"/>
          <w:numId w:val="24"/>
        </w:numPr>
        <w:spacing w:line="240" w:lineRule="auto"/>
      </w:pPr>
      <w:r>
        <w:rPr>
          <w:lang w:eastAsia="fr-CA"/>
        </w:rPr>
        <w:t xml:space="preserve">le différentiel du taux d’intérêt, soit </w:t>
      </w:r>
      <w:r w:rsidRPr="009C20A2">
        <w:rPr>
          <w:u w:val="single"/>
          <w:lang w:eastAsia="fr-CA"/>
        </w:rPr>
        <w:t>l’écart entre votre taux hypothécaire et le taux d’une hypothèque pour une durée se rapprochant de celle qu’il reste à courir sur votre prêt hypothécaire existant</w:t>
      </w:r>
      <w:r>
        <w:rPr>
          <w:lang w:eastAsia="fr-CA"/>
        </w:rPr>
        <w:t>, multiplié par le solde impayé de votre prêt hypothécaire pendant la durée qu’il reste à courir sur votre prêt. Il est calculé d’après le montant qui fait l’objet d’un paiement par anticipation.</w:t>
      </w:r>
      <w:r>
        <w:rPr>
          <w:rStyle w:val="Appelnotedebasdep"/>
          <w:lang w:eastAsia="fr-CA"/>
        </w:rPr>
        <w:footnoteReference w:id="29"/>
      </w:r>
    </w:p>
    <w:p w14:paraId="449155C5" w14:textId="77777777" w:rsidR="00411979" w:rsidRPr="009C20A2" w:rsidRDefault="00411979" w:rsidP="00BB23CD">
      <w:pPr>
        <w:pStyle w:val="Citationenretrait"/>
        <w:spacing w:line="240" w:lineRule="auto"/>
        <w:ind w:left="1800"/>
        <w:jc w:val="right"/>
      </w:pPr>
      <w:r>
        <w:rPr>
          <w:lang w:eastAsia="fr-CA"/>
        </w:rPr>
        <w:t>[Soulignement ajouté]</w:t>
      </w:r>
    </w:p>
    <w:p w14:paraId="1694329F" w14:textId="77777777" w:rsidR="00411979" w:rsidRPr="00F22F77" w:rsidRDefault="00411979" w:rsidP="00BB23CD">
      <w:pPr>
        <w:pStyle w:val="Paragraphe"/>
        <w:spacing w:line="240" w:lineRule="auto"/>
        <w:rPr>
          <w:rFonts w:cs="Arial"/>
          <w:color w:val="000000"/>
          <w:szCs w:val="24"/>
          <w:lang w:eastAsia="en-US"/>
        </w:rPr>
      </w:pPr>
      <w:r w:rsidRPr="00F22F77">
        <w:rPr>
          <w:rFonts w:cs="Arial"/>
          <w:color w:val="000000"/>
          <w:szCs w:val="24"/>
          <w:lang w:eastAsia="en-US"/>
        </w:rPr>
        <w:t>Le recours proposé par les appelants repose sur l</w:t>
      </w:r>
      <w:r>
        <w:rPr>
          <w:rFonts w:cs="Arial"/>
          <w:color w:val="000000"/>
          <w:szCs w:val="24"/>
          <w:lang w:eastAsia="en-US"/>
        </w:rPr>
        <w:t>’argument que</w:t>
      </w:r>
      <w:r w:rsidRPr="00F22F77">
        <w:rPr>
          <w:rFonts w:cs="Arial"/>
          <w:color w:val="000000"/>
          <w:szCs w:val="24"/>
          <w:lang w:eastAsia="en-US"/>
        </w:rPr>
        <w:t xml:space="preserve"> </w:t>
      </w:r>
      <w:bookmarkStart w:id="21" w:name="_Hlk225432103"/>
      <w:r w:rsidRPr="00F22F77">
        <w:rPr>
          <w:rFonts w:cs="Arial"/>
          <w:color w:val="000000"/>
          <w:szCs w:val="24"/>
          <w:lang w:eastAsia="en-US"/>
        </w:rPr>
        <w:t xml:space="preserve">les FRA </w:t>
      </w:r>
      <w:r>
        <w:rPr>
          <w:rFonts w:cs="Arial"/>
          <w:color w:val="000000"/>
          <w:szCs w:val="24"/>
          <w:lang w:eastAsia="en-US"/>
        </w:rPr>
        <w:t xml:space="preserve">calculés selon la formule DTI </w:t>
      </w:r>
      <w:r w:rsidRPr="00137BE1">
        <w:rPr>
          <w:rFonts w:cs="Arial"/>
          <w:color w:val="000000"/>
          <w:szCs w:val="24"/>
          <w:lang w:eastAsia="en-US"/>
        </w:rPr>
        <w:t>présentement employée par les intimées</w:t>
      </w:r>
      <w:r>
        <w:rPr>
          <w:rFonts w:cs="Arial"/>
          <w:color w:val="000000"/>
          <w:szCs w:val="24"/>
          <w:lang w:eastAsia="en-US"/>
        </w:rPr>
        <w:t xml:space="preserve"> sont abusifs parce qu’ils ne représentent pas une approximation raisonnable de la perte économique que subit l’institution financière en raison du remboursement par anticipation</w:t>
      </w:r>
      <w:bookmarkEnd w:id="21"/>
      <w:r>
        <w:rPr>
          <w:rFonts w:cs="Arial"/>
          <w:color w:val="000000"/>
          <w:szCs w:val="24"/>
          <w:lang w:eastAsia="en-US"/>
        </w:rPr>
        <w:t>.</w:t>
      </w:r>
    </w:p>
    <w:p w14:paraId="4E66BF40" w14:textId="77777777" w:rsidR="00411979" w:rsidRDefault="00411979" w:rsidP="00BB23CD">
      <w:pPr>
        <w:pStyle w:val="JgtParagraphe"/>
        <w:numPr>
          <w:ilvl w:val="0"/>
          <w:numId w:val="18"/>
        </w:numPr>
        <w:spacing w:line="240" w:lineRule="auto"/>
      </w:pPr>
      <w:r>
        <w:t xml:space="preserve">La première question </w:t>
      </w:r>
      <w:r w:rsidRPr="00843D95">
        <w:t>sera</w:t>
      </w:r>
      <w:r>
        <w:t xml:space="preserve"> donc de savoir si </w:t>
      </w:r>
      <w:r w:rsidRPr="00F22F77">
        <w:t xml:space="preserve">les FRA </w:t>
      </w:r>
      <w:r>
        <w:t xml:space="preserve">doivent être </w:t>
      </w:r>
      <w:r w:rsidRPr="00F22F77">
        <w:t xml:space="preserve">une approximation raisonnable de la perte économique </w:t>
      </w:r>
      <w:r>
        <w:t>subie par</w:t>
      </w:r>
      <w:r w:rsidRPr="00F22F77">
        <w:t xml:space="preserve"> l’institution financière</w:t>
      </w:r>
      <w:r>
        <w:t>. Sur cet aspect, les intimées ont plaidé en première instance que « [l]</w:t>
      </w:r>
      <w:r w:rsidRPr="00C073B1">
        <w:t>e but des frais de remboursement est de tenir compte de la perte de revenus contractuels, résultant du paiement par anticipation</w:t>
      </w:r>
      <w:r>
        <w:t> »</w:t>
      </w:r>
      <w:r>
        <w:rPr>
          <w:rStyle w:val="Appelnotedebasdep"/>
        </w:rPr>
        <w:footnoteReference w:id="30"/>
      </w:r>
      <w:r w:rsidRPr="00C073B1">
        <w:t xml:space="preserve">. </w:t>
      </w:r>
      <w:r>
        <w:t>L’Autorité des marchés financiers utilise un langage similaire, dans un extrait de son site web intitulé « Les pénalités à acquitter pour mettre fin à l’hypothèque » : « [d]</w:t>
      </w:r>
      <w:r w:rsidRPr="00A41255">
        <w:t>e façon simpli</w:t>
      </w:r>
      <w:r>
        <w:t>fi</w:t>
      </w:r>
      <w:r w:rsidRPr="00A41255">
        <w:t xml:space="preserve">ée, l’institution </w:t>
      </w:r>
      <w:r>
        <w:t>fi</w:t>
      </w:r>
      <w:r w:rsidRPr="00A41255">
        <w:t>nancière compte le manque à gagner du fait que les taux</w:t>
      </w:r>
      <w:r>
        <w:t xml:space="preserve"> </w:t>
      </w:r>
      <w:r w:rsidRPr="00A41255">
        <w:t>d’intérêt ont baissé</w:t>
      </w:r>
      <w:r>
        <w:t> »</w:t>
      </w:r>
      <w:r w:rsidRPr="00A41255">
        <w:t xml:space="preserve">. </w:t>
      </w:r>
      <w:r>
        <w:t xml:space="preserve">La Cour qualifie les FRA payables lors du remboursement intégral anticipé de la même façon dans </w:t>
      </w:r>
      <w:r w:rsidRPr="006A3480">
        <w:rPr>
          <w:i/>
          <w:iCs/>
        </w:rPr>
        <w:t>Brunelle</w:t>
      </w:r>
      <w:r>
        <w:t> : « </w:t>
      </w:r>
      <w:r w:rsidRPr="00882EA5">
        <w:t>les intérêts de pénalisation, calculés conformément aux clauses des contrats, ont servi la fin pour laquelle ils avaient été stipulés : indemniser les appelantes pour les pertes de revenus d’intérêts causées par la rupture unilatérale et prématurée du lien contractuel »</w:t>
      </w:r>
      <w:r>
        <w:rPr>
          <w:rStyle w:val="Appelnotedebasdep"/>
        </w:rPr>
        <w:footnoteReference w:id="31"/>
      </w:r>
      <w:r w:rsidRPr="00A41255">
        <w:t xml:space="preserve">. </w:t>
      </w:r>
    </w:p>
    <w:p w14:paraId="56C3CAA6" w14:textId="11B83656" w:rsidR="00411979" w:rsidRDefault="00411979" w:rsidP="00BB23CD">
      <w:pPr>
        <w:pStyle w:val="JgtParagraphe"/>
        <w:numPr>
          <w:ilvl w:val="0"/>
          <w:numId w:val="18"/>
        </w:numPr>
        <w:spacing w:line="240" w:lineRule="auto"/>
      </w:pPr>
      <w:r>
        <w:t xml:space="preserve">On peut y voir une certaine analogie avec les clauses pénales, par lesquelles les parties « évaluent par anticipation les dommages-intérêts en stipulant que le débiteur se soumettra à une peine au cas où il n’exécuterait pas son obligation </w:t>
      </w:r>
      <w:r w:rsidRPr="00882EA5">
        <w:rPr>
          <w:i/>
          <w:iCs/>
        </w:rPr>
        <w:t xml:space="preserve">/ assess the damages </w:t>
      </w:r>
      <w:r w:rsidRPr="00882EA5">
        <w:rPr>
          <w:i/>
          <w:iCs/>
        </w:rPr>
        <w:lastRenderedPageBreak/>
        <w:t>in advance, stipulating that the debtor will suffer a penalty if he fails to perform his obligation</w:t>
      </w:r>
      <w:r>
        <w:t xml:space="preserve"> (art. 1622 </w:t>
      </w:r>
      <w:r w:rsidRPr="00882EA5">
        <w:rPr>
          <w:i/>
          <w:iCs/>
        </w:rPr>
        <w:t>C.c.Q.</w:t>
      </w:r>
      <w:r>
        <w:t xml:space="preserve">). Une telle clause est valide, mais le montant de la peine stipulée peut être réduit si la clause est abusive (art. 1623 </w:t>
      </w:r>
      <w:r w:rsidRPr="00882EA5">
        <w:rPr>
          <w:i/>
          <w:iCs/>
        </w:rPr>
        <w:t>C.c.Q.</w:t>
      </w:r>
      <w:r>
        <w:t xml:space="preserve">). </w:t>
      </w:r>
      <w:r w:rsidRPr="00843D95">
        <w:t>Toutefois, la qualification des FRA n’est pas claire à ce stade.</w:t>
      </w:r>
      <w:r w:rsidR="00A72D19">
        <w:t xml:space="preserve"> </w:t>
      </w:r>
      <w:r w:rsidR="00A72D19" w:rsidRPr="00A72D19">
        <w:t xml:space="preserve">Quoiqu’elle n’était pas saisie de la qualification de la clause, la Cour dans </w:t>
      </w:r>
      <w:r w:rsidR="00A72D19" w:rsidRPr="00A72D19">
        <w:rPr>
          <w:i/>
          <w:iCs/>
        </w:rPr>
        <w:t>Brunelle</w:t>
      </w:r>
      <w:r w:rsidR="00A72D19" w:rsidRPr="00A72D19">
        <w:t xml:space="preserve"> emploi le terme «pénalité» à répétition (68 fois). </w:t>
      </w:r>
      <w:r>
        <w:t>L</w:t>
      </w:r>
      <w:r w:rsidRPr="00843D95">
        <w:t xml:space="preserve">a juge Corriveau conclut </w:t>
      </w:r>
      <w:r>
        <w:t xml:space="preserve">dans </w:t>
      </w:r>
      <w:r w:rsidRPr="00B543A6">
        <w:rPr>
          <w:i/>
          <w:iCs/>
        </w:rPr>
        <w:t>Haroch 1</w:t>
      </w:r>
      <w:r>
        <w:t xml:space="preserve"> </w:t>
      </w:r>
      <w:r w:rsidRPr="00843D95">
        <w:t>que ce ne sont pas des clauses pénales</w:t>
      </w:r>
      <w:r w:rsidRPr="00843D95">
        <w:rPr>
          <w:rStyle w:val="Appelnotedebasdep"/>
        </w:rPr>
        <w:footnoteReference w:id="32"/>
      </w:r>
      <w:r>
        <w:t xml:space="preserve">, mais la Cour </w:t>
      </w:r>
      <w:r w:rsidR="00A72D19">
        <w:t>n</w:t>
      </w:r>
      <w:r>
        <w:t>e traite pas de cette question dans son arrêt</w:t>
      </w:r>
      <w:r w:rsidRPr="00843D95">
        <w:t>.</w:t>
      </w:r>
    </w:p>
    <w:p w14:paraId="30421853" w14:textId="51948478" w:rsidR="00411979" w:rsidRPr="00096EE0" w:rsidRDefault="00411979" w:rsidP="00BB23CD">
      <w:pPr>
        <w:pStyle w:val="Paragraphe"/>
        <w:spacing w:line="240" w:lineRule="auto"/>
      </w:pPr>
      <w:r w:rsidRPr="00F22F77">
        <w:rPr>
          <w:rFonts w:cs="Arial"/>
          <w:color w:val="000000"/>
          <w:szCs w:val="24"/>
          <w:lang w:eastAsia="en-US"/>
        </w:rPr>
        <w:t xml:space="preserve">Si les FRA </w:t>
      </w:r>
      <w:r>
        <w:rPr>
          <w:rFonts w:cs="Arial"/>
          <w:color w:val="000000"/>
          <w:szCs w:val="24"/>
          <w:lang w:eastAsia="en-US"/>
        </w:rPr>
        <w:t xml:space="preserve">sont </w:t>
      </w:r>
      <w:r w:rsidR="00A72D19" w:rsidRPr="00A72D19">
        <w:rPr>
          <w:rFonts w:cs="Arial"/>
          <w:color w:val="000000"/>
          <w:szCs w:val="24"/>
          <w:lang w:eastAsia="en-US"/>
        </w:rPr>
        <w:t>constituent effectivement une pénalité et sont donc abusifs lorsqu’ils n’estiment pas raisonnablement la perte économique des prêteurs</w:t>
      </w:r>
      <w:r w:rsidRPr="00F22F77">
        <w:rPr>
          <w:rFonts w:cs="Arial"/>
          <w:color w:val="000000"/>
          <w:szCs w:val="24"/>
          <w:lang w:eastAsia="en-US"/>
        </w:rPr>
        <w:t xml:space="preserve">, </w:t>
      </w:r>
      <w:r w:rsidRPr="00B16D3A">
        <w:rPr>
          <w:rFonts w:cs="Arial"/>
          <w:color w:val="000000"/>
          <w:szCs w:val="24"/>
          <w:lang w:eastAsia="en-US"/>
        </w:rPr>
        <w:t xml:space="preserve">il </w:t>
      </w:r>
      <w:r w:rsidRPr="00D37003">
        <w:rPr>
          <w:rFonts w:cs="Arial"/>
          <w:color w:val="000000"/>
          <w:szCs w:val="24"/>
          <w:lang w:eastAsia="en-US"/>
        </w:rPr>
        <w:t>fau</w:t>
      </w:r>
      <w:r w:rsidRPr="00843D95">
        <w:rPr>
          <w:rFonts w:cs="Arial"/>
          <w:color w:val="000000"/>
          <w:szCs w:val="24"/>
          <w:lang w:eastAsia="en-US"/>
        </w:rPr>
        <w:t>dra</w:t>
      </w:r>
      <w:r w:rsidRPr="00D37003">
        <w:rPr>
          <w:rFonts w:cs="Arial"/>
          <w:color w:val="000000"/>
          <w:szCs w:val="24"/>
          <w:lang w:eastAsia="en-US"/>
        </w:rPr>
        <w:t xml:space="preserve"> s’attarder aux formules DTI utilisées par les intimées pour les calculer.</w:t>
      </w:r>
      <w:r>
        <w:rPr>
          <w:rFonts w:cs="Arial"/>
          <w:color w:val="000000"/>
          <w:szCs w:val="24"/>
          <w:lang w:eastAsia="en-US"/>
        </w:rPr>
        <w:t xml:space="preserve"> L</w:t>
      </w:r>
      <w:r w:rsidRPr="00096EE0">
        <w:t xml:space="preserve">es appelants soutiennent que </w:t>
      </w:r>
      <w:r>
        <w:t xml:space="preserve">les formules DTI sont faussées par l’utilisation du même escompte ou des taux affichés sans escompte. </w:t>
      </w:r>
      <w:r w:rsidRPr="009C20A2">
        <w:t xml:space="preserve">Selon eux, </w:t>
      </w:r>
      <w:r>
        <w:t xml:space="preserve">il est illogique d’utiliser </w:t>
      </w:r>
      <w:r w:rsidRPr="009C20A2">
        <w:t xml:space="preserve">l’escompte </w:t>
      </w:r>
      <w:r>
        <w:t>accordé lors de l’octroi du prêt</w:t>
      </w:r>
      <w:r w:rsidRPr="009C20A2">
        <w:t xml:space="preserve"> dans l</w:t>
      </w:r>
      <w:r>
        <w:t>a détermination</w:t>
      </w:r>
      <w:r w:rsidRPr="009C20A2">
        <w:t xml:space="preserve"> du taux </w:t>
      </w:r>
      <w:r>
        <w:t>courant</w:t>
      </w:r>
      <w:r w:rsidRPr="009C20A2">
        <w:t xml:space="preserve"> </w:t>
      </w:r>
      <w:r>
        <w:t>(</w:t>
      </w:r>
      <w:r w:rsidRPr="009C20A2">
        <w:t>comme le font la Banque TD et la majori</w:t>
      </w:r>
      <w:r>
        <w:t xml:space="preserve">té des intimées), ou les taux affichés lors du prêt et lors du remboursement (comme le font la BNC et la Banque Laurentienne), et cela a pour effet d’exagérer systématiquement le différentiel entre les taux d’intérêt contractuel et courant et donc </w:t>
      </w:r>
      <w:r w:rsidRPr="00D37003">
        <w:t>d’augmenter les FRA</w:t>
      </w:r>
      <w:r>
        <w:t>, au bénéfice des institutions financières intimées. Ils soutiennent que l’escompte utilisé dans la détermination du taux d’intérêt courant doit plutôt être l’escompte que l’institution financière accorderait sur un prêt pour la durée restante du prêt initial. Celle-ci étant nécessairement plus courte que la durée initiale, et dans des circonstances où les taux d’intérêt sont à la baisse</w:t>
      </w:r>
      <w:r>
        <w:rPr>
          <w:rStyle w:val="Appelnotedebasdep"/>
        </w:rPr>
        <w:footnoteReference w:id="33"/>
      </w:r>
      <w:r>
        <w:t xml:space="preserve">, les appelants suggèrent que cet escompte sera toujours moins élevé que l’escompte </w:t>
      </w:r>
      <w:r w:rsidRPr="001654BE">
        <w:t>accordé</w:t>
      </w:r>
      <w:r>
        <w:t xml:space="preserve"> lors de l’octroi du prêt. </w:t>
      </w:r>
    </w:p>
    <w:p w14:paraId="72ABEFB5" w14:textId="77777777" w:rsidR="00411979" w:rsidRDefault="00411979" w:rsidP="00BB23CD">
      <w:pPr>
        <w:pStyle w:val="JgtParagraphe"/>
        <w:numPr>
          <w:ilvl w:val="0"/>
          <w:numId w:val="18"/>
        </w:numPr>
        <w:spacing w:line="240" w:lineRule="auto"/>
      </w:pPr>
      <w:r w:rsidRPr="00096EE0">
        <w:t xml:space="preserve">Le rapport Bell appuie cette conclusion. </w:t>
      </w:r>
      <w:r>
        <w:t>Le juge de première instance résume ainsi l’analyse que fait Bell des données de la Banque du Canada :</w:t>
      </w:r>
    </w:p>
    <w:p w14:paraId="4917DE80" w14:textId="77777777" w:rsidR="00411979" w:rsidRDefault="00411979" w:rsidP="00BB23CD">
      <w:pPr>
        <w:pStyle w:val="Citationenretrait"/>
        <w:spacing w:line="240" w:lineRule="auto"/>
      </w:pPr>
      <w:r>
        <w:t>39.5</w:t>
      </w:r>
      <w:r>
        <w:tab/>
        <w:t xml:space="preserve">Selon les données de la Banque du Canada, </w:t>
      </w:r>
      <w:bookmarkStart w:id="22" w:name="_Hlk224566971"/>
      <w:r>
        <w:t>plus le terme est long, plus l’escompte moyen accordé sur le taux affiché sera important</w:t>
      </w:r>
      <w:bookmarkEnd w:id="22"/>
      <w:r>
        <w:t>. Plus le terme est court, plus le taux accordé se rapprochera du taux affiché. Cela est mis en évidence</w:t>
      </w:r>
      <w:r w:rsidRPr="008128E9">
        <w:t xml:space="preserve"> </w:t>
      </w:r>
      <w:r>
        <w:t>par</w:t>
      </w:r>
      <w:r w:rsidRPr="008128E9">
        <w:t xml:space="preserve"> les données colligées par la Banque du Canada</w:t>
      </w:r>
      <w:r>
        <w:t xml:space="preserve"> en comparant les taux affichés et la moyenne des taux accordés. L’examen fait par Bell de ces taux </w:t>
      </w:r>
      <w:r w:rsidRPr="0029008F">
        <w:t xml:space="preserve">mènent </w:t>
      </w:r>
      <w:r>
        <w:t>aux constats suivants :</w:t>
      </w:r>
    </w:p>
    <w:p w14:paraId="33BFB622" w14:textId="77777777" w:rsidR="00411979" w:rsidRDefault="00411979" w:rsidP="00BB23CD">
      <w:pPr>
        <w:pStyle w:val="Citationenretrait"/>
        <w:numPr>
          <w:ilvl w:val="0"/>
          <w:numId w:val="36"/>
        </w:numPr>
        <w:spacing w:line="240" w:lineRule="auto"/>
      </w:pPr>
      <w:r w:rsidRPr="00C91407">
        <w:rPr>
          <w:u w:val="single"/>
        </w:rPr>
        <w:t>Taux pour les hypothèques de 5 ans et plus</w:t>
      </w:r>
      <w:r w:rsidRPr="002D2013">
        <w:t> </w:t>
      </w:r>
      <w:r w:rsidRPr="006330E7">
        <w:t>: la diff</w:t>
      </w:r>
      <w:r>
        <w:t>é</w:t>
      </w:r>
      <w:r w:rsidRPr="006330E7">
        <w:t xml:space="preserve">rence entre les </w:t>
      </w:r>
      <w:r>
        <w:t xml:space="preserve">taux projetés de 5 ans et les taux accordés varie entre </w:t>
      </w:r>
      <w:r w:rsidRPr="0029008F">
        <w:t>2.02-2.08%</w:t>
      </w:r>
      <w:r>
        <w:t xml:space="preserve"> (taux affiché de 4,94% par opposition à un taux accordé de 2,92% pour les prêts non assurés et 2,86% pour les prêts assurés).</w:t>
      </w:r>
    </w:p>
    <w:p w14:paraId="5CBB03D3" w14:textId="77777777" w:rsidR="00411979" w:rsidRDefault="00411979" w:rsidP="00BB23CD">
      <w:pPr>
        <w:pStyle w:val="Citationenretrait"/>
        <w:numPr>
          <w:ilvl w:val="0"/>
          <w:numId w:val="36"/>
        </w:numPr>
        <w:spacing w:line="240" w:lineRule="auto"/>
      </w:pPr>
      <w:r w:rsidRPr="00CA742E">
        <w:rPr>
          <w:u w:val="single"/>
        </w:rPr>
        <w:t>Taux pour les hypothèques entre 3 et 5 ans</w:t>
      </w:r>
      <w:r>
        <w:t xml:space="preserve"> : </w:t>
      </w:r>
      <w:r w:rsidRPr="00406038">
        <w:t>la diff</w:t>
      </w:r>
      <w:r>
        <w:t>é</w:t>
      </w:r>
      <w:r w:rsidRPr="00406038">
        <w:t xml:space="preserve">rence entre les taux projetés de </w:t>
      </w:r>
      <w:r>
        <w:t>3</w:t>
      </w:r>
      <w:r w:rsidRPr="00406038">
        <w:t xml:space="preserve"> ans et les taux accordés </w:t>
      </w:r>
      <w:r>
        <w:t xml:space="preserve">de « 3 à </w:t>
      </w:r>
      <w:r w:rsidRPr="00406038">
        <w:t>5 ans</w:t>
      </w:r>
      <w:r>
        <w:t xml:space="preserve"> »</w:t>
      </w:r>
      <w:r w:rsidRPr="00406038">
        <w:t xml:space="preserve"> est de </w:t>
      </w:r>
      <w:r>
        <w:t xml:space="preserve">0,92-0,93% </w:t>
      </w:r>
      <w:r w:rsidRPr="00406038">
        <w:lastRenderedPageBreak/>
        <w:t xml:space="preserve">(taux </w:t>
      </w:r>
      <w:r>
        <w:t>affiché de 3,71</w:t>
      </w:r>
      <w:r w:rsidRPr="00406038">
        <w:t>% par opposition à un taux accordé de 2,</w:t>
      </w:r>
      <w:r>
        <w:t xml:space="preserve">79% </w:t>
      </w:r>
      <w:r w:rsidRPr="00406038">
        <w:t xml:space="preserve">pour les prêts non assurés et </w:t>
      </w:r>
      <w:r>
        <w:t xml:space="preserve">de 2,78% </w:t>
      </w:r>
      <w:r w:rsidRPr="00406038">
        <w:t>pour les prêts assurés).</w:t>
      </w:r>
    </w:p>
    <w:p w14:paraId="0D8EAED1" w14:textId="77777777" w:rsidR="00411979" w:rsidRPr="006330E7" w:rsidRDefault="00411979" w:rsidP="00BB23CD">
      <w:pPr>
        <w:pStyle w:val="Citationenretrait"/>
        <w:numPr>
          <w:ilvl w:val="0"/>
          <w:numId w:val="36"/>
        </w:numPr>
        <w:spacing w:line="240" w:lineRule="auto"/>
      </w:pPr>
      <w:r w:rsidRPr="00CA742E">
        <w:rPr>
          <w:u w:val="single"/>
        </w:rPr>
        <w:t>Taux pour les hypothèques entre 1 et 3 ans</w:t>
      </w:r>
      <w:r>
        <w:t xml:space="preserve"> : </w:t>
      </w:r>
      <w:r w:rsidRPr="00406038">
        <w:t>la diff</w:t>
      </w:r>
      <w:r>
        <w:t>é</w:t>
      </w:r>
      <w:r w:rsidRPr="00406038">
        <w:t xml:space="preserve">rence entre les taux projetés de </w:t>
      </w:r>
      <w:r>
        <w:t>1</w:t>
      </w:r>
      <w:r w:rsidRPr="00406038">
        <w:t xml:space="preserve"> an et les taux accordés </w:t>
      </w:r>
      <w:r>
        <w:t>de 1 à 3</w:t>
      </w:r>
      <w:r w:rsidRPr="00406038">
        <w:t xml:space="preserve"> ans est de </w:t>
      </w:r>
      <w:r>
        <w:t>0,74-0,85%</w:t>
      </w:r>
      <w:r w:rsidRPr="00406038">
        <w:t xml:space="preserve">) soit (taux </w:t>
      </w:r>
      <w:r>
        <w:t>affiché</w:t>
      </w:r>
      <w:r w:rsidRPr="00406038">
        <w:t xml:space="preserve"> de </w:t>
      </w:r>
      <w:r>
        <w:t>3,71</w:t>
      </w:r>
      <w:r w:rsidRPr="00406038">
        <w:t>% par opposition à un taux accordé de 2,</w:t>
      </w:r>
      <w:r>
        <w:t>97</w:t>
      </w:r>
      <w:r w:rsidRPr="00406038">
        <w:t>%</w:t>
      </w:r>
      <w:r>
        <w:t xml:space="preserve"> </w:t>
      </w:r>
      <w:r w:rsidRPr="00406038">
        <w:t xml:space="preserve">pour les prêts non assurés et </w:t>
      </w:r>
      <w:r>
        <w:t xml:space="preserve">de 2,86% </w:t>
      </w:r>
      <w:r w:rsidRPr="00406038">
        <w:t>pour les prêts assurés).</w:t>
      </w:r>
    </w:p>
    <w:p w14:paraId="35D53063" w14:textId="77777777" w:rsidR="00411979" w:rsidRDefault="00411979" w:rsidP="00BB23CD">
      <w:pPr>
        <w:pStyle w:val="JgtParagraphe"/>
        <w:numPr>
          <w:ilvl w:val="0"/>
          <w:numId w:val="18"/>
        </w:numPr>
        <w:spacing w:line="240" w:lineRule="auto"/>
      </w:pPr>
      <w:r>
        <w:t>Bell conclut que l’utilisation du même escompte (ou des taux affichés sans escompte) a pour effet de surcompenser les pertes des institutions financières de façon systématique :</w:t>
      </w:r>
    </w:p>
    <w:p w14:paraId="4EAE231A" w14:textId="77777777" w:rsidR="00411979" w:rsidRPr="00457E5B" w:rsidRDefault="00411979" w:rsidP="00BB23CD">
      <w:pPr>
        <w:pStyle w:val="Citationenretrait"/>
        <w:spacing w:line="240" w:lineRule="auto"/>
        <w:rPr>
          <w:lang w:val="en-CA"/>
        </w:rPr>
      </w:pPr>
      <w:r w:rsidRPr="00457E5B">
        <w:rPr>
          <w:lang w:val="en-CA"/>
        </w:rPr>
        <w:t>In conclusion, and returning to the question posed, yes, the IRD calculations</w:t>
      </w:r>
      <w:r>
        <w:rPr>
          <w:lang w:val="en-CA"/>
        </w:rPr>
        <w:t xml:space="preserve"> </w:t>
      </w:r>
      <w:r w:rsidRPr="00457E5B">
        <w:rPr>
          <w:lang w:val="en-CA"/>
        </w:rPr>
        <w:t>including the prevailing system of setting posted rates and the resulting</w:t>
      </w:r>
      <w:r>
        <w:rPr>
          <w:lang w:val="en-CA"/>
        </w:rPr>
        <w:t xml:space="preserve"> </w:t>
      </w:r>
      <w:r w:rsidRPr="00457E5B">
        <w:rPr>
          <w:lang w:val="en-CA"/>
        </w:rPr>
        <w:t>discounts serves to systematically and significantly overcompensate banks</w:t>
      </w:r>
      <w:r>
        <w:rPr>
          <w:lang w:val="en-CA"/>
        </w:rPr>
        <w:t xml:space="preserve"> </w:t>
      </w:r>
      <w:r w:rsidRPr="00457E5B">
        <w:rPr>
          <w:lang w:val="en-CA"/>
        </w:rPr>
        <w:t>for their economic loss associated with prepayments.</w:t>
      </w:r>
    </w:p>
    <w:p w14:paraId="09856DD2" w14:textId="77777777" w:rsidR="00411979" w:rsidRDefault="00411979" w:rsidP="00BB23CD">
      <w:pPr>
        <w:pStyle w:val="JgtParagraphe"/>
        <w:numPr>
          <w:ilvl w:val="0"/>
          <w:numId w:val="18"/>
        </w:numPr>
        <w:spacing w:line="240" w:lineRule="auto"/>
      </w:pPr>
      <w:r>
        <w:t>Les intimées soutiennent en première instance que l’escompte est neutre, mais ne produisent aucune preuve pour contredire le rapport Bell. Le juge tient pour avéré au stade de l’autorisation que les escomptes ne sont pas les mêmes selon le moment où ils sont appliqués :</w:t>
      </w:r>
    </w:p>
    <w:p w14:paraId="5ED2CECE" w14:textId="77777777" w:rsidR="00411979" w:rsidRDefault="00411979" w:rsidP="00BB23CD">
      <w:pPr>
        <w:pStyle w:val="Citationenretrait"/>
        <w:spacing w:line="240" w:lineRule="auto"/>
      </w:pPr>
      <w:r w:rsidRPr="003C68DA">
        <w:t>[53]</w:t>
      </w:r>
      <w:r w:rsidRPr="003C68DA">
        <w:tab/>
        <w:t>Le Tribunal tient pour avéré, au stade de l’autorisation, que les taux affichés ne représentent pas la réalité des taux accordés et que systématiquement les banques appliquent des escomptes. Il tient aussi pour avéré que les escomptes effectivement accordés diminuent lorsque les taux d’intérêt baissent et plus la durée du terme du prêt est courte. De ce fait, l’escompte accordé au moment du prêt, dans un marché où les intérêts sont en baisse, est nécessairement moindre au moment du remboursement.</w:t>
      </w:r>
    </w:p>
    <w:p w14:paraId="5854938B" w14:textId="77777777" w:rsidR="00411979" w:rsidRDefault="00411979" w:rsidP="00BB23CD">
      <w:pPr>
        <w:pStyle w:val="JgtParagraphe"/>
        <w:numPr>
          <w:ilvl w:val="0"/>
          <w:numId w:val="18"/>
        </w:numPr>
        <w:spacing w:line="240" w:lineRule="auto"/>
      </w:pPr>
      <w:r>
        <w:t>Il ajoute qu’il « </w:t>
      </w:r>
      <w:r w:rsidRPr="00513C12">
        <w:t xml:space="preserve">accepte entièrement </w:t>
      </w:r>
      <w:r>
        <w:t xml:space="preserve">[au stade de l’autorisation] </w:t>
      </w:r>
      <w:r w:rsidRPr="00513C12">
        <w:t>tous les calculs énoncés par le rapport Bell</w:t>
      </w:r>
      <w:r>
        <w:t> »</w:t>
      </w:r>
      <w:r>
        <w:rPr>
          <w:rStyle w:val="Appelnotedebasdep"/>
        </w:rPr>
        <w:footnoteReference w:id="34"/>
      </w:r>
      <w:r w:rsidRPr="00ED37C0">
        <w:t xml:space="preserve">. </w:t>
      </w:r>
    </w:p>
    <w:p w14:paraId="3FAD2C1D" w14:textId="77777777" w:rsidR="00411979" w:rsidRDefault="00411979" w:rsidP="00BB23CD">
      <w:pPr>
        <w:pStyle w:val="JgtParagraphe"/>
        <w:numPr>
          <w:ilvl w:val="0"/>
          <w:numId w:val="18"/>
        </w:numPr>
        <w:spacing w:line="240" w:lineRule="auto"/>
      </w:pPr>
      <w:r>
        <w:t>Néanmoins, le juge refuse d’accorder l’autorisation :</w:t>
      </w:r>
    </w:p>
    <w:p w14:paraId="71822E99" w14:textId="77777777" w:rsidR="00411979" w:rsidRDefault="00411979" w:rsidP="00BB23CD">
      <w:pPr>
        <w:pStyle w:val="Citationenretrait"/>
        <w:spacing w:line="240" w:lineRule="auto"/>
      </w:pPr>
      <w:r>
        <w:t>[87]</w:t>
      </w:r>
      <w:r>
        <w:tab/>
        <w:t xml:space="preserve">En tenant compte des enseignements des tribunaux sur l’application du critère 575(2) C.p.c. et des décisions des tribunaux sur les FRA, le Tribunal estime, en empruntant les termes employés par la Cour suprême dans </w:t>
      </w:r>
      <w:r w:rsidRPr="00ED420B">
        <w:rPr>
          <w:i/>
          <w:iCs/>
        </w:rPr>
        <w:t>Confédération des syndicats nationaux</w:t>
      </w:r>
      <w:r>
        <w:t>, que les précédents «porte[nt] bien sur l’ensemble du débat » et « y apporte[nt] une solution complète, certaine et définitive ». Voici les assises factuelles avérées et les énoncés juridiques, dont le Tribunal a traité en détail ci-dessus, qui appuient cette conclusion :</w:t>
      </w:r>
    </w:p>
    <w:p w14:paraId="2A428A29" w14:textId="77777777" w:rsidR="00411979" w:rsidRDefault="00411979" w:rsidP="00BB23CD">
      <w:pPr>
        <w:pStyle w:val="Citationenretrait"/>
        <w:spacing w:line="240" w:lineRule="auto"/>
        <w:ind w:left="1440"/>
      </w:pPr>
      <w:r>
        <w:t>87.1.</w:t>
      </w:r>
      <w:r>
        <w:tab/>
        <w:t>Les banques ont droit au bénéfice du terme, c’est-à-dire, percevoir les intérêts au taux convenu pour la durée du terme.</w:t>
      </w:r>
    </w:p>
    <w:p w14:paraId="55BB13FF" w14:textId="77777777" w:rsidR="00411979" w:rsidRDefault="00411979" w:rsidP="00BB23CD">
      <w:pPr>
        <w:pStyle w:val="Citationenretrait"/>
        <w:spacing w:line="240" w:lineRule="auto"/>
        <w:ind w:left="1440"/>
      </w:pPr>
      <w:r>
        <w:lastRenderedPageBreak/>
        <w:t>87.2.</w:t>
      </w:r>
      <w:r>
        <w:tab/>
        <w:t xml:space="preserve">Lorsque l’emprunteur rembourse intégralement le capital de son prêt hypothécaire avant terme, il ou elle se prévaut d’un avantage prévu au contrat de prêt, selon les enseignements de Brunelle. </w:t>
      </w:r>
    </w:p>
    <w:p w14:paraId="04FAF3F5" w14:textId="77777777" w:rsidR="00411979" w:rsidRDefault="00411979" w:rsidP="00BB23CD">
      <w:pPr>
        <w:pStyle w:val="Citationenretrait"/>
        <w:spacing w:line="240" w:lineRule="auto"/>
        <w:ind w:left="1440"/>
      </w:pPr>
      <w:r>
        <w:t>87.3.</w:t>
      </w:r>
      <w:r>
        <w:tab/>
        <w:t>L’expression de la méthode du DTI se trouvant dans les contrats de TD et de BNC n’est ni ambigüe ni incompréhensible. Les demandeurs le reconnaissent en renonçant à tout argument soulevant le caractère ambigu ou incompréhensible de la clause, ayant remodifié à cet égard les questions communes et les conclusions.</w:t>
      </w:r>
    </w:p>
    <w:p w14:paraId="2A6DBB12" w14:textId="77777777" w:rsidR="00411979" w:rsidRDefault="00411979" w:rsidP="00BB23CD">
      <w:pPr>
        <w:pStyle w:val="Citationenretrait"/>
        <w:spacing w:line="240" w:lineRule="auto"/>
        <w:ind w:left="1440"/>
      </w:pPr>
      <w:r>
        <w:t>87.4.</w:t>
      </w:r>
      <w:r>
        <w:tab/>
        <w:t>Les clauses de FRA et la méthode du DTI ne sont pas abusives ou excessives en soi, ou intrinsèquement. Haroch l’a d’ailleurs admis tel que le relève la Cour d’appel dans Haroch 1 QCCA.</w:t>
      </w:r>
    </w:p>
    <w:p w14:paraId="4EAE7CCD" w14:textId="77777777" w:rsidR="00411979" w:rsidRDefault="00411979" w:rsidP="00BB23CD">
      <w:pPr>
        <w:pStyle w:val="Citationenretrait"/>
        <w:spacing w:line="240" w:lineRule="auto"/>
        <w:ind w:left="1440"/>
      </w:pPr>
      <w:r>
        <w:t>87.5.</w:t>
      </w:r>
      <w:r>
        <w:tab/>
        <w:t xml:space="preserve">Le fait que d’autres institutions financières non visées par la demande d’autorisation n’emploient que la méthode de trois mois d’intérêts pour calculer les FRA ne rend pas en soi le raisonnement soutenable. </w:t>
      </w:r>
    </w:p>
    <w:p w14:paraId="16F6A775" w14:textId="77777777" w:rsidR="00411979" w:rsidRPr="00ED420B" w:rsidRDefault="00411979" w:rsidP="00BB23CD">
      <w:pPr>
        <w:pStyle w:val="Citationenretrait"/>
        <w:spacing w:line="240" w:lineRule="auto"/>
        <w:ind w:left="1440"/>
      </w:pPr>
      <w:r>
        <w:t>87.6.</w:t>
      </w:r>
      <w:r>
        <w:tab/>
        <w:t>C’est dans l’application de la DTI que la clause pourrait s’avérer abusive.</w:t>
      </w:r>
    </w:p>
    <w:p w14:paraId="0F82E4F6" w14:textId="77777777" w:rsidR="00411979" w:rsidRPr="00ED420B" w:rsidRDefault="00411979" w:rsidP="00BB23CD">
      <w:pPr>
        <w:pStyle w:val="Citationenretrait"/>
        <w:spacing w:line="240" w:lineRule="auto"/>
        <w:ind w:left="1440"/>
      </w:pPr>
      <w:r>
        <w:t>87.7</w:t>
      </w:r>
      <w:r>
        <w:tab/>
      </w:r>
      <w:r w:rsidRPr="00ED420B">
        <w:t xml:space="preserve">Les demandeurs échouent à atteindre le seuil peu élevé qu’est la démonstration d’une simple possibilité que dans l’application de la méthode du DTI, ils avaient été désavantagés de manière excessive ou déraisonnable au sens de l’article 1437 C.c.Q. </w:t>
      </w:r>
    </w:p>
    <w:p w14:paraId="2B966059" w14:textId="77777777" w:rsidR="00411979" w:rsidRPr="00457E5B" w:rsidRDefault="00411979" w:rsidP="00BB23CD">
      <w:pPr>
        <w:pStyle w:val="Citationenretrait"/>
        <w:spacing w:line="240" w:lineRule="auto"/>
        <w:ind w:left="1440"/>
      </w:pPr>
      <w:r>
        <w:t>87.8</w:t>
      </w:r>
      <w:r>
        <w:tab/>
      </w:r>
      <w:r w:rsidRPr="00457E5B">
        <w:t xml:space="preserve">Il est clair, en se basant exclusivement sur le rapport de Bell, et sans se prononcer de quelque façon sur la valeur probante de ses analyses, que : </w:t>
      </w:r>
    </w:p>
    <w:p w14:paraId="42FB0BE6" w14:textId="77777777" w:rsidR="00411979" w:rsidRPr="0029008F" w:rsidRDefault="00411979" w:rsidP="00BB23CD">
      <w:pPr>
        <w:pStyle w:val="Citationenretrait"/>
        <w:numPr>
          <w:ilvl w:val="0"/>
          <w:numId w:val="34"/>
        </w:numPr>
        <w:spacing w:line="240" w:lineRule="auto"/>
      </w:pPr>
      <w:r w:rsidRPr="00457E5B">
        <w:t xml:space="preserve">Si Haroch avait payé les intérêts jusqu’à la fin du terme, elle aurait payé selon le rapport </w:t>
      </w:r>
      <w:r w:rsidRPr="0029008F">
        <w:t>Bell 23 630,14$. Les FRA qu’elle a versés sont de 12 648,47$. Elle n’a pas été désavantagée.</w:t>
      </w:r>
    </w:p>
    <w:p w14:paraId="34046107" w14:textId="77777777" w:rsidR="00411979" w:rsidRPr="0029008F" w:rsidRDefault="00411979" w:rsidP="00BB23CD">
      <w:pPr>
        <w:pStyle w:val="Citationenretrait"/>
        <w:numPr>
          <w:ilvl w:val="0"/>
          <w:numId w:val="34"/>
        </w:numPr>
        <w:spacing w:line="240" w:lineRule="auto"/>
      </w:pPr>
      <w:r w:rsidRPr="0029008F">
        <w:t>Si Vaillancourt avait payé les intérêts jusqu’à la fin du terme, elle aurait payé selon le rapport Bell 14,504.35$. Les FRA qu’il a versés sont de 8 023.52$. Il n’a pas été désavantagé.</w:t>
      </w:r>
    </w:p>
    <w:p w14:paraId="270B27A8" w14:textId="77777777" w:rsidR="00411979" w:rsidRPr="00457E5B" w:rsidRDefault="00411979" w:rsidP="00BB23CD">
      <w:pPr>
        <w:pStyle w:val="Citationenretrait"/>
        <w:spacing w:line="240" w:lineRule="auto"/>
        <w:ind w:left="1440"/>
      </w:pPr>
      <w:r w:rsidRPr="0029008F">
        <w:t>87.9</w:t>
      </w:r>
      <w:r w:rsidRPr="0029008F">
        <w:tab/>
        <w:t>Aucune preuve au fond ne pourra venir modifier ces</w:t>
      </w:r>
      <w:r w:rsidRPr="00457E5B">
        <w:t xml:space="preserve"> constats.</w:t>
      </w:r>
    </w:p>
    <w:p w14:paraId="1E28D0C4" w14:textId="7BAC3242" w:rsidR="00162289" w:rsidRPr="00B136AC" w:rsidRDefault="00411979" w:rsidP="00C51F5A">
      <w:pPr>
        <w:pStyle w:val="Citationenretrait"/>
        <w:spacing w:line="240" w:lineRule="auto"/>
        <w:ind w:left="1440"/>
      </w:pPr>
      <w:r>
        <w:t>87.10</w:t>
      </w:r>
      <w:r>
        <w:tab/>
      </w:r>
      <w:r w:rsidRPr="00457E5B">
        <w:t xml:space="preserve">En empruntant les mots se trouvant dans les motifs de </w:t>
      </w:r>
      <w:r w:rsidRPr="00457E5B">
        <w:rPr>
          <w:i/>
          <w:iCs/>
        </w:rPr>
        <w:t>Brunelle</w:t>
      </w:r>
      <w:r w:rsidRPr="00457E5B">
        <w:t xml:space="preserve">, la méthode des DTI n’a pas pour effet d’« alourdir le fardeau obligationnel » de Haroch ou Vaillancourt. Il le réduit de près de la moitié. Il n’y a donc pas une simple possibilité que Haroch et Vaillancourt établissent que la méthode de calcul des FRA selon le DTI les désavantage et évidemment, pas non plus, qu’elle le fait de façon </w:t>
      </w:r>
      <w:r w:rsidRPr="00457E5B">
        <w:rPr>
          <w:u w:val="single"/>
        </w:rPr>
        <w:t>excessive</w:t>
      </w:r>
      <w:r w:rsidRPr="00457E5B">
        <w:t xml:space="preserve"> ou </w:t>
      </w:r>
      <w:r w:rsidRPr="00457E5B">
        <w:rPr>
          <w:u w:val="single"/>
        </w:rPr>
        <w:t>déraisonnable</w:t>
      </w:r>
      <w:r w:rsidRPr="00457E5B">
        <w:t>.</w:t>
      </w:r>
    </w:p>
    <w:p w14:paraId="147E4297" w14:textId="77777777" w:rsidR="00411979" w:rsidRDefault="00411979" w:rsidP="00BB23CD">
      <w:pPr>
        <w:pStyle w:val="Citationenretrait"/>
        <w:spacing w:line="240" w:lineRule="auto"/>
      </w:pPr>
      <w:r w:rsidRPr="00457E5B">
        <w:lastRenderedPageBreak/>
        <w:t>[88]</w:t>
      </w:r>
      <w:r w:rsidRPr="00457E5B">
        <w:tab/>
        <w:t>Cela met fin au débat puisque Haroch et Vaillancourt n’ont pas établi que les faits allégués paraissent justifier les conclusions recherchées.</w:t>
      </w:r>
    </w:p>
    <w:p w14:paraId="61CCC748" w14:textId="0806107E" w:rsidR="00C51F5A" w:rsidRPr="00457E5B" w:rsidRDefault="00C51F5A" w:rsidP="00C51F5A">
      <w:pPr>
        <w:pStyle w:val="Citationenretrait"/>
        <w:spacing w:line="240" w:lineRule="auto"/>
        <w:jc w:val="right"/>
      </w:pPr>
      <w:r>
        <w:t>[Soulignements dans l’original]</w:t>
      </w:r>
    </w:p>
    <w:p w14:paraId="4ACD5839" w14:textId="77777777" w:rsidR="00411979" w:rsidRDefault="00411979" w:rsidP="00BB23CD">
      <w:pPr>
        <w:pStyle w:val="JgtParagraphe"/>
        <w:numPr>
          <w:ilvl w:val="0"/>
          <w:numId w:val="18"/>
        </w:numPr>
        <w:spacing w:line="240" w:lineRule="auto"/>
      </w:pPr>
      <w:r>
        <w:t>En effet, le juge compare les FRA à la perte d’intérêt contractuel, sans tenir compte de l’obligation de l’institution financière de minimiser sa perte. Il constate, avec raison, que les FRA sont moins élevés que la perte brute du prêteur. Il conclut que « [c]ela met fin au débat ».</w:t>
      </w:r>
    </w:p>
    <w:p w14:paraId="42BE537B" w14:textId="77777777" w:rsidR="00411979" w:rsidRPr="003C68DA" w:rsidRDefault="00411979" w:rsidP="00BB23CD">
      <w:pPr>
        <w:pStyle w:val="JgtParagraphe"/>
        <w:numPr>
          <w:ilvl w:val="0"/>
          <w:numId w:val="18"/>
        </w:numPr>
        <w:spacing w:line="240" w:lineRule="auto"/>
      </w:pPr>
      <w:r>
        <w:t>Son raisonnement se résume comme suit. Les institutions financières ont droit aux</w:t>
      </w:r>
      <w:r w:rsidRPr="0007319F">
        <w:t xml:space="preserve"> intérêts au taux convenu pour la durée du </w:t>
      </w:r>
      <w:r>
        <w:t>prêt. Elles n’ont aucune obligation de permettre aux emprunteurs de rembourser leur prêt par anticipation. Si elles permettent par clause contractuelle que les emprunteurs remboursent par anticipation, c’est à la condition que les emprunteurs paient les FRA fixés par la clause. La notion de minimisation des dommages n’a aucune application dans ce contexte. C’est la simple application d’une clause contractuelle. La formule DTI fixe des FRA qui sont inférieurs à la pe</w:t>
      </w:r>
      <w:r w:rsidRPr="00A9534C">
        <w:t xml:space="preserve">rte </w:t>
      </w:r>
      <w:r>
        <w:t xml:space="preserve">brute du prêteur. Cette réduction n’a pas à être raisonnable. </w:t>
      </w:r>
      <w:r w:rsidRPr="003C68DA">
        <w:t xml:space="preserve">Dès que les FRA payables sont moins élevés que la perte brute </w:t>
      </w:r>
      <w:r>
        <w:t>du prêteur</w:t>
      </w:r>
      <w:r w:rsidRPr="003C68DA">
        <w:t>, ils ne sont pas abusifs.</w:t>
      </w:r>
    </w:p>
    <w:p w14:paraId="1A95682F" w14:textId="77777777" w:rsidR="00411979" w:rsidRDefault="00411979" w:rsidP="00BB23CD">
      <w:pPr>
        <w:pStyle w:val="JgtParagraphe"/>
        <w:numPr>
          <w:ilvl w:val="0"/>
          <w:numId w:val="18"/>
        </w:numPr>
        <w:spacing w:line="240" w:lineRule="auto"/>
      </w:pPr>
      <w:r w:rsidRPr="00843D95">
        <w:t>Or, il existe alors au moins deux</w:t>
      </w:r>
      <w:r>
        <w:t xml:space="preserve"> visions contradictoires des clauses permettant le remboursement par anticipation et prévoyant les FRA. Selon les appelants, les FRA </w:t>
      </w:r>
      <w:r w:rsidRPr="00A652A8">
        <w:t>doivent plutôt être</w:t>
      </w:r>
      <w:r>
        <w:t xml:space="preserve"> une approximation raisonnable de la perte économique des prêteurs. </w:t>
      </w:r>
      <w:r w:rsidRPr="00A652A8">
        <w:t>Ils présentent</w:t>
      </w:r>
      <w:r w:rsidRPr="00843D95">
        <w:t xml:space="preserve"> une preuve préliminaire pouvant </w:t>
      </w:r>
      <w:r>
        <w:t>démontrer que la formule DTI a pour effet de surcompenser les prêteurs</w:t>
      </w:r>
      <w:r w:rsidRPr="00843D95">
        <w:t xml:space="preserve">. </w:t>
      </w:r>
    </w:p>
    <w:p w14:paraId="70CA8606" w14:textId="77777777" w:rsidR="00411979" w:rsidRDefault="00411979" w:rsidP="00BB23CD">
      <w:pPr>
        <w:pStyle w:val="JgtParagraphe"/>
        <w:numPr>
          <w:ilvl w:val="0"/>
          <w:numId w:val="18"/>
        </w:numPr>
        <w:spacing w:line="240" w:lineRule="auto"/>
      </w:pPr>
      <w:r>
        <w:t>L</w:t>
      </w:r>
      <w:r w:rsidRPr="00843D95">
        <w:t>e juge de première instance aura peut-être raison. Le juge chargé du fond</w:t>
      </w:r>
      <w:r>
        <w:t xml:space="preserve"> pourrait adopter le même raisonnement et rejeter le recours des appelants. Mais </w:t>
      </w:r>
      <w:r w:rsidRPr="002018BD">
        <w:t xml:space="preserve">il ne s’agit pas d’un débat devant être </w:t>
      </w:r>
      <w:r w:rsidRPr="00B56044">
        <w:t>tranché au</w:t>
      </w:r>
      <w:r w:rsidRPr="002018BD">
        <w:t xml:space="preserve"> stade de l’autorisation </w:t>
      </w:r>
      <w:r>
        <w:t xml:space="preserve">de l’action collective, </w:t>
      </w:r>
      <w:r w:rsidRPr="002018BD">
        <w:t>dont le but est d</w:t>
      </w:r>
      <w:r>
        <w:t>’écarter</w:t>
      </w:r>
      <w:r w:rsidRPr="002018BD">
        <w:t xml:space="preserve"> </w:t>
      </w:r>
      <w:r>
        <w:t xml:space="preserve">uniquement </w:t>
      </w:r>
      <w:r w:rsidRPr="002018BD">
        <w:t>les recours manifestement frivoles</w:t>
      </w:r>
      <w:r>
        <w:t xml:space="preserve">. Il ne s’agit </w:t>
      </w:r>
      <w:r w:rsidRPr="00843D95">
        <w:t>pas non plus</w:t>
      </w:r>
      <w:r>
        <w:t xml:space="preserve"> d’une question de droit pur. Les arrêts antérieurs de la Cour ne donnent pas de </w:t>
      </w:r>
      <w:r w:rsidRPr="0099433B">
        <w:t>réponse définitive. Un débat complet au fond s’impose</w:t>
      </w:r>
      <w:r>
        <w:t xml:space="preserve">. </w:t>
      </w:r>
      <w:r w:rsidRPr="0099433B">
        <w:t>Il n’était que nécessaire de constater une simple possibilité que les appelants aient gain de cause sur le fond pour justifier l’autorisation du présent recours</w:t>
      </w:r>
      <w:r>
        <w:rPr>
          <w:rStyle w:val="Appelnotedebasdep"/>
        </w:rPr>
        <w:footnoteReference w:id="35"/>
      </w:r>
      <w:r>
        <w:t xml:space="preserve">. </w:t>
      </w:r>
    </w:p>
    <w:p w14:paraId="248481CD" w14:textId="77777777" w:rsidR="00411979" w:rsidRPr="00696A79" w:rsidRDefault="00411979" w:rsidP="00BB23CD">
      <w:pPr>
        <w:pStyle w:val="JgtParagraphe"/>
        <w:numPr>
          <w:ilvl w:val="0"/>
          <w:numId w:val="31"/>
        </w:numPr>
        <w:spacing w:line="240" w:lineRule="auto"/>
        <w:rPr>
          <w:b/>
          <w:bCs/>
          <w:lang w:val="en-CA"/>
        </w:rPr>
      </w:pPr>
      <w:r>
        <w:rPr>
          <w:b/>
          <w:bCs/>
          <w:lang w:val="en-CA"/>
        </w:rPr>
        <w:t>La q</w:t>
      </w:r>
      <w:r w:rsidRPr="00696A79">
        <w:rPr>
          <w:b/>
          <w:bCs/>
          <w:lang w:val="en-CA"/>
        </w:rPr>
        <w:t>uestion commune</w:t>
      </w:r>
    </w:p>
    <w:p w14:paraId="0A74656D" w14:textId="77777777" w:rsidR="00411979" w:rsidRDefault="00411979" w:rsidP="00BB23CD">
      <w:pPr>
        <w:pStyle w:val="JgtParagraphe"/>
        <w:numPr>
          <w:ilvl w:val="0"/>
          <w:numId w:val="18"/>
        </w:numPr>
        <w:spacing w:line="240" w:lineRule="auto"/>
      </w:pPr>
      <w:r w:rsidRPr="00125D1B">
        <w:t xml:space="preserve">Le </w:t>
      </w:r>
      <w:r>
        <w:t>premier</w:t>
      </w:r>
      <w:r w:rsidRPr="00125D1B">
        <w:t xml:space="preserve"> </w:t>
      </w:r>
      <w:r>
        <w:t>paragraphe</w:t>
      </w:r>
      <w:r w:rsidRPr="00125D1B">
        <w:t xml:space="preserve"> de l’article 575 </w:t>
      </w:r>
      <w:r w:rsidRPr="000C7200">
        <w:rPr>
          <w:i/>
          <w:iCs/>
        </w:rPr>
        <w:t>C.p.c</w:t>
      </w:r>
      <w:r w:rsidRPr="00125D1B">
        <w:t>. exige que « les demandes des membres soulèvent des questions de droit ou de fait identiques, similaires ou connexes</w:t>
      </w:r>
      <w:r>
        <w:t xml:space="preserve"> </w:t>
      </w:r>
      <w:r w:rsidRPr="00125D1B">
        <w:rPr>
          <w:i/>
          <w:iCs/>
        </w:rPr>
        <w:t>/ the claims of the members of the class raise identical, similar or related issues of law or fact</w:t>
      </w:r>
      <w:r w:rsidRPr="00125D1B">
        <w:t> ».</w:t>
      </w:r>
      <w:r>
        <w:t xml:space="preserve"> Ce critère n’est pas exigeant : il suffit de dégager une question commune qui puisse faire avancer le recours de manière non négligeable</w:t>
      </w:r>
      <w:r>
        <w:rPr>
          <w:rStyle w:val="Appelnotedebasdep"/>
        </w:rPr>
        <w:footnoteReference w:id="36"/>
      </w:r>
      <w:r>
        <w:t xml:space="preserve">. </w:t>
      </w:r>
    </w:p>
    <w:p w14:paraId="2E63B2CF" w14:textId="77777777" w:rsidR="00411979" w:rsidRPr="004E6405" w:rsidRDefault="00411979" w:rsidP="00BB23CD">
      <w:pPr>
        <w:pStyle w:val="JgtParagraphe"/>
        <w:numPr>
          <w:ilvl w:val="0"/>
          <w:numId w:val="18"/>
        </w:numPr>
        <w:spacing w:line="240" w:lineRule="auto"/>
      </w:pPr>
      <w:r w:rsidRPr="004E6405">
        <w:lastRenderedPageBreak/>
        <w:t>Voici l</w:t>
      </w:r>
      <w:r>
        <w:t>es</w:t>
      </w:r>
      <w:r w:rsidRPr="004E6405">
        <w:t xml:space="preserve"> question</w:t>
      </w:r>
      <w:r>
        <w:t>s</w:t>
      </w:r>
      <w:r w:rsidRPr="004E6405">
        <w:t xml:space="preserve"> commune</w:t>
      </w:r>
      <w:r>
        <w:t>s</w:t>
      </w:r>
      <w:r w:rsidRPr="004E6405">
        <w:t xml:space="preserve"> propos</w:t>
      </w:r>
      <w:r>
        <w:t>é</w:t>
      </w:r>
      <w:r w:rsidRPr="004E6405">
        <w:t>e</w:t>
      </w:r>
      <w:r>
        <w:t>s</w:t>
      </w:r>
      <w:r w:rsidRPr="004E6405">
        <w:t xml:space="preserve"> par les appelants </w:t>
      </w:r>
      <w:r>
        <w:t>en première instance :</w:t>
      </w:r>
    </w:p>
    <w:p w14:paraId="41CF691E" w14:textId="77777777" w:rsidR="00411979" w:rsidRDefault="00411979" w:rsidP="00BB23CD">
      <w:pPr>
        <w:pStyle w:val="Citationenretrait"/>
        <w:spacing w:line="240" w:lineRule="auto"/>
      </w:pPr>
      <w:r w:rsidRPr="004E6405">
        <w:t>a)</w:t>
      </w:r>
      <w:r w:rsidRPr="004E6405">
        <w:tab/>
        <w:t>Les Défenderesses reçoivent-elles une indemnité plus élevée au moment du remboursement anticipé d</w:t>
      </w:r>
      <w:r>
        <w:t>’</w:t>
      </w:r>
      <w:r w:rsidRPr="004E6405">
        <w:t>une hypothèque à taux fixe</w:t>
      </w:r>
      <w:r>
        <w:t> </w:t>
      </w:r>
      <w:r w:rsidRPr="004E6405">
        <w:t>: (i) en ignorant toute variation à la baisse de l</w:t>
      </w:r>
      <w:r>
        <w:t>’</w:t>
      </w:r>
      <w:r w:rsidRPr="004E6405">
        <w:t>escompte ou de la réduction entre le moment de l</w:t>
      </w:r>
      <w:r>
        <w:t>’</w:t>
      </w:r>
      <w:r w:rsidRPr="004E6405">
        <w:t>hypothèque et le moment du remboursement anticipé; ou (ii) en utilisant, à titre de comparaison, les taux affichés à ces deux périodes au lieu des taux effectifs accordés pour des hypothèques similaires?</w:t>
      </w:r>
    </w:p>
    <w:p w14:paraId="4D008D66" w14:textId="77777777" w:rsidR="00411979" w:rsidRDefault="00411979" w:rsidP="00BB23CD">
      <w:pPr>
        <w:pStyle w:val="Citationenretrait"/>
        <w:spacing w:line="240" w:lineRule="auto"/>
      </w:pPr>
      <w:r>
        <w:t>a.1)</w:t>
      </w:r>
      <w:r>
        <w:tab/>
        <w:t xml:space="preserve">Dans l’affirmative, les points (i) ou (ii) ci-dessus créent-ils ou augmentent-ils artificiellement le manque à gagner des Défenderesses? </w:t>
      </w:r>
    </w:p>
    <w:p w14:paraId="293D524E" w14:textId="77777777" w:rsidR="00411979" w:rsidRDefault="00411979" w:rsidP="00BB23CD">
      <w:pPr>
        <w:pStyle w:val="Citationenretrait"/>
        <w:spacing w:line="240" w:lineRule="auto"/>
      </w:pPr>
      <w:r>
        <w:t>b)</w:t>
      </w:r>
      <w:r>
        <w:tab/>
        <w:t>Dans l’affirmative, cette pratique et la clause des contrats la prévoyant sont-elles abusives, excessives ou déraisonnables au sens des articles 6, 7 ou 1437 C.c.Q.?</w:t>
      </w:r>
    </w:p>
    <w:p w14:paraId="308B426B" w14:textId="77777777" w:rsidR="00411979" w:rsidRDefault="00411979" w:rsidP="00BB23CD">
      <w:pPr>
        <w:pStyle w:val="Citationenretrait"/>
        <w:spacing w:line="240" w:lineRule="auto"/>
      </w:pPr>
      <w:r>
        <w:t>c)</w:t>
      </w:r>
      <w:r>
        <w:tab/>
        <w:t>[…];</w:t>
      </w:r>
    </w:p>
    <w:p w14:paraId="697FD2AB" w14:textId="77777777" w:rsidR="00411979" w:rsidRDefault="00411979" w:rsidP="00BB23CD">
      <w:pPr>
        <w:pStyle w:val="Citationenretrait"/>
        <w:spacing w:line="240" w:lineRule="auto"/>
      </w:pPr>
      <w:r>
        <w:t>d)</w:t>
      </w:r>
      <w:r>
        <w:tab/>
        <w:t>Si la clause incorporant ou appliquant la notion de rabais ou de réduction est abusive, excessive ou déraisonnable au sens des articles 6, 7 ou 1437 C.c.Q., quel est le remède approprié?</w:t>
      </w:r>
    </w:p>
    <w:p w14:paraId="67C1D51E" w14:textId="77777777" w:rsidR="00411979" w:rsidRDefault="00411979" w:rsidP="00BB23CD">
      <w:pPr>
        <w:pStyle w:val="Citationenretrait"/>
        <w:spacing w:line="240" w:lineRule="auto"/>
      </w:pPr>
      <w:r>
        <w:t>e)</w:t>
      </w:r>
      <w:r>
        <w:tab/>
        <w:t>Les Défenderesses ont-elles agi de mauvaise foi?</w:t>
      </w:r>
    </w:p>
    <w:p w14:paraId="1219C86D" w14:textId="77777777" w:rsidR="00411979" w:rsidRDefault="00411979" w:rsidP="00BB23CD">
      <w:pPr>
        <w:pStyle w:val="Citationenretrait"/>
        <w:spacing w:line="240" w:lineRule="auto"/>
      </w:pPr>
      <w:r>
        <w:t>f)</w:t>
      </w:r>
      <w:r>
        <w:tab/>
        <w:t>Les membres du Groupe ont-ils droit à un remboursement et à quel montant?</w:t>
      </w:r>
    </w:p>
    <w:p w14:paraId="022ABFFD" w14:textId="77777777" w:rsidR="00411979" w:rsidRDefault="00411979" w:rsidP="00BB23CD">
      <w:pPr>
        <w:pStyle w:val="Citationenretrait"/>
        <w:spacing w:line="240" w:lineRule="auto"/>
      </w:pPr>
      <w:r>
        <w:t>g)</w:t>
      </w:r>
      <w:r>
        <w:tab/>
        <w:t>La Défenderesse Fédération des Caisses Desjardins du Québec est-elle responsable solidairement avec chacune des 227 Défenderesses « Caisses Desjardins » nommées aux présentes pour la condamnation monétaire prononcée contre ces dernières?</w:t>
      </w:r>
    </w:p>
    <w:p w14:paraId="3D13FDD7" w14:textId="67E0D87D" w:rsidR="00411979" w:rsidRPr="004E6405" w:rsidRDefault="00411979" w:rsidP="00BB23CD">
      <w:pPr>
        <w:pStyle w:val="Citationenretrait"/>
        <w:spacing w:line="240" w:lineRule="auto"/>
      </w:pPr>
      <w:r>
        <w:t>h)</w:t>
      </w:r>
      <w:r>
        <w:tab/>
        <w:t>Quand la prescription commence-t-elle pour les membres du Groupe et la prescription a-t-elle été suspendue par l’introduction de la demande dans le dossier S.C.M</w:t>
      </w:r>
      <w:r w:rsidRPr="003526A0">
        <w:t xml:space="preserve">. </w:t>
      </w:r>
      <w:r w:rsidRPr="00D81945">
        <w:t>no.</w:t>
      </w:r>
      <w:r w:rsidR="003526A0">
        <w:t> </w:t>
      </w:r>
      <w:r w:rsidRPr="003526A0">
        <w:t>500</w:t>
      </w:r>
      <w:r>
        <w:t>-06-000930-186?</w:t>
      </w:r>
    </w:p>
    <w:p w14:paraId="42FDEC09" w14:textId="77777777" w:rsidR="00411979" w:rsidRPr="00993BF4" w:rsidRDefault="00411979" w:rsidP="00BB23CD">
      <w:pPr>
        <w:pStyle w:val="JgtParagraphe"/>
        <w:numPr>
          <w:ilvl w:val="0"/>
          <w:numId w:val="18"/>
        </w:numPr>
        <w:spacing w:line="240" w:lineRule="auto"/>
      </w:pPr>
      <w:r w:rsidRPr="00993BF4">
        <w:t>Le juge conclut que l</w:t>
      </w:r>
      <w:r>
        <w:t>es</w:t>
      </w:r>
      <w:r w:rsidRPr="00993BF4">
        <w:t xml:space="preserve"> réponse</w:t>
      </w:r>
      <w:r>
        <w:t>s</w:t>
      </w:r>
      <w:r w:rsidRPr="00993BF4">
        <w:t xml:space="preserve"> à ce</w:t>
      </w:r>
      <w:r>
        <w:t>s</w:t>
      </w:r>
      <w:r w:rsidRPr="00993BF4">
        <w:t xml:space="preserve"> question</w:t>
      </w:r>
      <w:r>
        <w:t>s</w:t>
      </w:r>
      <w:r w:rsidRPr="00993BF4">
        <w:t xml:space="preserve"> n</w:t>
      </w:r>
      <w:r>
        <w:t xml:space="preserve">e font pas </w:t>
      </w:r>
      <w:r w:rsidRPr="00993BF4">
        <w:t>avance</w:t>
      </w:r>
      <w:r>
        <w:t>r</w:t>
      </w:r>
      <w:r w:rsidRPr="00993BF4">
        <w:t xml:space="preserve"> le débat </w:t>
      </w:r>
      <w:r>
        <w:t xml:space="preserve">au niveau collectif de façon non négligeable, </w:t>
      </w:r>
      <w:r w:rsidRPr="00993BF4">
        <w:t>et</w:t>
      </w:r>
      <w:r>
        <w:t xml:space="preserve"> que des actions individuelles seront nécessaires :</w:t>
      </w:r>
    </w:p>
    <w:p w14:paraId="2254F854" w14:textId="77777777" w:rsidR="00411979" w:rsidRPr="00993BF4" w:rsidRDefault="00411979" w:rsidP="00BB23CD">
      <w:pPr>
        <w:pStyle w:val="Citationenretrait"/>
        <w:spacing w:line="240" w:lineRule="auto"/>
      </w:pPr>
      <w:r w:rsidRPr="00993BF4">
        <w:t>[97]</w:t>
      </w:r>
      <w:r w:rsidRPr="00993BF4">
        <w:tab/>
        <w:t xml:space="preserve">En répondant à ces questions, le Tribunal conclut qu’il n’y a rien au niveau collectif qui puisse faire avancer le débat sur le caractère abusif à l’égard des membres d’une clause de FRA, sans traiter des cas particuliers de chaque personne. </w:t>
      </w:r>
    </w:p>
    <w:p w14:paraId="30C766F0" w14:textId="77777777" w:rsidR="00411979" w:rsidRPr="00993BF4" w:rsidRDefault="00411979" w:rsidP="00BB23CD">
      <w:pPr>
        <w:pStyle w:val="Citationenretrait"/>
        <w:spacing w:line="240" w:lineRule="auto"/>
      </w:pPr>
      <w:r w:rsidRPr="00993BF4">
        <w:t>[98]</w:t>
      </w:r>
      <w:r w:rsidRPr="00993BF4">
        <w:tab/>
        <w:t>Les faits allégués montrent bien que la clause DTI serait abusive dans un contexte particulier, à savoir</w:t>
      </w:r>
      <w:r>
        <w:t> </w:t>
      </w:r>
      <w:r w:rsidRPr="00993BF4">
        <w:t xml:space="preserve">: un marché où les taux sont en baisse et où des escomptes importants ont été consentis au début d’un terme de 5 ans, escomptes </w:t>
      </w:r>
      <w:r w:rsidRPr="00993BF4">
        <w:lastRenderedPageBreak/>
        <w:t>qui sont d’ampleur moindre au moment du remboursement. Or, la définition de groupe est bien plus large que ce groupe limité.</w:t>
      </w:r>
    </w:p>
    <w:p w14:paraId="6CC4D668" w14:textId="77777777" w:rsidR="00411979" w:rsidRPr="00993BF4" w:rsidRDefault="00411979" w:rsidP="00BB23CD">
      <w:pPr>
        <w:pStyle w:val="Citationenretrait"/>
        <w:spacing w:line="240" w:lineRule="auto"/>
      </w:pPr>
      <w:r w:rsidRPr="00993BF4">
        <w:t>[99]</w:t>
      </w:r>
      <w:r w:rsidRPr="00993BF4">
        <w:tab/>
        <w:t>Même dans un bien plus petit carré de sable, la supposée disproportion entre «</w:t>
      </w:r>
      <w:r>
        <w:t> </w:t>
      </w:r>
      <w:r w:rsidRPr="00993BF4">
        <w:t>l’indemnité</w:t>
      </w:r>
      <w:r>
        <w:t> </w:t>
      </w:r>
      <w:r w:rsidRPr="00993BF4">
        <w:t xml:space="preserve">» et le supposé préjudice subi par les banques </w:t>
      </w:r>
      <w:r w:rsidRPr="00102042">
        <w:t xml:space="preserve">varient </w:t>
      </w:r>
      <w:r w:rsidRPr="00993BF4">
        <w:t xml:space="preserve">grandement selon les circonstances de chaque cas particulier. Les cas de Haroch et de Vaillancourt l’illustrent. Selon Haroch, la TD ne subirait en fait aucun préjudice en prêtant les sommes remboursées pour la durée du terme, alors que pour Vaillancourt, BNC subirait un préjudice, mais bien </w:t>
      </w:r>
      <w:r w:rsidRPr="001C2CF6">
        <w:rPr>
          <w:i/>
          <w:iCs/>
        </w:rPr>
        <w:t>moindre</w:t>
      </w:r>
      <w:r w:rsidRPr="00993BF4">
        <w:t xml:space="preserve"> que ce que prévoit l’application de la DTI. </w:t>
      </w:r>
    </w:p>
    <w:p w14:paraId="56625016" w14:textId="77777777" w:rsidR="00411979" w:rsidRPr="00993BF4" w:rsidRDefault="00411979" w:rsidP="00BB23CD">
      <w:pPr>
        <w:pStyle w:val="Citationenretrait"/>
        <w:spacing w:line="240" w:lineRule="auto"/>
      </w:pPr>
      <w:r w:rsidRPr="00993BF4">
        <w:t>[100]</w:t>
      </w:r>
      <w:r w:rsidRPr="00993BF4">
        <w:tab/>
        <w:t>Or, c’est précisément l’existence ou l’ampleur de la différence qui sera établie selon le cas d’espèce de chaque emprunteur qui rendra la clause de DTI abusive ou non.</w:t>
      </w:r>
    </w:p>
    <w:p w14:paraId="14A74306" w14:textId="77777777" w:rsidR="00411979" w:rsidRDefault="00411979" w:rsidP="00BB23CD">
      <w:pPr>
        <w:pStyle w:val="Citationenretrait"/>
        <w:spacing w:line="240" w:lineRule="auto"/>
      </w:pPr>
      <w:r w:rsidRPr="00993BF4">
        <w:t>[101]</w:t>
      </w:r>
      <w:r w:rsidRPr="00993BF4">
        <w:tab/>
        <w:t>C’est donc nécessairement par voie d’action individuelle et non par une action collective que des réponses seront fournies non seulement sur l’étendue du préjudice, mais sur l’existence même d’un abus.</w:t>
      </w:r>
    </w:p>
    <w:p w14:paraId="6FC2E749" w14:textId="77777777" w:rsidR="00411979" w:rsidRDefault="00411979" w:rsidP="00BB23CD">
      <w:pPr>
        <w:pStyle w:val="Paragraphe"/>
        <w:spacing w:line="240" w:lineRule="auto"/>
      </w:pPr>
      <w:r>
        <w:t>Nous ne sommes pas d’accord.</w:t>
      </w:r>
    </w:p>
    <w:p w14:paraId="232FDEDF" w14:textId="77777777" w:rsidR="00411979" w:rsidRDefault="00411979" w:rsidP="00BB23CD">
      <w:pPr>
        <w:pStyle w:val="Paragraphe"/>
        <w:spacing w:line="240" w:lineRule="auto"/>
      </w:pPr>
      <w:r>
        <w:t xml:space="preserve">Le juge a raison de souligner qu’il n’y aucune réponse commune à la question a) et qu’il faudra traiter le cas particulier de chaque personne. En effet, on ne peut dire que la formule </w:t>
      </w:r>
      <w:r w:rsidRPr="0099433B">
        <w:t>DTI résulte en une indemnité plus élevée dans tous les cas. Le résultat dépend</w:t>
      </w:r>
      <w:r>
        <w:t xml:space="preserve"> de quatre variables : le taux affiché et l’escompte accordé lors de l’octroi du prêt, et le taux affiché et l’escompte standard lors du remboursement. Il faut procéder à des analyses individuelles afin de voir dans chaque cas s’il y a abus et </w:t>
      </w:r>
      <w:r w:rsidRPr="0099433B">
        <w:t>quelle est l’étendue</w:t>
      </w:r>
      <w:r>
        <w:t xml:space="preserve"> du préjudice.</w:t>
      </w:r>
    </w:p>
    <w:p w14:paraId="7E85D485" w14:textId="77777777" w:rsidR="00411979" w:rsidRPr="0099433B" w:rsidRDefault="00411979" w:rsidP="00BB23CD">
      <w:pPr>
        <w:pStyle w:val="Paragraphe"/>
        <w:spacing w:line="240" w:lineRule="auto"/>
      </w:pPr>
      <w:r w:rsidRPr="0099433B">
        <w:t xml:space="preserve">Mais il n’est pas nécessaire de procéder par </w:t>
      </w:r>
      <w:r>
        <w:t xml:space="preserve">voie </w:t>
      </w:r>
      <w:r w:rsidRPr="0099433B">
        <w:t xml:space="preserve">de recours individuels et alors </w:t>
      </w:r>
      <w:r>
        <w:t xml:space="preserve">de </w:t>
      </w:r>
      <w:r w:rsidRPr="0099433B">
        <w:t>courir le risque de jugements contradictoires. Il est utile</w:t>
      </w:r>
      <w:r>
        <w:t xml:space="preserve"> qu’un juge tranche pour tous les membres du groupe la question préliminaire de savoir si les formules DTI doivent être comparées à la perte économique nette du prêteur. Si le juge décide, comme le juge de première instance et comme la juge Corriveau, que non et que les formules DTI doivent plutôt être </w:t>
      </w:r>
      <w:r w:rsidRPr="0099433B">
        <w:t>comparées aux</w:t>
      </w:r>
      <w:r>
        <w:t xml:space="preserve"> pertes brutes, il s’ensuit que </w:t>
      </w:r>
      <w:r w:rsidRPr="0099433B">
        <w:t>les clauses ne sont pas abusive</w:t>
      </w:r>
      <w:r>
        <w:t>s</w:t>
      </w:r>
      <w:r w:rsidRPr="0099433B">
        <w:t xml:space="preserve">. En effet, les FRA n’excèdent jamais les intérêts payables par l’emprunteur jusqu’à l’échéance du </w:t>
      </w:r>
      <w:r>
        <w:t>prêt</w:t>
      </w:r>
      <w:r w:rsidRPr="0099433B">
        <w:t xml:space="preserve">. Le recours de tous les membres sera alors rejeté. </w:t>
      </w:r>
    </w:p>
    <w:p w14:paraId="6F36E567" w14:textId="77777777" w:rsidR="00411979" w:rsidRDefault="00411979" w:rsidP="00BB23CD">
      <w:pPr>
        <w:pStyle w:val="Paragraphe"/>
        <w:spacing w:line="240" w:lineRule="auto"/>
      </w:pPr>
      <w:r>
        <w:t xml:space="preserve">Par contre, si </w:t>
      </w:r>
      <w:r w:rsidRPr="0099433B">
        <w:t>le juge conclut que les</w:t>
      </w:r>
      <w:r>
        <w:t xml:space="preserve"> formules DTI </w:t>
      </w:r>
      <w:r w:rsidRPr="00887407">
        <w:t>doivent être comparées à la perte économique nette du prêteur</w:t>
      </w:r>
      <w:r>
        <w:t xml:space="preserve">, il est évident qu’elles peuvent mener à des abus et il devra indiquer dans quelles circonstances il y a abus et comment chiffrer le préjudice. Ceci implique le recouvrement individuel tel que prévu à l’article 599 </w:t>
      </w:r>
      <w:r w:rsidRPr="00600274">
        <w:rPr>
          <w:i/>
          <w:iCs/>
        </w:rPr>
        <w:t>C.p.c.</w:t>
      </w:r>
      <w:r>
        <w:t xml:space="preserve">, et non des actions individuelles comme le suggère le juge. </w:t>
      </w:r>
    </w:p>
    <w:p w14:paraId="280BA09F" w14:textId="77777777" w:rsidR="00411979" w:rsidRPr="0099433B" w:rsidRDefault="00411979" w:rsidP="00BB23CD">
      <w:pPr>
        <w:pStyle w:val="Paragraphe"/>
        <w:spacing w:line="240" w:lineRule="auto"/>
      </w:pPr>
      <w:r w:rsidRPr="0099433B">
        <w:t>Il est donc clair que le recours tel que présenté sert à avancer le débat de manière non négligeable dans tous les cas.</w:t>
      </w:r>
    </w:p>
    <w:p w14:paraId="611DC582" w14:textId="77777777" w:rsidR="00411979" w:rsidRDefault="00411979" w:rsidP="00BB23CD">
      <w:pPr>
        <w:pStyle w:val="Paragraphe"/>
        <w:spacing w:line="240" w:lineRule="auto"/>
      </w:pPr>
      <w:r>
        <w:lastRenderedPageBreak/>
        <w:t>Il faut donc reformuler les questions communes comme suit :</w:t>
      </w:r>
    </w:p>
    <w:p w14:paraId="4E2EEC95" w14:textId="77777777" w:rsidR="00411979" w:rsidRPr="004C7614" w:rsidRDefault="00411979" w:rsidP="00BB23CD">
      <w:pPr>
        <w:pStyle w:val="Citationenretrait"/>
        <w:spacing w:line="240" w:lineRule="auto"/>
        <w:rPr>
          <w:sz w:val="24"/>
          <w:szCs w:val="24"/>
        </w:rPr>
      </w:pPr>
      <w:r w:rsidRPr="004C7614">
        <w:rPr>
          <w:sz w:val="24"/>
          <w:szCs w:val="24"/>
        </w:rPr>
        <w:t>a)</w:t>
      </w:r>
      <w:r w:rsidRPr="004C7614">
        <w:rPr>
          <w:sz w:val="24"/>
          <w:szCs w:val="24"/>
        </w:rPr>
        <w:tab/>
        <w:t>Est-ce que l’utilisation de la formule d</w:t>
      </w:r>
      <w:r>
        <w:rPr>
          <w:sz w:val="24"/>
          <w:szCs w:val="24"/>
        </w:rPr>
        <w:t>u</w:t>
      </w:r>
      <w:r w:rsidRPr="004C7614">
        <w:rPr>
          <w:sz w:val="24"/>
          <w:szCs w:val="24"/>
        </w:rPr>
        <w:t xml:space="preserve"> différentiel de taux d’intérêt pour calculer les frais de remboursement anticipé payés par les membres du groupe lors du remboursement avant terme d’un prêt hypothécaire à taux fixe, en conjonction avec les pratiques des défenderesses sur les taux d’intérêts affichés et les escomptes accordés, peut mener à un résultat qui </w:t>
      </w:r>
      <w:r>
        <w:rPr>
          <w:sz w:val="24"/>
          <w:szCs w:val="24"/>
        </w:rPr>
        <w:t xml:space="preserve">est </w:t>
      </w:r>
      <w:r w:rsidRPr="004C7614">
        <w:rPr>
          <w:sz w:val="24"/>
          <w:szCs w:val="24"/>
        </w:rPr>
        <w:t xml:space="preserve">abusif, excessif ou déraisonnable au sens des articles 6, 7 ou 1437 </w:t>
      </w:r>
      <w:r w:rsidRPr="004C7614">
        <w:rPr>
          <w:i/>
          <w:iCs/>
          <w:sz w:val="24"/>
          <w:szCs w:val="24"/>
        </w:rPr>
        <w:t>C.c.Q.</w:t>
      </w:r>
      <w:r w:rsidRPr="004C7614">
        <w:rPr>
          <w:sz w:val="24"/>
          <w:szCs w:val="24"/>
        </w:rPr>
        <w:t>?</w:t>
      </w:r>
    </w:p>
    <w:p w14:paraId="79370098" w14:textId="77777777" w:rsidR="00411979" w:rsidRPr="004C7614" w:rsidRDefault="00411979" w:rsidP="00BB23CD">
      <w:pPr>
        <w:pStyle w:val="Citationenretrait"/>
        <w:spacing w:line="240" w:lineRule="auto"/>
        <w:rPr>
          <w:sz w:val="24"/>
          <w:szCs w:val="24"/>
        </w:rPr>
      </w:pPr>
      <w:r w:rsidRPr="004C7614">
        <w:rPr>
          <w:sz w:val="24"/>
          <w:szCs w:val="24"/>
        </w:rPr>
        <w:t>b)</w:t>
      </w:r>
      <w:r w:rsidRPr="004C7614">
        <w:rPr>
          <w:sz w:val="24"/>
          <w:szCs w:val="24"/>
        </w:rPr>
        <w:tab/>
        <w:t>Dans l</w:t>
      </w:r>
      <w:r>
        <w:rPr>
          <w:sz w:val="24"/>
          <w:szCs w:val="24"/>
        </w:rPr>
        <w:t>’</w:t>
      </w:r>
      <w:r w:rsidRPr="004C7614">
        <w:rPr>
          <w:sz w:val="24"/>
          <w:szCs w:val="24"/>
        </w:rPr>
        <w:t xml:space="preserve">affirmative, dans quelles circonstances? </w:t>
      </w:r>
    </w:p>
    <w:p w14:paraId="4E1EB9B5" w14:textId="77777777" w:rsidR="00411979" w:rsidRPr="004C7614" w:rsidRDefault="00411979" w:rsidP="00BB23CD">
      <w:pPr>
        <w:pStyle w:val="Citationenretrait"/>
        <w:spacing w:line="240" w:lineRule="auto"/>
        <w:rPr>
          <w:sz w:val="24"/>
          <w:szCs w:val="24"/>
        </w:rPr>
      </w:pPr>
      <w:r w:rsidRPr="004C7614">
        <w:rPr>
          <w:sz w:val="24"/>
          <w:szCs w:val="24"/>
        </w:rPr>
        <w:t>c)</w:t>
      </w:r>
      <w:r w:rsidRPr="004C7614">
        <w:rPr>
          <w:sz w:val="24"/>
          <w:szCs w:val="24"/>
        </w:rPr>
        <w:tab/>
        <w:t>Dans l</w:t>
      </w:r>
      <w:r>
        <w:rPr>
          <w:sz w:val="24"/>
          <w:szCs w:val="24"/>
        </w:rPr>
        <w:t>’</w:t>
      </w:r>
      <w:r w:rsidRPr="004C7614">
        <w:rPr>
          <w:sz w:val="24"/>
          <w:szCs w:val="24"/>
        </w:rPr>
        <w:t xml:space="preserve">affirmative, les membres du groupe ont-ils droit à un remboursement et </w:t>
      </w:r>
      <w:r>
        <w:rPr>
          <w:sz w:val="24"/>
          <w:szCs w:val="24"/>
        </w:rPr>
        <w:t>si oui à combien s’élève-t-il</w:t>
      </w:r>
      <w:r w:rsidRPr="004C7614">
        <w:rPr>
          <w:sz w:val="24"/>
          <w:szCs w:val="24"/>
        </w:rPr>
        <w:t>?</w:t>
      </w:r>
    </w:p>
    <w:p w14:paraId="0BC74394" w14:textId="77777777" w:rsidR="00411979" w:rsidRPr="004C7614" w:rsidRDefault="00411979" w:rsidP="00BB23CD">
      <w:pPr>
        <w:pStyle w:val="Citationenretrait"/>
        <w:spacing w:line="240" w:lineRule="auto"/>
        <w:rPr>
          <w:sz w:val="24"/>
          <w:szCs w:val="24"/>
        </w:rPr>
      </w:pPr>
      <w:r w:rsidRPr="004C7614">
        <w:rPr>
          <w:sz w:val="24"/>
          <w:szCs w:val="24"/>
        </w:rPr>
        <w:t>d)</w:t>
      </w:r>
      <w:r w:rsidRPr="004C7614">
        <w:rPr>
          <w:sz w:val="24"/>
          <w:szCs w:val="24"/>
        </w:rPr>
        <w:tab/>
        <w:t>Les défenderesses ont-elles agi de mauvaise foi?</w:t>
      </w:r>
    </w:p>
    <w:p w14:paraId="76782AAD" w14:textId="77777777" w:rsidR="00411979" w:rsidRPr="004C7614" w:rsidRDefault="00411979" w:rsidP="00BB23CD">
      <w:pPr>
        <w:pStyle w:val="Citationenretrait"/>
        <w:spacing w:line="240" w:lineRule="auto"/>
        <w:rPr>
          <w:sz w:val="24"/>
          <w:szCs w:val="24"/>
        </w:rPr>
      </w:pPr>
      <w:r w:rsidRPr="004C7614">
        <w:rPr>
          <w:sz w:val="24"/>
          <w:szCs w:val="24"/>
        </w:rPr>
        <w:t>e)</w:t>
      </w:r>
      <w:r w:rsidRPr="004C7614">
        <w:rPr>
          <w:sz w:val="24"/>
          <w:szCs w:val="24"/>
        </w:rPr>
        <w:tab/>
        <w:t xml:space="preserve">La défenderesse Fédération des Caisses Desjardins du Québec est-elle responsable solidairement avec chacune des 227 défenderesses </w:t>
      </w:r>
      <w:r>
        <w:rPr>
          <w:sz w:val="24"/>
          <w:szCs w:val="24"/>
        </w:rPr>
        <w:t>« </w:t>
      </w:r>
      <w:r w:rsidRPr="004C7614">
        <w:rPr>
          <w:sz w:val="24"/>
          <w:szCs w:val="24"/>
        </w:rPr>
        <w:t>Caisses Desjardins</w:t>
      </w:r>
      <w:r>
        <w:rPr>
          <w:sz w:val="24"/>
          <w:szCs w:val="24"/>
        </w:rPr>
        <w:t> </w:t>
      </w:r>
      <w:r w:rsidRPr="004C7614">
        <w:rPr>
          <w:sz w:val="24"/>
          <w:szCs w:val="24"/>
        </w:rPr>
        <w:t xml:space="preserve">» nommées aux présentes pour la condamnation </w:t>
      </w:r>
      <w:r>
        <w:rPr>
          <w:sz w:val="24"/>
          <w:szCs w:val="24"/>
        </w:rPr>
        <w:t>pécuniaire</w:t>
      </w:r>
      <w:r w:rsidRPr="004C7614">
        <w:rPr>
          <w:sz w:val="24"/>
          <w:szCs w:val="24"/>
        </w:rPr>
        <w:t xml:space="preserve"> prononcée contre ces dernières?</w:t>
      </w:r>
    </w:p>
    <w:p w14:paraId="7B0A2B9A" w14:textId="70731D7A" w:rsidR="00411979" w:rsidRDefault="00411979" w:rsidP="00BB23CD">
      <w:pPr>
        <w:pStyle w:val="Citationenretrait"/>
        <w:spacing w:line="240" w:lineRule="auto"/>
        <w:rPr>
          <w:sz w:val="24"/>
          <w:szCs w:val="24"/>
        </w:rPr>
      </w:pPr>
      <w:r w:rsidRPr="004C7614">
        <w:rPr>
          <w:sz w:val="24"/>
          <w:szCs w:val="24"/>
        </w:rPr>
        <w:t>f)</w:t>
      </w:r>
      <w:r w:rsidRPr="004C7614">
        <w:rPr>
          <w:sz w:val="24"/>
          <w:szCs w:val="24"/>
        </w:rPr>
        <w:tab/>
        <w:t>Quand la prescription commence-t-elle pour les membres du groupe et la prescription a-t-elle été suspendue par l</w:t>
      </w:r>
      <w:r>
        <w:rPr>
          <w:sz w:val="24"/>
          <w:szCs w:val="24"/>
        </w:rPr>
        <w:t>’</w:t>
      </w:r>
      <w:r w:rsidRPr="004C7614">
        <w:rPr>
          <w:sz w:val="24"/>
          <w:szCs w:val="24"/>
        </w:rPr>
        <w:t>introduction de la demande dans le dossier C.</w:t>
      </w:r>
      <w:r>
        <w:rPr>
          <w:sz w:val="24"/>
          <w:szCs w:val="24"/>
        </w:rPr>
        <w:t>S.</w:t>
      </w:r>
      <w:r w:rsidRPr="00D81945">
        <w:rPr>
          <w:sz w:val="24"/>
          <w:szCs w:val="24"/>
        </w:rPr>
        <w:t>M</w:t>
      </w:r>
      <w:r w:rsidR="00D81945" w:rsidRPr="00D81945">
        <w:rPr>
          <w:sz w:val="24"/>
          <w:szCs w:val="24"/>
        </w:rPr>
        <w:t xml:space="preserve"> </w:t>
      </w:r>
      <w:r w:rsidR="00BB23CD" w:rsidRPr="00D81945">
        <w:rPr>
          <w:sz w:val="24"/>
          <w:szCs w:val="24"/>
        </w:rPr>
        <w:t>n</w:t>
      </w:r>
      <w:r w:rsidR="00BB23CD" w:rsidRPr="00D81945">
        <w:rPr>
          <w:sz w:val="24"/>
          <w:szCs w:val="24"/>
          <w:vertAlign w:val="superscript"/>
        </w:rPr>
        <w:t>o</w:t>
      </w:r>
      <w:r w:rsidR="00BB23CD">
        <w:rPr>
          <w:sz w:val="24"/>
          <w:szCs w:val="24"/>
        </w:rPr>
        <w:t> </w:t>
      </w:r>
      <w:r w:rsidRPr="004C7614">
        <w:rPr>
          <w:sz w:val="24"/>
          <w:szCs w:val="24"/>
        </w:rPr>
        <w:t>500-06-000930-186?</w:t>
      </w:r>
    </w:p>
    <w:p w14:paraId="50379D6B" w14:textId="77777777" w:rsidR="00411979" w:rsidRDefault="00411979" w:rsidP="00BB23CD">
      <w:pPr>
        <w:pStyle w:val="Paragraphe"/>
        <w:spacing w:line="240" w:lineRule="auto"/>
      </w:pPr>
      <w:r>
        <w:t>Il faut aussi modifier la définition du groupe.</w:t>
      </w:r>
    </w:p>
    <w:p w14:paraId="009EF00F" w14:textId="77777777" w:rsidR="00411979" w:rsidRDefault="00411979" w:rsidP="00BB23CD">
      <w:pPr>
        <w:pStyle w:val="Paragraphe"/>
        <w:spacing w:line="240" w:lineRule="auto"/>
      </w:pPr>
      <w:r>
        <w:t>Le groupe proposé par les appelants est le suivant :</w:t>
      </w:r>
    </w:p>
    <w:p w14:paraId="6C6C2F49" w14:textId="77777777" w:rsidR="00411979" w:rsidRPr="00620673" w:rsidRDefault="00411979" w:rsidP="00BB23CD">
      <w:pPr>
        <w:pStyle w:val="Citationenretrait"/>
        <w:spacing w:line="240" w:lineRule="auto"/>
        <w:rPr>
          <w:sz w:val="24"/>
          <w:szCs w:val="24"/>
        </w:rPr>
      </w:pPr>
      <w:bookmarkStart w:id="23" w:name="_Hlk225428330"/>
      <w:r w:rsidRPr="00620673">
        <w:rPr>
          <w:sz w:val="24"/>
          <w:szCs w:val="24"/>
        </w:rPr>
        <w:t>Toutes les personnes qui, depuis le 31 mai 2015 ont payé à l</w:t>
      </w:r>
      <w:r>
        <w:rPr>
          <w:sz w:val="24"/>
          <w:szCs w:val="24"/>
        </w:rPr>
        <w:t>’</w:t>
      </w:r>
      <w:r w:rsidRPr="00620673">
        <w:rPr>
          <w:sz w:val="24"/>
          <w:szCs w:val="24"/>
        </w:rPr>
        <w:t>une ou l</w:t>
      </w:r>
      <w:r>
        <w:rPr>
          <w:sz w:val="24"/>
          <w:szCs w:val="24"/>
        </w:rPr>
        <w:t>’</w:t>
      </w:r>
      <w:r w:rsidRPr="00620673">
        <w:rPr>
          <w:sz w:val="24"/>
          <w:szCs w:val="24"/>
        </w:rPr>
        <w:t>autre des Défenderesses (ou à l</w:t>
      </w:r>
      <w:r>
        <w:rPr>
          <w:sz w:val="24"/>
          <w:szCs w:val="24"/>
        </w:rPr>
        <w:t>’</w:t>
      </w:r>
      <w:r w:rsidRPr="00620673">
        <w:rPr>
          <w:sz w:val="24"/>
          <w:szCs w:val="24"/>
        </w:rPr>
        <w:t>une de leurs sociétés affiliées) des frais de remboursement anticipé d</w:t>
      </w:r>
      <w:r>
        <w:rPr>
          <w:sz w:val="24"/>
          <w:szCs w:val="24"/>
        </w:rPr>
        <w:t>’</w:t>
      </w:r>
      <w:r w:rsidRPr="00620673">
        <w:rPr>
          <w:sz w:val="24"/>
          <w:szCs w:val="24"/>
        </w:rPr>
        <w:t>un montant supérieur à trois mois d</w:t>
      </w:r>
      <w:r>
        <w:rPr>
          <w:sz w:val="24"/>
          <w:szCs w:val="24"/>
        </w:rPr>
        <w:t>’</w:t>
      </w:r>
      <w:r w:rsidRPr="00620673">
        <w:rPr>
          <w:sz w:val="24"/>
          <w:szCs w:val="24"/>
        </w:rPr>
        <w:t>intérêts lors du remboursement total ou partiel d</w:t>
      </w:r>
      <w:r>
        <w:rPr>
          <w:sz w:val="24"/>
          <w:szCs w:val="24"/>
        </w:rPr>
        <w:t>’</w:t>
      </w:r>
      <w:r w:rsidRPr="00620673">
        <w:rPr>
          <w:sz w:val="24"/>
          <w:szCs w:val="24"/>
        </w:rPr>
        <w:t>un prêt hypothécaire à taux fixe ou d</w:t>
      </w:r>
      <w:r>
        <w:rPr>
          <w:sz w:val="24"/>
          <w:szCs w:val="24"/>
        </w:rPr>
        <w:t>’</w:t>
      </w:r>
      <w:r w:rsidRPr="00620673">
        <w:rPr>
          <w:sz w:val="24"/>
          <w:szCs w:val="24"/>
        </w:rPr>
        <w:t>une hypothèque collatérale sur une propriété située dans la province de Québec.</w:t>
      </w:r>
    </w:p>
    <w:bookmarkEnd w:id="23"/>
    <w:p w14:paraId="0D5EFA6F" w14:textId="77777777" w:rsidR="00411979" w:rsidRDefault="00411979" w:rsidP="00BB23CD">
      <w:pPr>
        <w:pStyle w:val="Paragraphe"/>
        <w:spacing w:line="240" w:lineRule="auto"/>
      </w:pPr>
      <w:r>
        <w:t>Ce groupe inclut toutes les personnes ayant payé des FRA calculés selon la formule DTI. Le groupe doit être limité à ceux qui ont payé des FRA supérieurs à la perte économique de l’institution financière. Il faut donc reformuler la définition du groupe comme suit :</w:t>
      </w:r>
    </w:p>
    <w:p w14:paraId="0FBA3D88" w14:textId="77777777" w:rsidR="00411979" w:rsidRDefault="00411979" w:rsidP="00BB23CD">
      <w:pPr>
        <w:pStyle w:val="Citationenretrait"/>
        <w:spacing w:line="240" w:lineRule="auto"/>
        <w:rPr>
          <w:sz w:val="24"/>
          <w:szCs w:val="24"/>
        </w:rPr>
      </w:pPr>
      <w:r w:rsidRPr="00620673">
        <w:rPr>
          <w:sz w:val="24"/>
          <w:szCs w:val="24"/>
        </w:rPr>
        <w:t>Toutes les personnes qui, depuis le 31 mai 2015 ont payé à l</w:t>
      </w:r>
      <w:r>
        <w:rPr>
          <w:sz w:val="24"/>
          <w:szCs w:val="24"/>
        </w:rPr>
        <w:t>’</w:t>
      </w:r>
      <w:r w:rsidRPr="00620673">
        <w:rPr>
          <w:sz w:val="24"/>
          <w:szCs w:val="24"/>
        </w:rPr>
        <w:t>une ou l</w:t>
      </w:r>
      <w:r>
        <w:rPr>
          <w:sz w:val="24"/>
          <w:szCs w:val="24"/>
        </w:rPr>
        <w:t>’</w:t>
      </w:r>
      <w:r w:rsidRPr="00620673">
        <w:rPr>
          <w:sz w:val="24"/>
          <w:szCs w:val="24"/>
        </w:rPr>
        <w:t>autre des Défenderesses (ou à l</w:t>
      </w:r>
      <w:r>
        <w:rPr>
          <w:sz w:val="24"/>
          <w:szCs w:val="24"/>
        </w:rPr>
        <w:t>’</w:t>
      </w:r>
      <w:r w:rsidRPr="00620673">
        <w:rPr>
          <w:sz w:val="24"/>
          <w:szCs w:val="24"/>
        </w:rPr>
        <w:t xml:space="preserve">une de leurs sociétés affiliées) des frais de remboursement anticipé </w:t>
      </w:r>
      <w:r>
        <w:rPr>
          <w:sz w:val="24"/>
          <w:szCs w:val="24"/>
        </w:rPr>
        <w:t xml:space="preserve">calculés selon la formule </w:t>
      </w:r>
      <w:r w:rsidRPr="00390940">
        <w:rPr>
          <w:sz w:val="24"/>
          <w:szCs w:val="24"/>
        </w:rPr>
        <w:t xml:space="preserve">du différentiel de taux </w:t>
      </w:r>
      <w:r w:rsidRPr="00390940">
        <w:rPr>
          <w:sz w:val="24"/>
          <w:szCs w:val="24"/>
        </w:rPr>
        <w:lastRenderedPageBreak/>
        <w:t>d’intérêt</w:t>
      </w:r>
      <w:r>
        <w:rPr>
          <w:sz w:val="24"/>
          <w:szCs w:val="24"/>
        </w:rPr>
        <w:t xml:space="preserve"> qui sont supérieurs</w:t>
      </w:r>
      <w:r w:rsidRPr="00620673">
        <w:rPr>
          <w:sz w:val="24"/>
          <w:szCs w:val="24"/>
        </w:rPr>
        <w:t xml:space="preserve"> à la perte économique nette du prêteur, lors du remboursement total ou partiel d</w:t>
      </w:r>
      <w:r>
        <w:rPr>
          <w:sz w:val="24"/>
          <w:szCs w:val="24"/>
        </w:rPr>
        <w:t>’</w:t>
      </w:r>
      <w:r w:rsidRPr="00620673">
        <w:rPr>
          <w:sz w:val="24"/>
          <w:szCs w:val="24"/>
        </w:rPr>
        <w:t>un prêt hypothécaire à taux fixe ou d</w:t>
      </w:r>
      <w:r>
        <w:rPr>
          <w:sz w:val="24"/>
          <w:szCs w:val="24"/>
        </w:rPr>
        <w:t>’</w:t>
      </w:r>
      <w:r w:rsidRPr="00620673">
        <w:rPr>
          <w:sz w:val="24"/>
          <w:szCs w:val="24"/>
        </w:rPr>
        <w:t>une hypothèque collatérale sur une propriété située dans la province de Québec.</w:t>
      </w:r>
    </w:p>
    <w:p w14:paraId="76D74FA3" w14:textId="77777777" w:rsidR="00411979" w:rsidRPr="00620673" w:rsidRDefault="00411979" w:rsidP="00BB23CD">
      <w:pPr>
        <w:pStyle w:val="Paragraphe"/>
        <w:spacing w:line="240" w:lineRule="auto"/>
      </w:pPr>
      <w:r>
        <w:t>Enfin, il faut modifier les conclusions recherchées afin de tenir compte des nouvelles questions.</w:t>
      </w:r>
    </w:p>
    <w:p w14:paraId="3D171A20" w14:textId="77777777" w:rsidR="00411979" w:rsidRPr="000C5A5C" w:rsidRDefault="00411979" w:rsidP="00BB23CD">
      <w:pPr>
        <w:pStyle w:val="JgtParagraphe"/>
        <w:numPr>
          <w:ilvl w:val="0"/>
          <w:numId w:val="30"/>
        </w:numPr>
        <w:spacing w:line="240" w:lineRule="auto"/>
        <w:rPr>
          <w:b/>
          <w:bCs/>
        </w:rPr>
      </w:pPr>
      <w:r w:rsidRPr="000C5A5C">
        <w:rPr>
          <w:b/>
          <w:bCs/>
        </w:rPr>
        <w:t>Conclusion</w:t>
      </w:r>
    </w:p>
    <w:p w14:paraId="3A52057B" w14:textId="77777777" w:rsidR="00411979" w:rsidRPr="00E97D11" w:rsidRDefault="00411979" w:rsidP="00BB23CD">
      <w:pPr>
        <w:pStyle w:val="Paragraphe"/>
        <w:spacing w:line="240" w:lineRule="auto"/>
      </w:pPr>
      <w:r>
        <w:t>La Cour va donc accueillir l’appel, avec les frais de justice en première instance et en appel, et autoriser les appelants à exercer une action collective contre les intimées. Il faut aussi modifier la définition</w:t>
      </w:r>
      <w:r w:rsidRPr="00B51F29">
        <w:t xml:space="preserve"> du groupe,</w:t>
      </w:r>
      <w:r>
        <w:rPr>
          <w:i/>
          <w:iCs/>
        </w:rPr>
        <w:t xml:space="preserve"> </w:t>
      </w:r>
      <w:r>
        <w:t xml:space="preserve">les questions communes et les conclusions recherchées.  </w:t>
      </w:r>
    </w:p>
    <w:p w14:paraId="37953C23" w14:textId="0B3ECAC8" w:rsidR="00411979" w:rsidRPr="00411979" w:rsidRDefault="003526A0" w:rsidP="00D81945">
      <w:pPr>
        <w:spacing w:before="120" w:after="120" w:line="240" w:lineRule="auto"/>
        <w:jc w:val="both"/>
        <w:rPr>
          <w:szCs w:val="24"/>
        </w:rPr>
      </w:pPr>
      <w:r w:rsidRPr="00D81945">
        <w:rPr>
          <w:b/>
          <w:bCs/>
          <w:szCs w:val="24"/>
        </w:rPr>
        <w:t>POUR CES MOTIFS,</w:t>
      </w:r>
      <w:r w:rsidRPr="00D81945">
        <w:rPr>
          <w:szCs w:val="24"/>
        </w:rPr>
        <w:t xml:space="preserve"> </w:t>
      </w:r>
      <w:r w:rsidR="00411979" w:rsidRPr="00D81945">
        <w:rPr>
          <w:b/>
          <w:bCs/>
          <w:szCs w:val="24"/>
        </w:rPr>
        <w:t>LA</w:t>
      </w:r>
      <w:r w:rsidR="00411979" w:rsidRPr="00A6101E">
        <w:rPr>
          <w:b/>
          <w:bCs/>
          <w:szCs w:val="24"/>
        </w:rPr>
        <w:t xml:space="preserve"> COUR</w:t>
      </w:r>
      <w:r w:rsidR="00411979" w:rsidRPr="00A6101E">
        <w:rPr>
          <w:szCs w:val="24"/>
        </w:rPr>
        <w:t> :</w:t>
      </w:r>
    </w:p>
    <w:p w14:paraId="54C706E8" w14:textId="50BE8230" w:rsidR="00C21E6C" w:rsidRPr="00A6101E" w:rsidRDefault="00C21E6C" w:rsidP="00BB23CD">
      <w:pPr>
        <w:numPr>
          <w:ilvl w:val="0"/>
          <w:numId w:val="18"/>
        </w:numPr>
        <w:tabs>
          <w:tab w:val="clear" w:pos="720"/>
        </w:tabs>
        <w:spacing w:before="120" w:after="120" w:line="240" w:lineRule="auto"/>
        <w:jc w:val="both"/>
        <w:rPr>
          <w:szCs w:val="24"/>
        </w:rPr>
      </w:pPr>
      <w:r w:rsidRPr="00A6101E">
        <w:rPr>
          <w:b/>
          <w:bCs/>
          <w:szCs w:val="24"/>
        </w:rPr>
        <w:t>ACCUEILLE</w:t>
      </w:r>
      <w:r w:rsidRPr="00A6101E">
        <w:rPr>
          <w:szCs w:val="24"/>
        </w:rPr>
        <w:t xml:space="preserve"> l’appel;</w:t>
      </w:r>
    </w:p>
    <w:p w14:paraId="7260CF1D" w14:textId="77777777" w:rsidR="00C21E6C" w:rsidRPr="00A6101E" w:rsidRDefault="00C21E6C" w:rsidP="00BB23CD">
      <w:pPr>
        <w:numPr>
          <w:ilvl w:val="0"/>
          <w:numId w:val="18"/>
        </w:numPr>
        <w:tabs>
          <w:tab w:val="clear" w:pos="720"/>
        </w:tabs>
        <w:spacing w:before="120" w:after="120" w:line="240" w:lineRule="auto"/>
        <w:jc w:val="both"/>
        <w:rPr>
          <w:szCs w:val="24"/>
        </w:rPr>
      </w:pPr>
      <w:r w:rsidRPr="00A6101E">
        <w:rPr>
          <w:b/>
          <w:bCs/>
          <w:szCs w:val="24"/>
        </w:rPr>
        <w:t>INFIRME</w:t>
      </w:r>
      <w:r w:rsidRPr="00A6101E">
        <w:rPr>
          <w:szCs w:val="24"/>
        </w:rPr>
        <w:t xml:space="preserve"> le jugement de première instance, et, procédant à rendre le jugement qui aurait dû être rendu en première instance;</w:t>
      </w:r>
    </w:p>
    <w:p w14:paraId="06F68DC4" w14:textId="77777777" w:rsidR="00C21E6C" w:rsidRPr="00A6101E" w:rsidRDefault="00C21E6C" w:rsidP="00BB23CD">
      <w:pPr>
        <w:numPr>
          <w:ilvl w:val="0"/>
          <w:numId w:val="18"/>
        </w:numPr>
        <w:tabs>
          <w:tab w:val="clear" w:pos="720"/>
        </w:tabs>
        <w:spacing w:before="120" w:after="120" w:line="240" w:lineRule="auto"/>
        <w:jc w:val="both"/>
        <w:rPr>
          <w:szCs w:val="24"/>
        </w:rPr>
      </w:pPr>
      <w:r w:rsidRPr="00A6101E">
        <w:rPr>
          <w:b/>
          <w:bCs/>
          <w:szCs w:val="24"/>
        </w:rPr>
        <w:t>ACCUEILLE</w:t>
      </w:r>
      <w:r w:rsidRPr="00A6101E">
        <w:rPr>
          <w:szCs w:val="24"/>
        </w:rPr>
        <w:t xml:space="preserve"> le </w:t>
      </w:r>
      <w:r w:rsidRPr="00A6101E">
        <w:rPr>
          <w:i/>
          <w:iCs/>
          <w:szCs w:val="24"/>
        </w:rPr>
        <w:t>Amended Application to Authorize the Bringing of a Class Action and to Appoint the Status of Representative Plaintiffs</w:t>
      </w:r>
      <w:r w:rsidRPr="00A6101E">
        <w:rPr>
          <w:szCs w:val="24"/>
        </w:rPr>
        <w:t xml:space="preserve"> en date du 31 janvier 2022, tel que remodifié le 27 juin 2024, selon ses conclusions, sauf en ce qui concerne la définition du groupe, les questions communes et les conclusions recherchées;</w:t>
      </w:r>
    </w:p>
    <w:p w14:paraId="3BA93FFE" w14:textId="77777777" w:rsidR="00C21E6C" w:rsidRPr="00A6101E" w:rsidRDefault="00C21E6C" w:rsidP="00BB23CD">
      <w:pPr>
        <w:numPr>
          <w:ilvl w:val="0"/>
          <w:numId w:val="18"/>
        </w:numPr>
        <w:tabs>
          <w:tab w:val="clear" w:pos="720"/>
        </w:tabs>
        <w:spacing w:before="120" w:after="120" w:line="240" w:lineRule="auto"/>
        <w:jc w:val="both"/>
        <w:rPr>
          <w:szCs w:val="24"/>
        </w:rPr>
      </w:pPr>
      <w:r w:rsidRPr="00A6101E">
        <w:rPr>
          <w:b/>
          <w:bCs/>
          <w:szCs w:val="24"/>
        </w:rPr>
        <w:t xml:space="preserve">AUTORISE </w:t>
      </w:r>
      <w:r w:rsidRPr="00A6101E">
        <w:rPr>
          <w:szCs w:val="24"/>
        </w:rPr>
        <w:t>l’exercice de</w:t>
      </w:r>
      <w:r w:rsidRPr="00A6101E">
        <w:rPr>
          <w:b/>
          <w:bCs/>
          <w:szCs w:val="24"/>
        </w:rPr>
        <w:t xml:space="preserve"> </w:t>
      </w:r>
      <w:r w:rsidRPr="00A6101E">
        <w:rPr>
          <w:szCs w:val="24"/>
        </w:rPr>
        <w:t>l’action collective contre les intimées;</w:t>
      </w:r>
    </w:p>
    <w:p w14:paraId="6708B80E" w14:textId="77777777" w:rsidR="00C21E6C" w:rsidRPr="00A6101E" w:rsidRDefault="00C21E6C" w:rsidP="00BB23CD">
      <w:pPr>
        <w:numPr>
          <w:ilvl w:val="0"/>
          <w:numId w:val="18"/>
        </w:numPr>
        <w:tabs>
          <w:tab w:val="clear" w:pos="720"/>
        </w:tabs>
        <w:spacing w:before="120" w:after="120" w:line="240" w:lineRule="auto"/>
        <w:jc w:val="both"/>
        <w:rPr>
          <w:szCs w:val="24"/>
        </w:rPr>
      </w:pPr>
      <w:r w:rsidRPr="00A6101E">
        <w:rPr>
          <w:b/>
          <w:bCs/>
          <w:szCs w:val="24"/>
        </w:rPr>
        <w:t xml:space="preserve">ATTRIBUE </w:t>
      </w:r>
      <w:r w:rsidRPr="00A6101E">
        <w:rPr>
          <w:szCs w:val="24"/>
        </w:rPr>
        <w:t>à Katy Haroch et Claude Vaillancourt le statut de représentants aux fins d’exercer l’action collective pour le compte du groupe formé des personnes suivantes :</w:t>
      </w:r>
    </w:p>
    <w:p w14:paraId="5489E78C" w14:textId="77777777" w:rsidR="00C21E6C" w:rsidRPr="00081774" w:rsidRDefault="00C21E6C" w:rsidP="00BB23CD">
      <w:pPr>
        <w:pStyle w:val="Citationenretrait"/>
        <w:spacing w:line="240" w:lineRule="auto"/>
        <w:ind w:left="851"/>
        <w:rPr>
          <w:sz w:val="24"/>
          <w:szCs w:val="24"/>
        </w:rPr>
      </w:pPr>
      <w:r w:rsidRPr="00081774">
        <w:rPr>
          <w:sz w:val="24"/>
          <w:szCs w:val="24"/>
        </w:rPr>
        <w:t xml:space="preserve">Toutes les personnes qui, depuis le 31 mai 2015 ont payé à l’une ou l’autre des Défenderesses (ou à l’une de leurs sociétés affiliées) des frais de remboursement anticipé calculés selon la formule </w:t>
      </w:r>
      <w:r w:rsidRPr="00A6101E">
        <w:rPr>
          <w:sz w:val="24"/>
          <w:szCs w:val="24"/>
        </w:rPr>
        <w:t>du différentiel de taux d’intérêt</w:t>
      </w:r>
      <w:r w:rsidRPr="00081774">
        <w:rPr>
          <w:sz w:val="24"/>
          <w:szCs w:val="24"/>
        </w:rPr>
        <w:t xml:space="preserve"> qui sont supérieurs à la perte économique nette du prêteur, lors du remboursement total ou partiel d’un prêt hypothécaire à taux fixe ou d’une hypothèque collatérale sur une propriété située dans la province de Québec.</w:t>
      </w:r>
    </w:p>
    <w:p w14:paraId="4984C65E" w14:textId="77777777" w:rsidR="00C21E6C" w:rsidRPr="00081774" w:rsidRDefault="00C21E6C" w:rsidP="00BB23CD">
      <w:pPr>
        <w:pStyle w:val="Paragraphe"/>
        <w:tabs>
          <w:tab w:val="clear" w:pos="720"/>
        </w:tabs>
        <w:spacing w:line="240" w:lineRule="auto"/>
        <w:rPr>
          <w:szCs w:val="24"/>
        </w:rPr>
      </w:pPr>
      <w:r w:rsidRPr="00081774">
        <w:rPr>
          <w:b/>
          <w:bCs/>
          <w:szCs w:val="24"/>
        </w:rPr>
        <w:t xml:space="preserve">IDENTIFIE </w:t>
      </w:r>
      <w:r w:rsidRPr="00081774">
        <w:rPr>
          <w:szCs w:val="24"/>
        </w:rPr>
        <w:t xml:space="preserve">comme suit </w:t>
      </w:r>
      <w:r w:rsidRPr="00B51F29">
        <w:rPr>
          <w:szCs w:val="24"/>
        </w:rPr>
        <w:t>les</w:t>
      </w:r>
      <w:r>
        <w:rPr>
          <w:szCs w:val="24"/>
        </w:rPr>
        <w:t xml:space="preserve"> </w:t>
      </w:r>
      <w:r w:rsidRPr="00B51F29">
        <w:rPr>
          <w:szCs w:val="24"/>
        </w:rPr>
        <w:t>principales questions de fait et de droit qui devront être traitées</w:t>
      </w:r>
      <w:r>
        <w:rPr>
          <w:szCs w:val="24"/>
        </w:rPr>
        <w:t xml:space="preserve"> </w:t>
      </w:r>
      <w:r w:rsidRPr="00B51F29">
        <w:rPr>
          <w:szCs w:val="24"/>
        </w:rPr>
        <w:t>collectivement</w:t>
      </w:r>
      <w:r>
        <w:rPr>
          <w:szCs w:val="24"/>
        </w:rPr>
        <w:t> :</w:t>
      </w:r>
    </w:p>
    <w:p w14:paraId="05BADC31" w14:textId="77777777" w:rsidR="00C21E6C" w:rsidRDefault="00C21E6C" w:rsidP="00BB23CD">
      <w:pPr>
        <w:pStyle w:val="Citationenretrait"/>
        <w:spacing w:line="240" w:lineRule="auto"/>
        <w:ind w:left="709"/>
        <w:rPr>
          <w:sz w:val="24"/>
          <w:szCs w:val="24"/>
        </w:rPr>
      </w:pPr>
      <w:r w:rsidRPr="00081774">
        <w:rPr>
          <w:sz w:val="24"/>
          <w:szCs w:val="24"/>
        </w:rPr>
        <w:lastRenderedPageBreak/>
        <w:t>a)</w:t>
      </w:r>
      <w:r w:rsidRPr="00081774">
        <w:rPr>
          <w:sz w:val="24"/>
          <w:szCs w:val="24"/>
        </w:rPr>
        <w:tab/>
        <w:t>Est-ce que l’utilisation de la formule du différentiel de taux d’intérêt pour calculer les frais de remboursement anticipé payés par les membres du groupe lors du remboursement avant terme d’un prêt hypothécaire à taux fixe, en conjonction avec les pratiques des défenderesses sur les taux d’intérêts affichés et les escomptes accordés, peut mener à un résultat qui est abusif, excessif ou déraisonnable au sens des articles 6, 7 ou 1437 C.c.Q.?</w:t>
      </w:r>
    </w:p>
    <w:p w14:paraId="2593C39A" w14:textId="77777777" w:rsidR="00C21E6C" w:rsidRPr="00081774" w:rsidRDefault="00C21E6C" w:rsidP="00BB23CD">
      <w:pPr>
        <w:pStyle w:val="Citationenretrait"/>
        <w:spacing w:line="240" w:lineRule="auto"/>
        <w:ind w:left="709"/>
        <w:rPr>
          <w:sz w:val="24"/>
          <w:szCs w:val="24"/>
        </w:rPr>
      </w:pPr>
      <w:r w:rsidRPr="00081774">
        <w:rPr>
          <w:sz w:val="24"/>
          <w:szCs w:val="24"/>
        </w:rPr>
        <w:t>b)</w:t>
      </w:r>
      <w:r w:rsidRPr="00081774">
        <w:rPr>
          <w:sz w:val="24"/>
          <w:szCs w:val="24"/>
        </w:rPr>
        <w:tab/>
        <w:t xml:space="preserve">Dans l’affirmative, dans quelles circonstances? </w:t>
      </w:r>
    </w:p>
    <w:p w14:paraId="30C3AFCE" w14:textId="77777777" w:rsidR="00C21E6C" w:rsidRPr="00081774" w:rsidRDefault="00C21E6C" w:rsidP="00BB23CD">
      <w:pPr>
        <w:pStyle w:val="Citationenretrait"/>
        <w:spacing w:line="240" w:lineRule="auto"/>
        <w:ind w:left="709"/>
        <w:rPr>
          <w:sz w:val="24"/>
          <w:szCs w:val="24"/>
        </w:rPr>
      </w:pPr>
      <w:r w:rsidRPr="00081774">
        <w:rPr>
          <w:sz w:val="24"/>
          <w:szCs w:val="24"/>
        </w:rPr>
        <w:t>c)</w:t>
      </w:r>
      <w:r w:rsidRPr="00081774">
        <w:rPr>
          <w:sz w:val="24"/>
          <w:szCs w:val="24"/>
        </w:rPr>
        <w:tab/>
        <w:t>Dans l’affirmative, les membres du groupe ont-ils droit à un remboursement et si oui à combien s’élève-t-il?</w:t>
      </w:r>
    </w:p>
    <w:p w14:paraId="5E3C48E7" w14:textId="77777777" w:rsidR="00C21E6C" w:rsidRPr="00081774" w:rsidRDefault="00C21E6C" w:rsidP="00BB23CD">
      <w:pPr>
        <w:pStyle w:val="Citationenretrait"/>
        <w:spacing w:line="240" w:lineRule="auto"/>
        <w:ind w:left="709"/>
        <w:rPr>
          <w:sz w:val="24"/>
          <w:szCs w:val="24"/>
        </w:rPr>
      </w:pPr>
      <w:r w:rsidRPr="00081774">
        <w:rPr>
          <w:sz w:val="24"/>
          <w:szCs w:val="24"/>
        </w:rPr>
        <w:t>d)</w:t>
      </w:r>
      <w:r w:rsidRPr="00081774">
        <w:rPr>
          <w:sz w:val="24"/>
          <w:szCs w:val="24"/>
        </w:rPr>
        <w:tab/>
        <w:t>Les défenderesses ont-elles agi de mauvaise foi?</w:t>
      </w:r>
    </w:p>
    <w:p w14:paraId="49C5A24E" w14:textId="77777777" w:rsidR="00C21E6C" w:rsidRPr="00081774" w:rsidRDefault="00C21E6C" w:rsidP="00BB23CD">
      <w:pPr>
        <w:pStyle w:val="Citationenretrait"/>
        <w:spacing w:line="240" w:lineRule="auto"/>
        <w:ind w:left="709"/>
        <w:rPr>
          <w:sz w:val="24"/>
          <w:szCs w:val="24"/>
        </w:rPr>
      </w:pPr>
      <w:r w:rsidRPr="00081774">
        <w:rPr>
          <w:sz w:val="24"/>
          <w:szCs w:val="24"/>
        </w:rPr>
        <w:t>e)</w:t>
      </w:r>
      <w:r w:rsidRPr="00081774">
        <w:rPr>
          <w:sz w:val="24"/>
          <w:szCs w:val="24"/>
        </w:rPr>
        <w:tab/>
        <w:t xml:space="preserve">La défenderesse Fédération des Caisses Desjardins du Québec est-elle responsable solidairement avec chacune des 227 défenderesses </w:t>
      </w:r>
      <w:r>
        <w:rPr>
          <w:sz w:val="24"/>
          <w:szCs w:val="24"/>
        </w:rPr>
        <w:t>« </w:t>
      </w:r>
      <w:r w:rsidRPr="00081774">
        <w:rPr>
          <w:sz w:val="24"/>
          <w:szCs w:val="24"/>
        </w:rPr>
        <w:t>Caisses Desjardins</w:t>
      </w:r>
      <w:r>
        <w:rPr>
          <w:sz w:val="24"/>
          <w:szCs w:val="24"/>
        </w:rPr>
        <w:t> »</w:t>
      </w:r>
      <w:r w:rsidRPr="00081774">
        <w:rPr>
          <w:sz w:val="24"/>
          <w:szCs w:val="24"/>
        </w:rPr>
        <w:t xml:space="preserve"> nommées aux présentes pour la condamnation pécuniaire prononcée contre ces dernières?</w:t>
      </w:r>
    </w:p>
    <w:p w14:paraId="3DF062C0" w14:textId="77777777" w:rsidR="00C21E6C" w:rsidRDefault="00C21E6C" w:rsidP="00BB23CD">
      <w:pPr>
        <w:pStyle w:val="Citationenretrait"/>
        <w:spacing w:line="240" w:lineRule="auto"/>
        <w:ind w:left="709"/>
        <w:rPr>
          <w:sz w:val="24"/>
          <w:szCs w:val="24"/>
        </w:rPr>
      </w:pPr>
      <w:r w:rsidRPr="00081774">
        <w:rPr>
          <w:sz w:val="24"/>
          <w:szCs w:val="24"/>
        </w:rPr>
        <w:t>f)</w:t>
      </w:r>
      <w:r w:rsidRPr="00081774">
        <w:rPr>
          <w:sz w:val="24"/>
          <w:szCs w:val="24"/>
        </w:rPr>
        <w:tab/>
        <w:t>Quand la prescription commence-t-elle pour les membres du groupe et la prescription a-t-elle été suspendue par l’introduction de la demande dans le dossier C.S.M. n</w:t>
      </w:r>
      <w:r w:rsidRPr="00663A6E">
        <w:rPr>
          <w:sz w:val="24"/>
          <w:szCs w:val="24"/>
          <w:vertAlign w:val="superscript"/>
        </w:rPr>
        <w:t>o</w:t>
      </w:r>
      <w:r>
        <w:rPr>
          <w:sz w:val="24"/>
          <w:szCs w:val="24"/>
        </w:rPr>
        <w:t> </w:t>
      </w:r>
      <w:r w:rsidRPr="00081774">
        <w:rPr>
          <w:sz w:val="24"/>
          <w:szCs w:val="24"/>
        </w:rPr>
        <w:t>500-06-000930-186?</w:t>
      </w:r>
    </w:p>
    <w:p w14:paraId="4A09467A" w14:textId="77777777" w:rsidR="00C21E6C" w:rsidRPr="00266C32" w:rsidRDefault="00C21E6C" w:rsidP="00BB23CD">
      <w:pPr>
        <w:pStyle w:val="Paragraphe"/>
        <w:tabs>
          <w:tab w:val="clear" w:pos="720"/>
        </w:tabs>
        <w:spacing w:line="240" w:lineRule="auto"/>
      </w:pPr>
      <w:r w:rsidRPr="00266C32">
        <w:rPr>
          <w:b/>
          <w:bCs/>
        </w:rPr>
        <w:t>IDENTIFIE</w:t>
      </w:r>
      <w:r w:rsidRPr="00266C32">
        <w:t xml:space="preserve"> comme suit </w:t>
      </w:r>
      <w:r w:rsidRPr="00B51F29">
        <w:t>les principales conclusions recherchées sur le fond par l’action</w:t>
      </w:r>
      <w:r>
        <w:t xml:space="preserve"> </w:t>
      </w:r>
      <w:r w:rsidRPr="00B51F29">
        <w:t>collective</w:t>
      </w:r>
      <w:r>
        <w:t> </w:t>
      </w:r>
      <w:r w:rsidRPr="00266C32">
        <w:t>:</w:t>
      </w:r>
    </w:p>
    <w:p w14:paraId="60E19148" w14:textId="77777777" w:rsidR="00C21E6C" w:rsidRPr="0070782C" w:rsidRDefault="00C21E6C" w:rsidP="00BB23CD">
      <w:pPr>
        <w:pStyle w:val="Paragraphe"/>
        <w:numPr>
          <w:ilvl w:val="0"/>
          <w:numId w:val="0"/>
        </w:numPr>
        <w:spacing w:line="240" w:lineRule="auto"/>
        <w:ind w:left="709"/>
      </w:pPr>
      <w:r w:rsidRPr="0070782C">
        <w:rPr>
          <w:b/>
          <w:bCs/>
        </w:rPr>
        <w:t>ACCUEILLIR</w:t>
      </w:r>
      <w:r>
        <w:t xml:space="preserve"> l’action collective pour tous les membres;</w:t>
      </w:r>
    </w:p>
    <w:p w14:paraId="488F64A0" w14:textId="1105FD68" w:rsidR="00C21E6C" w:rsidRDefault="00C21E6C" w:rsidP="00BB23CD">
      <w:pPr>
        <w:pStyle w:val="Paragraphe"/>
        <w:numPr>
          <w:ilvl w:val="0"/>
          <w:numId w:val="0"/>
        </w:numPr>
        <w:spacing w:line="240" w:lineRule="auto"/>
        <w:ind w:left="709"/>
      </w:pPr>
      <w:r w:rsidRPr="0070782C">
        <w:rPr>
          <w:b/>
          <w:bCs/>
        </w:rPr>
        <w:t>D</w:t>
      </w:r>
      <w:r w:rsidR="00162289">
        <w:rPr>
          <w:b/>
          <w:bCs/>
        </w:rPr>
        <w:t>É</w:t>
      </w:r>
      <w:r w:rsidRPr="0070782C">
        <w:rPr>
          <w:b/>
          <w:bCs/>
        </w:rPr>
        <w:t>CLARER</w:t>
      </w:r>
      <w:r>
        <w:t xml:space="preserve"> nulle et invalide la clause des contrats de prêt des Défenderesses leur permettant de réclamer </w:t>
      </w:r>
      <w:r w:rsidRPr="00761BD8">
        <w:t xml:space="preserve">des frais de remboursement anticipé calculés selon la formule </w:t>
      </w:r>
      <w:r w:rsidRPr="00390940">
        <w:t xml:space="preserve">du différentiel de taux d’intérêt </w:t>
      </w:r>
      <w:r w:rsidRPr="00761BD8">
        <w:t>qui sont supérieurs à la perte économique nette du prêteur, lors du remboursement total ou partiel d’un prêt hypothécaire à taux fixe ou d’une hypothèque collatérale sur une propriété située dans la province de Québec</w:t>
      </w:r>
      <w:r>
        <w:t>;</w:t>
      </w:r>
    </w:p>
    <w:p w14:paraId="4014366D" w14:textId="77777777" w:rsidR="00C21E6C" w:rsidRPr="00376F20" w:rsidRDefault="00C21E6C" w:rsidP="00BB23CD">
      <w:pPr>
        <w:pStyle w:val="Paragraphe"/>
        <w:numPr>
          <w:ilvl w:val="0"/>
          <w:numId w:val="0"/>
        </w:numPr>
        <w:spacing w:line="240" w:lineRule="auto"/>
        <w:ind w:left="709"/>
      </w:pPr>
      <w:r>
        <w:rPr>
          <w:b/>
          <w:bCs/>
        </w:rPr>
        <w:t xml:space="preserve">CONDAMNER </w:t>
      </w:r>
      <w:r>
        <w:t xml:space="preserve">les Défenderesses </w:t>
      </w:r>
      <w:r w:rsidRPr="00376F20">
        <w:t xml:space="preserve">à rembourser aux Demandeurs et aux membres du Groupe les montants payés aux Défenderesses au-delà de </w:t>
      </w:r>
      <w:r>
        <w:t>leur perte économique nette, avec les intérêts au taux légal et l’indemnité additionnelle</w:t>
      </w:r>
      <w:r w:rsidRPr="00376F20">
        <w:t>;</w:t>
      </w:r>
    </w:p>
    <w:p w14:paraId="6278C771" w14:textId="77777777" w:rsidR="00C21E6C" w:rsidRDefault="00C21E6C" w:rsidP="00BB23CD">
      <w:pPr>
        <w:pStyle w:val="Paragraphe"/>
        <w:numPr>
          <w:ilvl w:val="0"/>
          <w:numId w:val="0"/>
        </w:numPr>
        <w:spacing w:line="240" w:lineRule="auto"/>
        <w:ind w:left="709"/>
      </w:pPr>
      <w:r w:rsidRPr="0070782C">
        <w:rPr>
          <w:b/>
          <w:bCs/>
        </w:rPr>
        <w:t xml:space="preserve">DÉCLARER </w:t>
      </w:r>
      <w:r w:rsidRPr="0070782C">
        <w:t>que la Défenderesse</w:t>
      </w:r>
      <w:r>
        <w:t xml:space="preserve"> </w:t>
      </w:r>
      <w:r w:rsidRPr="0070782C">
        <w:t>Fédération des Caisses Desjardins du</w:t>
      </w:r>
      <w:r>
        <w:t xml:space="preserve"> </w:t>
      </w:r>
      <w:r w:rsidRPr="0070782C">
        <w:t>Québec est solidairement responsable</w:t>
      </w:r>
      <w:r>
        <w:t xml:space="preserve"> </w:t>
      </w:r>
      <w:r w:rsidRPr="0070782C">
        <w:t>avec chacune des 227 Défenderesses</w:t>
      </w:r>
      <w:r>
        <w:t xml:space="preserve"> </w:t>
      </w:r>
      <w:r w:rsidRPr="0070782C">
        <w:t>«</w:t>
      </w:r>
      <w:r>
        <w:t> </w:t>
      </w:r>
      <w:r w:rsidRPr="0070782C">
        <w:t>Caisses Desjardins</w:t>
      </w:r>
      <w:r>
        <w:t> </w:t>
      </w:r>
      <w:r w:rsidRPr="0070782C">
        <w:t>» nommées aux</w:t>
      </w:r>
      <w:r>
        <w:t xml:space="preserve"> </w:t>
      </w:r>
      <w:r w:rsidRPr="0070782C">
        <w:t>présentes de la condamnation monétaire</w:t>
      </w:r>
      <w:r>
        <w:t xml:space="preserve"> </w:t>
      </w:r>
      <w:r w:rsidRPr="0070782C">
        <w:t>prononcée contre ces dernières;</w:t>
      </w:r>
    </w:p>
    <w:p w14:paraId="4E881DB4" w14:textId="77777777" w:rsidR="00C21E6C" w:rsidRDefault="00C21E6C" w:rsidP="00BB23CD">
      <w:pPr>
        <w:pStyle w:val="Paragraphe"/>
        <w:numPr>
          <w:ilvl w:val="0"/>
          <w:numId w:val="0"/>
        </w:numPr>
        <w:spacing w:line="240" w:lineRule="auto"/>
        <w:ind w:left="709"/>
      </w:pPr>
      <w:r w:rsidRPr="00376F20">
        <w:rPr>
          <w:b/>
          <w:bCs/>
        </w:rPr>
        <w:lastRenderedPageBreak/>
        <w:t>ORDONNER</w:t>
      </w:r>
      <w:r>
        <w:rPr>
          <w:b/>
          <w:bCs/>
        </w:rPr>
        <w:t xml:space="preserve"> </w:t>
      </w:r>
      <w:r w:rsidRPr="00376F20">
        <w:t>que toutes les condamnations mentionnées ci-haut fassent l’objet d’un recouvrement collectif;</w:t>
      </w:r>
    </w:p>
    <w:p w14:paraId="56E8728F" w14:textId="05F411E2" w:rsidR="00C21E6C" w:rsidRDefault="00C21E6C" w:rsidP="00BB23CD">
      <w:pPr>
        <w:pStyle w:val="Paragraphe"/>
        <w:numPr>
          <w:ilvl w:val="0"/>
          <w:numId w:val="0"/>
        </w:numPr>
        <w:spacing w:line="240" w:lineRule="auto"/>
        <w:ind w:left="709"/>
      </w:pPr>
      <w:r w:rsidRPr="0070782C">
        <w:rPr>
          <w:b/>
          <w:bCs/>
        </w:rPr>
        <w:t xml:space="preserve">ORDONNER </w:t>
      </w:r>
      <w:r w:rsidR="00C53DC2">
        <w:t>aux</w:t>
      </w:r>
      <w:r w:rsidRPr="0070782C">
        <w:t xml:space="preserve"> Défenderesses </w:t>
      </w:r>
      <w:r w:rsidR="00C53DC2">
        <w:t>de</w:t>
      </w:r>
      <w:r>
        <w:t xml:space="preserve"> </w:t>
      </w:r>
      <w:r w:rsidRPr="0070782C">
        <w:t>déposer au greffe de cette Cour la totalité</w:t>
      </w:r>
      <w:r>
        <w:t xml:space="preserve"> </w:t>
      </w:r>
      <w:r w:rsidRPr="0070782C">
        <w:t>des sommes faisant partie du</w:t>
      </w:r>
      <w:r>
        <w:t xml:space="preserve"> </w:t>
      </w:r>
      <w:r w:rsidRPr="0070782C">
        <w:t>recouvrement collectif;</w:t>
      </w:r>
    </w:p>
    <w:p w14:paraId="6AE6D0C7" w14:textId="77777777" w:rsidR="00C21E6C" w:rsidRDefault="00C21E6C" w:rsidP="00BB23CD">
      <w:pPr>
        <w:pStyle w:val="Paragraphe"/>
        <w:numPr>
          <w:ilvl w:val="0"/>
          <w:numId w:val="0"/>
        </w:numPr>
        <w:spacing w:line="240" w:lineRule="auto"/>
        <w:ind w:left="709"/>
      </w:pPr>
      <w:r w:rsidRPr="00376F20">
        <w:rPr>
          <w:b/>
          <w:bCs/>
        </w:rPr>
        <w:t>ORDONNER</w:t>
      </w:r>
      <w:r>
        <w:rPr>
          <w:b/>
          <w:bCs/>
        </w:rPr>
        <w:t xml:space="preserve"> </w:t>
      </w:r>
      <w:r w:rsidRPr="00376F20">
        <w:t>que la réclamation de chacun des membres du groupe fasse l’objet d’un recouvrement collectif si la preuve permet et alternativement, par recouvrement individuel;</w:t>
      </w:r>
    </w:p>
    <w:p w14:paraId="33E4492C" w14:textId="77777777" w:rsidR="00C21E6C" w:rsidRPr="00A652A8" w:rsidRDefault="00C21E6C" w:rsidP="00BB23CD">
      <w:pPr>
        <w:pStyle w:val="Paragraphe"/>
        <w:numPr>
          <w:ilvl w:val="0"/>
          <w:numId w:val="0"/>
        </w:numPr>
        <w:spacing w:line="240" w:lineRule="auto"/>
        <w:ind w:left="709"/>
      </w:pPr>
      <w:r w:rsidRPr="00A652A8">
        <w:rPr>
          <w:b/>
          <w:bCs/>
        </w:rPr>
        <w:t>LE TOUT</w:t>
      </w:r>
      <w:r>
        <w:rPr>
          <w:b/>
          <w:bCs/>
        </w:rPr>
        <w:t xml:space="preserve"> </w:t>
      </w:r>
      <w:r w:rsidRPr="00A652A8">
        <w:t>avec dépens contre les défenderesses, incluant les coûts des pièces, les coûts des avis, les coûts de gestion des réclamations et les frais d’expertise, le cas échéant, incluant les frais d’expertise nécessaires pour établir le montant de l’ordonnance du recouvrement collectif;</w:t>
      </w:r>
    </w:p>
    <w:p w14:paraId="57D7DF98" w14:textId="77777777" w:rsidR="00C21E6C" w:rsidRPr="00A652A8" w:rsidRDefault="00C21E6C" w:rsidP="00BB23CD">
      <w:pPr>
        <w:pStyle w:val="Paragraphe"/>
        <w:tabs>
          <w:tab w:val="clear" w:pos="720"/>
        </w:tabs>
        <w:spacing w:line="240" w:lineRule="auto"/>
      </w:pPr>
      <w:r>
        <w:rPr>
          <w:b/>
          <w:bCs/>
        </w:rPr>
        <w:t>RETOURNE</w:t>
      </w:r>
      <w:r w:rsidRPr="00A652A8">
        <w:t xml:space="preserve"> le dossier à la juge en chef de la Cour supérieure </w:t>
      </w:r>
      <w:r>
        <w:t>pour la détermination du</w:t>
      </w:r>
      <w:r w:rsidRPr="00A652A8">
        <w:t xml:space="preserve"> district dans lequel l’action collective doit être intentée et </w:t>
      </w:r>
      <w:r>
        <w:t>la</w:t>
      </w:r>
      <w:r w:rsidRPr="00A652A8">
        <w:t xml:space="preserve"> désign</w:t>
      </w:r>
      <w:r>
        <w:t>ation de la</w:t>
      </w:r>
      <w:r w:rsidRPr="00A652A8">
        <w:t xml:space="preserve"> juge </w:t>
      </w:r>
      <w:r>
        <w:t xml:space="preserve">ou du juge </w:t>
      </w:r>
      <w:r w:rsidRPr="00A652A8">
        <w:t>responsable de l</w:t>
      </w:r>
      <w:r>
        <w:t>’instance</w:t>
      </w:r>
      <w:r w:rsidRPr="00A652A8">
        <w:t>;</w:t>
      </w:r>
    </w:p>
    <w:p w14:paraId="0FA9B66B" w14:textId="77777777" w:rsidR="00C21E6C" w:rsidRPr="00A652A8" w:rsidRDefault="00C21E6C" w:rsidP="00BB23CD">
      <w:pPr>
        <w:pStyle w:val="Paragraphe"/>
        <w:tabs>
          <w:tab w:val="clear" w:pos="720"/>
        </w:tabs>
        <w:spacing w:line="240" w:lineRule="auto"/>
      </w:pPr>
      <w:r w:rsidRPr="00A652A8">
        <w:rPr>
          <w:b/>
          <w:bCs/>
        </w:rPr>
        <w:t>DÉFÈRE</w:t>
      </w:r>
      <w:r>
        <w:t xml:space="preserve"> </w:t>
      </w:r>
      <w:r w:rsidRPr="00A652A8">
        <w:t>les autres demandes des appelants, y compris la question de la publication de l’avis aux membres et du délai d’exclusion, à la juge ou au juge qui sera chargé de la gestion du dossier.</w:t>
      </w:r>
    </w:p>
    <w:p w14:paraId="7CC7E56F" w14:textId="77777777" w:rsidR="00C21E6C" w:rsidRPr="00081774" w:rsidRDefault="00C21E6C" w:rsidP="00BB23CD">
      <w:pPr>
        <w:pStyle w:val="Paragraphe"/>
        <w:tabs>
          <w:tab w:val="clear" w:pos="720"/>
        </w:tabs>
        <w:spacing w:line="240" w:lineRule="auto"/>
      </w:pPr>
      <w:r w:rsidRPr="00E72D1E">
        <w:rPr>
          <w:b/>
          <w:bCs/>
        </w:rPr>
        <w:t>LE TOUT</w:t>
      </w:r>
      <w:r>
        <w:t xml:space="preserve">, avec les frais de justice en première instance et en appel. </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14:paraId="7D5F7D95" w14:textId="77777777" w:rsidTr="003E3239">
        <w:trPr>
          <w:trHeight w:val="576"/>
        </w:trPr>
        <w:tc>
          <w:tcPr>
            <w:tcW w:w="9362" w:type="dxa"/>
            <w:gridSpan w:val="3"/>
            <w:tcBorders>
              <w:top w:val="nil"/>
              <w:bottom w:val="nil"/>
            </w:tcBorders>
          </w:tcPr>
          <w:p w14:paraId="09397C3A" w14:textId="77777777" w:rsidR="008F364A" w:rsidRDefault="008F364A" w:rsidP="00C21E6C">
            <w:pPr>
              <w:keepNext/>
              <w:spacing w:line="240" w:lineRule="auto"/>
            </w:pPr>
          </w:p>
        </w:tc>
      </w:tr>
      <w:tr w:rsidR="008F364A" w14:paraId="6A3A519D" w14:textId="77777777" w:rsidTr="00117914">
        <w:trPr>
          <w:trHeight w:val="283"/>
        </w:trPr>
        <w:tc>
          <w:tcPr>
            <w:tcW w:w="4682" w:type="dxa"/>
            <w:gridSpan w:val="2"/>
            <w:tcBorders>
              <w:top w:val="nil"/>
              <w:bottom w:val="nil"/>
            </w:tcBorders>
          </w:tcPr>
          <w:p w14:paraId="5361A607" w14:textId="77777777" w:rsidR="008F364A" w:rsidRDefault="008F364A" w:rsidP="00C21E6C">
            <w:pPr>
              <w:keepNext/>
              <w:spacing w:line="240" w:lineRule="auto"/>
            </w:pPr>
          </w:p>
        </w:tc>
        <w:tc>
          <w:tcPr>
            <w:tcW w:w="4680" w:type="dxa"/>
            <w:tcBorders>
              <w:top w:val="nil"/>
              <w:bottom w:val="single" w:sz="8" w:space="0" w:color="auto"/>
            </w:tcBorders>
          </w:tcPr>
          <w:p w14:paraId="642B3FC5" w14:textId="77777777" w:rsidR="008F364A" w:rsidRDefault="008F364A">
            <w:pPr>
              <w:keepNext/>
            </w:pPr>
          </w:p>
        </w:tc>
      </w:tr>
      <w:tr w:rsidR="008F364A" w14:paraId="266D60CB" w14:textId="77777777" w:rsidTr="00117914">
        <w:trPr>
          <w:trHeight w:val="283"/>
        </w:trPr>
        <w:tc>
          <w:tcPr>
            <w:tcW w:w="4682" w:type="dxa"/>
            <w:gridSpan w:val="2"/>
            <w:tcBorders>
              <w:top w:val="nil"/>
            </w:tcBorders>
          </w:tcPr>
          <w:p w14:paraId="5A59E733" w14:textId="77777777" w:rsidR="008F364A" w:rsidRDefault="008F364A">
            <w:pPr>
              <w:keepNext/>
            </w:pPr>
          </w:p>
        </w:tc>
        <w:tc>
          <w:tcPr>
            <w:tcW w:w="4680" w:type="dxa"/>
            <w:tcBorders>
              <w:top w:val="single" w:sz="8" w:space="0" w:color="auto"/>
            </w:tcBorders>
          </w:tcPr>
          <w:p w14:paraId="46077056" w14:textId="19629909" w:rsidR="008F364A" w:rsidRDefault="003A27FA">
            <w:r>
              <w:t>MARTIN VAUCLAIR, J.C.A.</w:t>
            </w:r>
          </w:p>
        </w:tc>
      </w:tr>
      <w:tr w:rsidR="008F364A" w14:paraId="5AF463C1" w14:textId="77777777" w:rsidTr="00117914">
        <w:trPr>
          <w:trHeight w:val="283"/>
        </w:trPr>
        <w:tc>
          <w:tcPr>
            <w:tcW w:w="4682" w:type="dxa"/>
            <w:gridSpan w:val="2"/>
            <w:tcBorders>
              <w:top w:val="nil"/>
            </w:tcBorders>
          </w:tcPr>
          <w:p w14:paraId="4D272582" w14:textId="77777777" w:rsidR="008F364A" w:rsidRDefault="008F364A">
            <w:pPr>
              <w:keepNext/>
            </w:pPr>
            <w:bookmarkStart w:id="24" w:name="Signature2"/>
          </w:p>
        </w:tc>
        <w:tc>
          <w:tcPr>
            <w:tcW w:w="4680" w:type="dxa"/>
            <w:tcBorders>
              <w:top w:val="nil"/>
            </w:tcBorders>
          </w:tcPr>
          <w:p w14:paraId="71D6DD4A" w14:textId="77777777" w:rsidR="008F364A" w:rsidRDefault="008F364A">
            <w:pPr>
              <w:keepNext/>
            </w:pPr>
          </w:p>
        </w:tc>
      </w:tr>
      <w:tr w:rsidR="008F364A" w14:paraId="63C1A61D" w14:textId="77777777" w:rsidTr="00117914">
        <w:trPr>
          <w:trHeight w:val="283"/>
        </w:trPr>
        <w:tc>
          <w:tcPr>
            <w:tcW w:w="4682" w:type="dxa"/>
            <w:gridSpan w:val="2"/>
            <w:tcBorders>
              <w:top w:val="nil"/>
              <w:bottom w:val="nil"/>
            </w:tcBorders>
          </w:tcPr>
          <w:p w14:paraId="6CA3D753" w14:textId="77777777" w:rsidR="008F364A" w:rsidRDefault="008F364A">
            <w:pPr>
              <w:keepNext/>
            </w:pPr>
          </w:p>
        </w:tc>
        <w:tc>
          <w:tcPr>
            <w:tcW w:w="4680" w:type="dxa"/>
            <w:tcBorders>
              <w:top w:val="nil"/>
              <w:bottom w:val="single" w:sz="8" w:space="0" w:color="auto"/>
            </w:tcBorders>
          </w:tcPr>
          <w:p w14:paraId="648880CA" w14:textId="77777777" w:rsidR="008F364A" w:rsidRDefault="008F364A">
            <w:pPr>
              <w:keepNext/>
            </w:pPr>
          </w:p>
        </w:tc>
      </w:tr>
      <w:tr w:rsidR="008F364A" w:rsidRPr="00180615" w14:paraId="24C1B25F" w14:textId="77777777" w:rsidTr="00117914">
        <w:trPr>
          <w:trHeight w:val="283"/>
        </w:trPr>
        <w:tc>
          <w:tcPr>
            <w:tcW w:w="4682" w:type="dxa"/>
            <w:gridSpan w:val="2"/>
            <w:tcBorders>
              <w:top w:val="nil"/>
            </w:tcBorders>
          </w:tcPr>
          <w:p w14:paraId="170E937C" w14:textId="77777777" w:rsidR="008F364A" w:rsidRDefault="008F364A">
            <w:pPr>
              <w:keepNext/>
            </w:pPr>
          </w:p>
        </w:tc>
        <w:tc>
          <w:tcPr>
            <w:tcW w:w="4680" w:type="dxa"/>
            <w:tcBorders>
              <w:top w:val="single" w:sz="8" w:space="0" w:color="auto"/>
            </w:tcBorders>
          </w:tcPr>
          <w:p w14:paraId="253CB392" w14:textId="66CF5E05" w:rsidR="008F364A" w:rsidRPr="00C05650" w:rsidRDefault="003A27FA">
            <w:pPr>
              <w:keepNext/>
              <w:rPr>
                <w:lang w:val="en-CA"/>
              </w:rPr>
            </w:pPr>
            <w:r>
              <w:t>MARK SCHRAGER, J.C.A.</w:t>
            </w:r>
          </w:p>
        </w:tc>
      </w:tr>
      <w:tr w:rsidR="008F364A" w:rsidRPr="00180615" w14:paraId="1B2BF306" w14:textId="77777777" w:rsidTr="00117914">
        <w:trPr>
          <w:trHeight w:val="283"/>
        </w:trPr>
        <w:tc>
          <w:tcPr>
            <w:tcW w:w="4682" w:type="dxa"/>
            <w:gridSpan w:val="2"/>
            <w:tcBorders>
              <w:top w:val="nil"/>
            </w:tcBorders>
          </w:tcPr>
          <w:p w14:paraId="35E4A12E" w14:textId="77777777" w:rsidR="008F364A" w:rsidRPr="00C05650" w:rsidRDefault="008F364A">
            <w:pPr>
              <w:keepNext/>
              <w:rPr>
                <w:lang w:val="en-CA"/>
              </w:rPr>
            </w:pPr>
            <w:bookmarkStart w:id="25" w:name="Signature3"/>
            <w:bookmarkEnd w:id="24"/>
          </w:p>
        </w:tc>
        <w:tc>
          <w:tcPr>
            <w:tcW w:w="4680" w:type="dxa"/>
            <w:tcBorders>
              <w:top w:val="nil"/>
            </w:tcBorders>
          </w:tcPr>
          <w:p w14:paraId="1F08442B" w14:textId="77777777" w:rsidR="008F364A" w:rsidRPr="00C05650" w:rsidRDefault="008F364A">
            <w:pPr>
              <w:keepNext/>
              <w:rPr>
                <w:lang w:val="en-CA"/>
              </w:rPr>
            </w:pPr>
          </w:p>
        </w:tc>
      </w:tr>
      <w:tr w:rsidR="008F364A" w:rsidRPr="00180615" w14:paraId="30636740" w14:textId="77777777" w:rsidTr="00117914">
        <w:trPr>
          <w:trHeight w:val="283"/>
        </w:trPr>
        <w:tc>
          <w:tcPr>
            <w:tcW w:w="4682" w:type="dxa"/>
            <w:gridSpan w:val="2"/>
            <w:tcBorders>
              <w:top w:val="nil"/>
              <w:bottom w:val="nil"/>
            </w:tcBorders>
          </w:tcPr>
          <w:p w14:paraId="0016F903" w14:textId="77777777" w:rsidR="008F364A" w:rsidRPr="00C05650" w:rsidRDefault="008F364A">
            <w:pPr>
              <w:keepNext/>
              <w:rPr>
                <w:lang w:val="en-CA"/>
              </w:rPr>
            </w:pPr>
          </w:p>
        </w:tc>
        <w:tc>
          <w:tcPr>
            <w:tcW w:w="4680" w:type="dxa"/>
            <w:tcBorders>
              <w:top w:val="nil"/>
              <w:bottom w:val="single" w:sz="8" w:space="0" w:color="auto"/>
            </w:tcBorders>
          </w:tcPr>
          <w:p w14:paraId="0C5B94AD" w14:textId="77777777" w:rsidR="008F364A" w:rsidRPr="00C05650" w:rsidRDefault="008F364A">
            <w:pPr>
              <w:keepNext/>
              <w:rPr>
                <w:lang w:val="en-CA"/>
              </w:rPr>
            </w:pPr>
          </w:p>
        </w:tc>
      </w:tr>
      <w:tr w:rsidR="008F364A" w:rsidRPr="00180615" w14:paraId="05286BD0" w14:textId="77777777" w:rsidTr="00117914">
        <w:trPr>
          <w:trHeight w:val="283"/>
        </w:trPr>
        <w:tc>
          <w:tcPr>
            <w:tcW w:w="4682" w:type="dxa"/>
            <w:gridSpan w:val="2"/>
            <w:tcBorders>
              <w:top w:val="nil"/>
            </w:tcBorders>
          </w:tcPr>
          <w:p w14:paraId="707CBE6F" w14:textId="77777777" w:rsidR="008F364A" w:rsidRPr="00C05650" w:rsidRDefault="008F364A">
            <w:pPr>
              <w:keepNext/>
              <w:rPr>
                <w:lang w:val="en-CA"/>
              </w:rPr>
            </w:pPr>
          </w:p>
        </w:tc>
        <w:tc>
          <w:tcPr>
            <w:tcW w:w="4680" w:type="dxa"/>
            <w:tcBorders>
              <w:top w:val="single" w:sz="8" w:space="0" w:color="auto"/>
            </w:tcBorders>
          </w:tcPr>
          <w:p w14:paraId="7CA29B30" w14:textId="6AE03536" w:rsidR="008F364A" w:rsidRPr="00C05650" w:rsidRDefault="003A27FA">
            <w:pPr>
              <w:keepNext/>
              <w:rPr>
                <w:lang w:val="en-CA"/>
              </w:rPr>
            </w:pPr>
            <w:r>
              <w:t>STEPHEN W. HAMILTON, J.C.A.</w:t>
            </w:r>
          </w:p>
        </w:tc>
      </w:tr>
      <w:tr w:rsidR="00C21E6C" w:rsidRPr="00180615" w14:paraId="34C42212" w14:textId="77777777" w:rsidTr="00C21E6C">
        <w:tc>
          <w:tcPr>
            <w:tcW w:w="9362" w:type="dxa"/>
            <w:gridSpan w:val="3"/>
            <w:tcBorders>
              <w:bottom w:val="nil"/>
            </w:tcBorders>
          </w:tcPr>
          <w:p w14:paraId="00B82DDD" w14:textId="77777777" w:rsidR="00C21E6C" w:rsidRDefault="00C21E6C" w:rsidP="005A78BF">
            <w:pPr>
              <w:rPr>
                <w:lang w:val="en-CA"/>
              </w:rPr>
            </w:pPr>
          </w:p>
        </w:tc>
      </w:tr>
      <w:tr w:rsidR="005A78BF" w:rsidRPr="00C21E6C" w14:paraId="026125B0" w14:textId="77777777" w:rsidTr="00C21E6C">
        <w:tc>
          <w:tcPr>
            <w:tcW w:w="9362" w:type="dxa"/>
            <w:gridSpan w:val="3"/>
            <w:tcBorders>
              <w:top w:val="nil"/>
            </w:tcBorders>
          </w:tcPr>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9362"/>
            </w:tblGrid>
            <w:tr w:rsidR="00C21E6C" w:rsidRPr="00B22559" w14:paraId="5601272A" w14:textId="77777777" w:rsidTr="00C21E6C">
              <w:tc>
                <w:tcPr>
                  <w:tcW w:w="9362" w:type="dxa"/>
                  <w:tcBorders>
                    <w:top w:val="nil"/>
                  </w:tcBorders>
                </w:tcPr>
                <w:bookmarkEnd w:id="25"/>
                <w:p w14:paraId="635BDB83" w14:textId="3763D59C" w:rsidR="00C21E6C" w:rsidRPr="00B22559" w:rsidRDefault="00C21E6C" w:rsidP="00C21E6C">
                  <w:pPr>
                    <w:pStyle w:val="zSoquijdatNomProcureurDem"/>
                  </w:pPr>
                  <w:r>
                    <w:lastRenderedPageBreak/>
                    <w:t>Me Jean El Masri</w:t>
                  </w:r>
                </w:p>
              </w:tc>
            </w:tr>
            <w:tr w:rsidR="00C21E6C" w:rsidRPr="00B22559" w14:paraId="41E8043F" w14:textId="77777777" w:rsidTr="007A2AA4">
              <w:tc>
                <w:tcPr>
                  <w:tcW w:w="9362" w:type="dxa"/>
                </w:tcPr>
                <w:p w14:paraId="05484E14" w14:textId="7A726A1C" w:rsidR="00C21E6C" w:rsidRPr="00B22559" w:rsidRDefault="00C21E6C" w:rsidP="00C21E6C">
                  <w:pPr>
                    <w:pStyle w:val="zSoquijdatCabinetProcureurDem"/>
                  </w:pPr>
                  <w:r>
                    <w:t>EL MASRI AVOCAT</w:t>
                  </w:r>
                </w:p>
              </w:tc>
            </w:tr>
            <w:tr w:rsidR="00C21E6C" w:rsidRPr="00B22559" w14:paraId="3D7BA491" w14:textId="77777777" w:rsidTr="007A2AA4">
              <w:tc>
                <w:tcPr>
                  <w:tcW w:w="9362" w:type="dxa"/>
                </w:tcPr>
                <w:p w14:paraId="26AFB33B" w14:textId="7C5ED2A2" w:rsidR="00C21E6C" w:rsidRDefault="00C21E6C" w:rsidP="00C21E6C">
                  <w:pPr>
                    <w:pStyle w:val="zSoquijdatCabinetProcureurDem"/>
                  </w:pPr>
                  <w:r>
                    <w:t>Me Joey Zukran</w:t>
                  </w:r>
                </w:p>
              </w:tc>
            </w:tr>
            <w:tr w:rsidR="00C21E6C" w:rsidRPr="00B22559" w14:paraId="74056632" w14:textId="77777777" w:rsidTr="007A2AA4">
              <w:tc>
                <w:tcPr>
                  <w:tcW w:w="9362" w:type="dxa"/>
                </w:tcPr>
                <w:p w14:paraId="77A0EF33" w14:textId="15AF7EDE" w:rsidR="00C21E6C" w:rsidRDefault="00C21E6C" w:rsidP="00C21E6C">
                  <w:pPr>
                    <w:pStyle w:val="zSoquijdatCabinetProcureurDem"/>
                  </w:pPr>
                  <w:r>
                    <w:t>Me Léa Bruyère</w:t>
                  </w:r>
                </w:p>
              </w:tc>
            </w:tr>
            <w:tr w:rsidR="00C21E6C" w:rsidRPr="00B22559" w14:paraId="260F4238" w14:textId="77777777" w:rsidTr="007A2AA4">
              <w:tc>
                <w:tcPr>
                  <w:tcW w:w="9362" w:type="dxa"/>
                </w:tcPr>
                <w:p w14:paraId="3078D1A4" w14:textId="1744F155" w:rsidR="00C21E6C" w:rsidRDefault="00C21E6C" w:rsidP="00C21E6C">
                  <w:pPr>
                    <w:pStyle w:val="zSoquijdatCabinetProcureurDem"/>
                  </w:pPr>
                  <w:r>
                    <w:t>LPC AVOCATS</w:t>
                  </w:r>
                </w:p>
              </w:tc>
            </w:tr>
            <w:tr w:rsidR="00C21E6C" w:rsidRPr="00B22559" w14:paraId="46B8DE9D" w14:textId="77777777" w:rsidTr="007A2AA4">
              <w:tc>
                <w:tcPr>
                  <w:tcW w:w="9362" w:type="dxa"/>
                </w:tcPr>
                <w:p w14:paraId="7CF7BA74" w14:textId="409DAB2B" w:rsidR="00C21E6C" w:rsidRPr="00B22559" w:rsidRDefault="00C21E6C" w:rsidP="00C21E6C">
                  <w:pPr>
                    <w:pStyle w:val="zSoquijlblProcureurDem"/>
                  </w:pPr>
                  <w:r>
                    <w:t>Pour Katy Haroch et Claude Vaillancourt</w:t>
                  </w:r>
                </w:p>
              </w:tc>
            </w:tr>
            <w:tr w:rsidR="00C21E6C" w:rsidRPr="00B22559" w14:paraId="0358498D" w14:textId="77777777" w:rsidTr="007A2AA4">
              <w:tc>
                <w:tcPr>
                  <w:tcW w:w="9362" w:type="dxa"/>
                </w:tcPr>
                <w:p w14:paraId="3D410B38" w14:textId="77777777" w:rsidR="00C21E6C" w:rsidRPr="00B22559" w:rsidRDefault="00C21E6C" w:rsidP="00C21E6C"/>
              </w:tc>
            </w:tr>
          </w:tbl>
          <w:p w14:paraId="231F49DB" w14:textId="77777777" w:rsidR="005A78BF" w:rsidRPr="00C21E6C" w:rsidRDefault="005A78BF" w:rsidP="005A78BF"/>
        </w:tc>
      </w:tr>
      <w:tr w:rsidR="005A78BF" w14:paraId="75A3B498" w14:textId="77777777" w:rsidTr="00423DF1">
        <w:tc>
          <w:tcPr>
            <w:tcW w:w="9362" w:type="dxa"/>
            <w:gridSpan w:val="3"/>
          </w:tcPr>
          <w:p w14:paraId="63EF7D38" w14:textId="58767A4B" w:rsidR="005A78BF" w:rsidRDefault="00B22559" w:rsidP="005A78BF">
            <w:pPr>
              <w:pStyle w:val="zSoquijdatNomProcureurDem"/>
              <w:rPr>
                <w:lang w:val="en-CA"/>
              </w:rPr>
            </w:pPr>
            <w:r>
              <w:t>Me Samuel Lepage</w:t>
            </w:r>
          </w:p>
        </w:tc>
      </w:tr>
      <w:tr w:rsidR="00B22559" w14:paraId="51DC7CD3" w14:textId="77777777" w:rsidTr="00423DF1">
        <w:tc>
          <w:tcPr>
            <w:tcW w:w="9362" w:type="dxa"/>
            <w:gridSpan w:val="3"/>
          </w:tcPr>
          <w:p w14:paraId="7ACAD1B8" w14:textId="116E61E6" w:rsidR="00B22559" w:rsidRDefault="00B22559" w:rsidP="005A78BF">
            <w:pPr>
              <w:pStyle w:val="zSoquijdatNomProcureurDem"/>
            </w:pPr>
            <w:r>
              <w:t>Me Élizabeth Martin-Chartrand</w:t>
            </w:r>
          </w:p>
        </w:tc>
      </w:tr>
      <w:tr w:rsidR="005A78BF" w14:paraId="4B800680" w14:textId="77777777" w:rsidTr="00423DF1">
        <w:tc>
          <w:tcPr>
            <w:tcW w:w="9362" w:type="dxa"/>
            <w:gridSpan w:val="3"/>
          </w:tcPr>
          <w:p w14:paraId="2454279A" w14:textId="4D8D0CFA" w:rsidR="005A78BF" w:rsidRPr="00C21E6C" w:rsidRDefault="00B22559" w:rsidP="005A78BF">
            <w:pPr>
              <w:pStyle w:val="zSoquijdatCabinetProcureurDem"/>
              <w:rPr>
                <w:caps/>
                <w:lang w:val="en-CA"/>
              </w:rPr>
            </w:pPr>
            <w:r w:rsidRPr="00C21E6C">
              <w:rPr>
                <w:caps/>
              </w:rPr>
              <w:t>McCarthy Tétrault</w:t>
            </w:r>
          </w:p>
        </w:tc>
      </w:tr>
      <w:tr w:rsidR="005A78BF" w14:paraId="7F8E7A5D" w14:textId="77777777" w:rsidTr="00423DF1">
        <w:tc>
          <w:tcPr>
            <w:tcW w:w="9362" w:type="dxa"/>
            <w:gridSpan w:val="3"/>
          </w:tcPr>
          <w:p w14:paraId="09864840" w14:textId="7DE3581E" w:rsidR="005A78BF" w:rsidRPr="00B22559" w:rsidRDefault="00B22559" w:rsidP="005A78BF">
            <w:pPr>
              <w:pStyle w:val="zSoquijlblProcureurDem"/>
            </w:pPr>
            <w:r>
              <w:t>Pour la Banque Toronto-Dominion</w:t>
            </w:r>
          </w:p>
        </w:tc>
      </w:tr>
      <w:tr w:rsidR="00C21E6C" w14:paraId="5E8ABBE6" w14:textId="77777777" w:rsidTr="00423DF1">
        <w:tc>
          <w:tcPr>
            <w:tcW w:w="9362" w:type="dxa"/>
            <w:gridSpan w:val="3"/>
          </w:tcPr>
          <w:p w14:paraId="75692A5A" w14:textId="77777777" w:rsidR="00C21E6C" w:rsidRPr="00B22559" w:rsidRDefault="00C21E6C" w:rsidP="005A78BF"/>
        </w:tc>
      </w:tr>
      <w:tr w:rsidR="005A78BF" w14:paraId="5C1E9E30" w14:textId="77777777" w:rsidTr="00423DF1">
        <w:tc>
          <w:tcPr>
            <w:tcW w:w="9362" w:type="dxa"/>
            <w:gridSpan w:val="3"/>
          </w:tcPr>
          <w:p w14:paraId="354CBDEB" w14:textId="0A75BA44" w:rsidR="005A78BF" w:rsidRDefault="00B22559" w:rsidP="005A78BF">
            <w:pPr>
              <w:pStyle w:val="zSoquijdatNomProcureurDef"/>
              <w:rPr>
                <w:lang w:val="en-CA"/>
              </w:rPr>
            </w:pPr>
            <w:r>
              <w:t>Me Sean Griffin</w:t>
            </w:r>
          </w:p>
        </w:tc>
      </w:tr>
      <w:tr w:rsidR="00B22559" w14:paraId="38110100" w14:textId="77777777" w:rsidTr="00423DF1">
        <w:tc>
          <w:tcPr>
            <w:tcW w:w="9362" w:type="dxa"/>
            <w:gridSpan w:val="3"/>
          </w:tcPr>
          <w:p w14:paraId="760EFD1C" w14:textId="26E62A7D" w:rsidR="00B22559" w:rsidRDefault="00B22559" w:rsidP="005A78BF">
            <w:pPr>
              <w:pStyle w:val="zSoquijdatNomProcureurDef"/>
            </w:pPr>
            <w:r>
              <w:t>Me Antoine Brylowski</w:t>
            </w:r>
          </w:p>
        </w:tc>
      </w:tr>
      <w:tr w:rsidR="00B22559" w14:paraId="27AD6CD9" w14:textId="77777777" w:rsidTr="00423DF1">
        <w:tc>
          <w:tcPr>
            <w:tcW w:w="9362" w:type="dxa"/>
            <w:gridSpan w:val="3"/>
          </w:tcPr>
          <w:p w14:paraId="69A630DD" w14:textId="3D4EE68A" w:rsidR="00B22559" w:rsidRDefault="00B22559" w:rsidP="005A78BF">
            <w:pPr>
              <w:pStyle w:val="zSoquijdatNomProcureurDef"/>
            </w:pPr>
            <w:r>
              <w:t>Me Emma Leclerc</w:t>
            </w:r>
          </w:p>
        </w:tc>
      </w:tr>
      <w:tr w:rsidR="005A78BF" w14:paraId="3AD9EC2A" w14:textId="77777777" w:rsidTr="00423DF1">
        <w:tc>
          <w:tcPr>
            <w:tcW w:w="9362" w:type="dxa"/>
            <w:gridSpan w:val="3"/>
          </w:tcPr>
          <w:p w14:paraId="1DA76BA9" w14:textId="4EDB7132" w:rsidR="005A78BF" w:rsidRPr="00C21E6C" w:rsidRDefault="00B22559" w:rsidP="005A78BF">
            <w:pPr>
              <w:pStyle w:val="zSoquijdatCabinetProcureurDef"/>
              <w:rPr>
                <w:caps/>
                <w:lang w:val="en-CA"/>
              </w:rPr>
            </w:pPr>
            <w:r w:rsidRPr="00C21E6C">
              <w:rPr>
                <w:caps/>
              </w:rPr>
              <w:t>Langlois Avocats</w:t>
            </w:r>
          </w:p>
        </w:tc>
      </w:tr>
      <w:tr w:rsidR="005A78BF" w14:paraId="751B6AC7" w14:textId="77777777" w:rsidTr="00423DF1">
        <w:tc>
          <w:tcPr>
            <w:tcW w:w="9362" w:type="dxa"/>
            <w:gridSpan w:val="3"/>
          </w:tcPr>
          <w:p w14:paraId="5545E2D2" w14:textId="071AE583" w:rsidR="005A78BF" w:rsidRPr="00B22559" w:rsidRDefault="00B22559" w:rsidP="005A78BF">
            <w:pPr>
              <w:pStyle w:val="zSoquijlblProcureurDef"/>
            </w:pPr>
            <w:r>
              <w:t>Pour la Banque Nationale du Canada</w:t>
            </w:r>
          </w:p>
        </w:tc>
      </w:tr>
      <w:tr w:rsidR="009E0066" w14:paraId="74E5EA54" w14:textId="77777777" w:rsidTr="00423DF1">
        <w:tc>
          <w:tcPr>
            <w:tcW w:w="9362" w:type="dxa"/>
            <w:gridSpan w:val="3"/>
          </w:tcPr>
          <w:p w14:paraId="16FFF851" w14:textId="77777777" w:rsidR="009E0066" w:rsidRPr="00B22559" w:rsidRDefault="009E0066" w:rsidP="005A78BF"/>
        </w:tc>
      </w:tr>
      <w:tr w:rsidR="00B86426" w14:paraId="27FC801D" w14:textId="77777777" w:rsidTr="00423DF1">
        <w:tc>
          <w:tcPr>
            <w:tcW w:w="9362" w:type="dxa"/>
            <w:gridSpan w:val="3"/>
          </w:tcPr>
          <w:p w14:paraId="1AC58E9B" w14:textId="1CCBAE08" w:rsidR="00B86426" w:rsidRPr="00B22559" w:rsidRDefault="00B86426" w:rsidP="005A78BF">
            <w:r>
              <w:rPr>
                <w:lang w:val="en-CA"/>
              </w:rPr>
              <w:t>Me Paule Hamelin</w:t>
            </w:r>
          </w:p>
        </w:tc>
      </w:tr>
      <w:tr w:rsidR="009E0066" w14:paraId="5A4F6FFD" w14:textId="77777777" w:rsidTr="00423DF1">
        <w:tc>
          <w:tcPr>
            <w:tcW w:w="9362" w:type="dxa"/>
            <w:gridSpan w:val="3"/>
          </w:tcPr>
          <w:p w14:paraId="335B8D7B" w14:textId="0D5D89D7" w:rsidR="009E0066" w:rsidRDefault="00B22559" w:rsidP="009E0066">
            <w:pPr>
              <w:pStyle w:val="zSoquijdatNomProcureurDef"/>
              <w:rPr>
                <w:lang w:val="en-CA"/>
              </w:rPr>
            </w:pPr>
            <w:r>
              <w:rPr>
                <w:lang w:val="en-CA"/>
              </w:rPr>
              <w:t>Me Ronald Audette</w:t>
            </w:r>
          </w:p>
        </w:tc>
      </w:tr>
      <w:tr w:rsidR="009E0066" w14:paraId="657E62AB" w14:textId="77777777" w:rsidTr="00423DF1">
        <w:tc>
          <w:tcPr>
            <w:tcW w:w="9362" w:type="dxa"/>
            <w:gridSpan w:val="3"/>
          </w:tcPr>
          <w:p w14:paraId="3488219D" w14:textId="55B4256E" w:rsidR="009E0066" w:rsidRPr="00C21E6C" w:rsidRDefault="00B22559" w:rsidP="009E0066">
            <w:pPr>
              <w:pStyle w:val="zSoquijdatCabinetProcureurDef"/>
              <w:rPr>
                <w:caps/>
                <w:lang w:val="en-CA"/>
              </w:rPr>
            </w:pPr>
            <w:r w:rsidRPr="00C21E6C">
              <w:rPr>
                <w:caps/>
                <w:lang w:val="en-CA"/>
              </w:rPr>
              <w:t>Gowling WLG (Canada)</w:t>
            </w:r>
          </w:p>
        </w:tc>
      </w:tr>
      <w:tr w:rsidR="009E0066" w14:paraId="4D151AC0" w14:textId="77777777" w:rsidTr="00423DF1">
        <w:tc>
          <w:tcPr>
            <w:tcW w:w="9362" w:type="dxa"/>
            <w:gridSpan w:val="3"/>
          </w:tcPr>
          <w:p w14:paraId="3C9C23C5" w14:textId="0E3405CA" w:rsidR="009E0066" w:rsidRPr="00B22559" w:rsidRDefault="00B22559" w:rsidP="009E0066">
            <w:pPr>
              <w:pStyle w:val="zSoquijlblProcureurDef"/>
            </w:pPr>
            <w:r w:rsidRPr="00B22559">
              <w:t>Pour la Banque Royale d</w:t>
            </w:r>
            <w:r>
              <w:t>u Canada</w:t>
            </w:r>
          </w:p>
        </w:tc>
      </w:tr>
      <w:tr w:rsidR="00B22559" w14:paraId="64567583" w14:textId="77777777" w:rsidTr="00423DF1">
        <w:tc>
          <w:tcPr>
            <w:tcW w:w="9362" w:type="dxa"/>
            <w:gridSpan w:val="3"/>
          </w:tcPr>
          <w:p w14:paraId="24762AD8" w14:textId="3B021AD7" w:rsidR="00B22559" w:rsidRPr="00B22559" w:rsidRDefault="00B22559" w:rsidP="009E0066">
            <w:pPr>
              <w:pStyle w:val="zSoquijlblProcureurDef"/>
            </w:pPr>
            <w:r>
              <w:t xml:space="preserve">(et pour </w:t>
            </w:r>
            <w:r w:rsidR="00162289">
              <w:t xml:space="preserve">Banque </w:t>
            </w:r>
            <w:r>
              <w:t>HSBC Canada ré</w:t>
            </w:r>
            <w:r w:rsidR="00D667FE">
              <w:t>sultant</w:t>
            </w:r>
            <w:r w:rsidR="00BE3A42">
              <w:t xml:space="preserve"> d’une fusion)</w:t>
            </w:r>
          </w:p>
        </w:tc>
      </w:tr>
      <w:tr w:rsidR="00B22559" w14:paraId="372E5F90" w14:textId="77777777" w:rsidTr="00423DF1">
        <w:tc>
          <w:tcPr>
            <w:tcW w:w="9362" w:type="dxa"/>
            <w:gridSpan w:val="3"/>
          </w:tcPr>
          <w:p w14:paraId="0BF4535A" w14:textId="77777777" w:rsidR="00B22559" w:rsidRPr="00B22559" w:rsidRDefault="00B22559" w:rsidP="005A78BF"/>
        </w:tc>
      </w:tr>
      <w:tr w:rsidR="00B22559" w:rsidRPr="00162289" w14:paraId="0434CE2E" w14:textId="77777777" w:rsidTr="00423DF1">
        <w:tc>
          <w:tcPr>
            <w:tcW w:w="9362" w:type="dxa"/>
            <w:gridSpan w:val="3"/>
          </w:tcPr>
          <w:p w14:paraId="0914F62D" w14:textId="03786B44" w:rsidR="00B22559" w:rsidRDefault="00D667FE" w:rsidP="00B22559">
            <w:pPr>
              <w:pStyle w:val="zSoquijdatNomProcureurDef"/>
              <w:rPr>
                <w:lang w:val="en-CA"/>
              </w:rPr>
            </w:pPr>
            <w:r>
              <w:rPr>
                <w:lang w:val="en-CA"/>
              </w:rPr>
              <w:t>Me Guy Pratte</w:t>
            </w:r>
            <w:r w:rsidR="00162289">
              <w:rPr>
                <w:lang w:val="en-CA"/>
              </w:rPr>
              <w:t>, Ad. E.</w:t>
            </w:r>
          </w:p>
        </w:tc>
      </w:tr>
      <w:tr w:rsidR="00D667FE" w14:paraId="6F31B503" w14:textId="77777777" w:rsidTr="00423DF1">
        <w:tc>
          <w:tcPr>
            <w:tcW w:w="9362" w:type="dxa"/>
            <w:gridSpan w:val="3"/>
          </w:tcPr>
          <w:p w14:paraId="59B77C8B" w14:textId="7EE5E856" w:rsidR="00D667FE" w:rsidRDefault="00D667FE" w:rsidP="00B22559">
            <w:pPr>
              <w:pStyle w:val="zSoquijdatNomProcureurDef"/>
              <w:rPr>
                <w:lang w:val="en-CA"/>
              </w:rPr>
            </w:pPr>
            <w:r>
              <w:rPr>
                <w:lang w:val="en-CA"/>
              </w:rPr>
              <w:t>Me Patrick Plante</w:t>
            </w:r>
          </w:p>
        </w:tc>
      </w:tr>
      <w:tr w:rsidR="00D667FE" w14:paraId="503D569E" w14:textId="77777777" w:rsidTr="00423DF1">
        <w:tc>
          <w:tcPr>
            <w:tcW w:w="9362" w:type="dxa"/>
            <w:gridSpan w:val="3"/>
          </w:tcPr>
          <w:p w14:paraId="56748C75" w14:textId="39880DCD" w:rsidR="00D667FE" w:rsidRDefault="00D667FE" w:rsidP="00B22559">
            <w:pPr>
              <w:pStyle w:val="zSoquijdatNomProcureurDef"/>
              <w:rPr>
                <w:lang w:val="en-CA"/>
              </w:rPr>
            </w:pPr>
            <w:r>
              <w:rPr>
                <w:lang w:val="en-CA"/>
              </w:rPr>
              <w:t>Me Amanda Afeich</w:t>
            </w:r>
          </w:p>
        </w:tc>
      </w:tr>
      <w:tr w:rsidR="00B22559" w14:paraId="541A66F2" w14:textId="77777777" w:rsidTr="00423DF1">
        <w:tc>
          <w:tcPr>
            <w:tcW w:w="9362" w:type="dxa"/>
            <w:gridSpan w:val="3"/>
          </w:tcPr>
          <w:p w14:paraId="78D6662B" w14:textId="71265E00" w:rsidR="00B22559" w:rsidRPr="00C21E6C" w:rsidRDefault="00D667FE" w:rsidP="00B22559">
            <w:pPr>
              <w:pStyle w:val="zSoquijdatCabinetProcureurDef"/>
              <w:rPr>
                <w:caps/>
                <w:lang w:val="en-CA"/>
              </w:rPr>
            </w:pPr>
            <w:r w:rsidRPr="00C21E6C">
              <w:rPr>
                <w:caps/>
                <w:lang w:val="en-CA"/>
              </w:rPr>
              <w:t>Borden Ladner Gervais</w:t>
            </w:r>
          </w:p>
        </w:tc>
      </w:tr>
      <w:tr w:rsidR="00B22559" w14:paraId="69203CB6" w14:textId="77777777" w:rsidTr="00423DF1">
        <w:tc>
          <w:tcPr>
            <w:tcW w:w="9362" w:type="dxa"/>
            <w:gridSpan w:val="3"/>
          </w:tcPr>
          <w:p w14:paraId="13EC3E57" w14:textId="2A858F1D" w:rsidR="00B22559" w:rsidRPr="00D667FE" w:rsidRDefault="007F3826" w:rsidP="00B22559">
            <w:pPr>
              <w:pStyle w:val="zSoquijlblProcureurDef"/>
            </w:pPr>
            <w:r>
              <w:t>Pour</w:t>
            </w:r>
            <w:r w:rsidR="00D667FE" w:rsidRPr="00D667FE">
              <w:t xml:space="preserve"> la Banque d</w:t>
            </w:r>
            <w:r w:rsidR="00D667FE">
              <w:t>e Montréal</w:t>
            </w:r>
          </w:p>
        </w:tc>
      </w:tr>
      <w:tr w:rsidR="00B22559" w14:paraId="7AC6CE74" w14:textId="77777777" w:rsidTr="00423DF1">
        <w:tc>
          <w:tcPr>
            <w:tcW w:w="9362" w:type="dxa"/>
            <w:gridSpan w:val="3"/>
          </w:tcPr>
          <w:p w14:paraId="433F9F15" w14:textId="77777777" w:rsidR="00B22559" w:rsidRPr="00D667FE" w:rsidRDefault="00B22559" w:rsidP="005A78BF"/>
        </w:tc>
      </w:tr>
      <w:tr w:rsidR="00B22559" w:rsidRPr="00180615" w14:paraId="20EAC97D" w14:textId="77777777" w:rsidTr="00423DF1">
        <w:tc>
          <w:tcPr>
            <w:tcW w:w="9362" w:type="dxa"/>
            <w:gridSpan w:val="3"/>
          </w:tcPr>
          <w:p w14:paraId="7C9CA820" w14:textId="574E7408" w:rsidR="00B22559" w:rsidRDefault="00D667FE" w:rsidP="00B22559">
            <w:pPr>
              <w:pStyle w:val="zSoquijdatCabinetProcureurDef"/>
              <w:rPr>
                <w:lang w:val="en-CA"/>
              </w:rPr>
            </w:pPr>
            <w:r>
              <w:rPr>
                <w:lang w:val="en-CA"/>
              </w:rPr>
              <w:t>Me Karine Chênevert</w:t>
            </w:r>
            <w:r w:rsidR="00162289">
              <w:rPr>
                <w:lang w:val="en-CA"/>
              </w:rPr>
              <w:t>, Ad. E.</w:t>
            </w:r>
          </w:p>
        </w:tc>
      </w:tr>
      <w:tr w:rsidR="007F3826" w14:paraId="166ABE6E" w14:textId="77777777" w:rsidTr="00423DF1">
        <w:tc>
          <w:tcPr>
            <w:tcW w:w="9362" w:type="dxa"/>
            <w:gridSpan w:val="3"/>
          </w:tcPr>
          <w:p w14:paraId="28927A4E" w14:textId="5DBB097D" w:rsidR="007F3826" w:rsidRDefault="007F3826" w:rsidP="00B22559">
            <w:pPr>
              <w:pStyle w:val="zSoquijdatCabinetProcureurDef"/>
              <w:rPr>
                <w:lang w:val="en-CA"/>
              </w:rPr>
            </w:pPr>
            <w:r>
              <w:rPr>
                <w:lang w:val="en-CA"/>
              </w:rPr>
              <w:t>Me Maude Lamoureux-Bisson</w:t>
            </w:r>
          </w:p>
        </w:tc>
      </w:tr>
      <w:tr w:rsidR="00B22559" w14:paraId="49D22D49" w14:textId="77777777" w:rsidTr="00423DF1">
        <w:tc>
          <w:tcPr>
            <w:tcW w:w="9362" w:type="dxa"/>
            <w:gridSpan w:val="3"/>
          </w:tcPr>
          <w:p w14:paraId="6A408F9B" w14:textId="2A3C133E" w:rsidR="00B22559" w:rsidRPr="00C21E6C" w:rsidRDefault="007F3826" w:rsidP="00B22559">
            <w:pPr>
              <w:pStyle w:val="zSoquijlblProcureurDef"/>
              <w:rPr>
                <w:caps/>
                <w:lang w:val="en-CA"/>
              </w:rPr>
            </w:pPr>
            <w:r w:rsidRPr="00C21E6C">
              <w:rPr>
                <w:caps/>
                <w:lang w:val="en-CA"/>
              </w:rPr>
              <w:t>Borden Ladner Gervais</w:t>
            </w:r>
          </w:p>
        </w:tc>
      </w:tr>
      <w:tr w:rsidR="00B22559" w14:paraId="18341D8F" w14:textId="77777777" w:rsidTr="00423DF1">
        <w:tc>
          <w:tcPr>
            <w:tcW w:w="9362" w:type="dxa"/>
            <w:gridSpan w:val="3"/>
          </w:tcPr>
          <w:p w14:paraId="3CA4C55C" w14:textId="4DF1C65C" w:rsidR="00B22559" w:rsidRPr="007F3826" w:rsidRDefault="007F3826" w:rsidP="005A78BF">
            <w:r w:rsidRPr="007F3826">
              <w:t>Pour la Banque de N</w:t>
            </w:r>
            <w:r>
              <w:t>ouvelle-Écosse</w:t>
            </w:r>
          </w:p>
        </w:tc>
      </w:tr>
      <w:tr w:rsidR="00BE3A42" w14:paraId="1B3A6648" w14:textId="77777777" w:rsidTr="00423DF1">
        <w:tc>
          <w:tcPr>
            <w:tcW w:w="9362" w:type="dxa"/>
            <w:gridSpan w:val="3"/>
          </w:tcPr>
          <w:p w14:paraId="7C887D43" w14:textId="77777777" w:rsidR="00BE3A42" w:rsidRPr="007F3826" w:rsidRDefault="00BE3A42" w:rsidP="005A78BF"/>
        </w:tc>
      </w:tr>
      <w:tr w:rsidR="00B22559" w14:paraId="290CB79C" w14:textId="77777777" w:rsidTr="00423DF1">
        <w:tc>
          <w:tcPr>
            <w:tcW w:w="9362" w:type="dxa"/>
            <w:gridSpan w:val="3"/>
          </w:tcPr>
          <w:p w14:paraId="225EC733" w14:textId="6783A107" w:rsidR="00B22559" w:rsidRDefault="007F3826" w:rsidP="00B22559">
            <w:pPr>
              <w:pStyle w:val="zSoquijdatNomProcureurDef"/>
              <w:rPr>
                <w:lang w:val="en-CA"/>
              </w:rPr>
            </w:pPr>
            <w:r>
              <w:rPr>
                <w:lang w:val="en-CA"/>
              </w:rPr>
              <w:t>Me Sandra Desjardins</w:t>
            </w:r>
          </w:p>
        </w:tc>
      </w:tr>
      <w:tr w:rsidR="00B22559" w14:paraId="7D7B0597" w14:textId="77777777" w:rsidTr="00423DF1">
        <w:tc>
          <w:tcPr>
            <w:tcW w:w="9362" w:type="dxa"/>
            <w:gridSpan w:val="3"/>
          </w:tcPr>
          <w:p w14:paraId="67ECAB78" w14:textId="01AAD965" w:rsidR="00B22559" w:rsidRPr="00C21E6C" w:rsidRDefault="007F3826" w:rsidP="00B22559">
            <w:pPr>
              <w:pStyle w:val="zSoquijdatCabinetProcureurDef"/>
              <w:rPr>
                <w:caps/>
                <w:lang w:val="en-CA"/>
              </w:rPr>
            </w:pPr>
            <w:r w:rsidRPr="00C21E6C">
              <w:rPr>
                <w:caps/>
                <w:lang w:val="en-CA"/>
              </w:rPr>
              <w:t>Langlois Avocats</w:t>
            </w:r>
          </w:p>
        </w:tc>
      </w:tr>
      <w:tr w:rsidR="00B22559" w14:paraId="50A22410" w14:textId="77777777" w:rsidTr="00423DF1">
        <w:tc>
          <w:tcPr>
            <w:tcW w:w="9362" w:type="dxa"/>
            <w:gridSpan w:val="3"/>
          </w:tcPr>
          <w:p w14:paraId="73925A61" w14:textId="5E1C561E" w:rsidR="00B22559" w:rsidRPr="007F3826" w:rsidRDefault="007F3826" w:rsidP="00B22559">
            <w:pPr>
              <w:pStyle w:val="zSoquijlblProcureurDef"/>
            </w:pPr>
            <w:r w:rsidRPr="007F3826">
              <w:t>Pour la Banque Laurentienne d</w:t>
            </w:r>
            <w:r>
              <w:t>u Canada</w:t>
            </w:r>
          </w:p>
        </w:tc>
      </w:tr>
      <w:tr w:rsidR="00B22559" w14:paraId="7555B043" w14:textId="77777777" w:rsidTr="00B86426">
        <w:tc>
          <w:tcPr>
            <w:tcW w:w="9362" w:type="dxa"/>
            <w:gridSpan w:val="3"/>
            <w:tcBorders>
              <w:bottom w:val="nil"/>
            </w:tcBorders>
          </w:tcPr>
          <w:p w14:paraId="19DE043F" w14:textId="77777777" w:rsidR="00B22559" w:rsidRPr="007F3826" w:rsidRDefault="00B22559" w:rsidP="005A78BF"/>
        </w:tc>
      </w:tr>
      <w:tr w:rsidR="00B22559" w14:paraId="0FA6CA18" w14:textId="77777777" w:rsidTr="00B86426">
        <w:tc>
          <w:tcPr>
            <w:tcW w:w="9362" w:type="dxa"/>
            <w:gridSpan w:val="3"/>
            <w:tcBorders>
              <w:top w:val="nil"/>
            </w:tcBorders>
          </w:tcPr>
          <w:p w14:paraId="7357F033" w14:textId="0B40F2AA" w:rsidR="00B22559" w:rsidRPr="00162289" w:rsidRDefault="007F3826" w:rsidP="00B22559">
            <w:pPr>
              <w:pStyle w:val="zSoquijdatNomProcureurDef"/>
            </w:pPr>
            <w:r w:rsidRPr="00162289">
              <w:lastRenderedPageBreak/>
              <w:t>Me Sébastien C. Caron</w:t>
            </w:r>
            <w:r w:rsidR="00162289" w:rsidRPr="00162289">
              <w:t>, A</w:t>
            </w:r>
            <w:r w:rsidR="00162289">
              <w:t>d. E.</w:t>
            </w:r>
          </w:p>
        </w:tc>
      </w:tr>
      <w:tr w:rsidR="007F3826" w14:paraId="59B72CC2" w14:textId="77777777" w:rsidTr="00423DF1">
        <w:tc>
          <w:tcPr>
            <w:tcW w:w="9362" w:type="dxa"/>
            <w:gridSpan w:val="3"/>
          </w:tcPr>
          <w:p w14:paraId="0E11BE1E" w14:textId="6B6AA576" w:rsidR="007F3826" w:rsidRDefault="007F3826" w:rsidP="00B22559">
            <w:pPr>
              <w:pStyle w:val="zSoquijdatNomProcureurDef"/>
              <w:rPr>
                <w:lang w:val="en-CA"/>
              </w:rPr>
            </w:pPr>
            <w:r>
              <w:rPr>
                <w:lang w:val="en-CA"/>
              </w:rPr>
              <w:t>Me Lucy-Maude Lachance</w:t>
            </w:r>
          </w:p>
        </w:tc>
      </w:tr>
      <w:tr w:rsidR="007F3826" w14:paraId="698281D4" w14:textId="77777777" w:rsidTr="00423DF1">
        <w:tc>
          <w:tcPr>
            <w:tcW w:w="9362" w:type="dxa"/>
            <w:gridSpan w:val="3"/>
          </w:tcPr>
          <w:p w14:paraId="28DE0C16" w14:textId="79E46F8F" w:rsidR="007F3826" w:rsidRDefault="007F3826" w:rsidP="00B22559">
            <w:pPr>
              <w:pStyle w:val="zSoquijdatNomProcureurDef"/>
              <w:rPr>
                <w:lang w:val="en-CA"/>
              </w:rPr>
            </w:pPr>
            <w:r>
              <w:rPr>
                <w:lang w:val="en-CA"/>
              </w:rPr>
              <w:t>Me Émilien Morin-Lévesque</w:t>
            </w:r>
          </w:p>
        </w:tc>
      </w:tr>
      <w:tr w:rsidR="00B22559" w14:paraId="7E58C617" w14:textId="77777777" w:rsidTr="00423DF1">
        <w:tc>
          <w:tcPr>
            <w:tcW w:w="9362" w:type="dxa"/>
            <w:gridSpan w:val="3"/>
          </w:tcPr>
          <w:p w14:paraId="0CA3AE0C" w14:textId="7BBCCE46" w:rsidR="00B22559" w:rsidRPr="007F3826" w:rsidRDefault="007F3826" w:rsidP="00B22559">
            <w:pPr>
              <w:pStyle w:val="zSoquijdatCabinetProcureurDef"/>
              <w:rPr>
                <w:smallCaps/>
                <w:lang w:val="en-CA"/>
              </w:rPr>
            </w:pPr>
            <w:r w:rsidRPr="007F3826">
              <w:rPr>
                <w:smallCaps/>
                <w:lang w:val="en-CA"/>
              </w:rPr>
              <w:t>LCM Avocats</w:t>
            </w:r>
          </w:p>
        </w:tc>
      </w:tr>
      <w:tr w:rsidR="00B22559" w14:paraId="5A14123F" w14:textId="77777777" w:rsidTr="00423DF1">
        <w:tc>
          <w:tcPr>
            <w:tcW w:w="9362" w:type="dxa"/>
            <w:gridSpan w:val="3"/>
          </w:tcPr>
          <w:p w14:paraId="2EB4685A" w14:textId="4E207C97" w:rsidR="00B22559" w:rsidRPr="007F3826" w:rsidRDefault="007F3826" w:rsidP="00B22559">
            <w:pPr>
              <w:pStyle w:val="zSoquijlblProcureurDef"/>
            </w:pPr>
            <w:r w:rsidRPr="007F3826">
              <w:t>Pour la Fédération des C</w:t>
            </w:r>
            <w:r>
              <w:t>aisses</w:t>
            </w:r>
            <w:r w:rsidR="00BE3A42">
              <w:t xml:space="preserve"> Desjardins du Québec et </w:t>
            </w:r>
            <w:r w:rsidR="00B86426">
              <w:t>l</w:t>
            </w:r>
            <w:r w:rsidR="00BE3A42">
              <w:t>es Caisses Desjardins</w:t>
            </w:r>
          </w:p>
        </w:tc>
      </w:tr>
      <w:tr w:rsidR="00B22559" w14:paraId="40DFDBD5" w14:textId="77777777" w:rsidTr="00423DF1">
        <w:tc>
          <w:tcPr>
            <w:tcW w:w="9362" w:type="dxa"/>
            <w:gridSpan w:val="3"/>
          </w:tcPr>
          <w:p w14:paraId="052D95FE" w14:textId="77777777" w:rsidR="00B22559" w:rsidRPr="007F3826" w:rsidRDefault="00B22559" w:rsidP="005A78BF"/>
        </w:tc>
      </w:tr>
      <w:tr w:rsidR="005A78BF" w14:paraId="33649751" w14:textId="77777777" w:rsidTr="00423DF1">
        <w:tc>
          <w:tcPr>
            <w:tcW w:w="1997" w:type="dxa"/>
          </w:tcPr>
          <w:p w14:paraId="7C057C97" w14:textId="77777777" w:rsidR="005A78BF" w:rsidRDefault="005A78BF" w:rsidP="005A78BF">
            <w:pPr>
              <w:pStyle w:val="zSoquijlblDateAudience"/>
            </w:pPr>
            <w:r>
              <w:t>Date d’audience :</w:t>
            </w:r>
          </w:p>
        </w:tc>
        <w:tc>
          <w:tcPr>
            <w:tcW w:w="7365" w:type="dxa"/>
            <w:gridSpan w:val="2"/>
          </w:tcPr>
          <w:p w14:paraId="7989B7FE" w14:textId="074F464E" w:rsidR="005A78BF" w:rsidRDefault="00B22559" w:rsidP="005A78BF">
            <w:pPr>
              <w:pStyle w:val="zSoquijdatDateAudience"/>
            </w:pPr>
            <w:r>
              <w:t>9 décembre 2025</w:t>
            </w:r>
          </w:p>
        </w:tc>
      </w:tr>
      <w:bookmarkEnd w:id="8"/>
    </w:tbl>
    <w:p w14:paraId="3BBD32CD" w14:textId="77777777" w:rsidR="003A5A98" w:rsidRDefault="00B86426">
      <w:pPr>
        <w:spacing w:line="240" w:lineRule="auto"/>
      </w:pPr>
      <w:r>
        <w:br w:type="page"/>
      </w:r>
    </w:p>
    <w:tbl>
      <w:tblPr>
        <w:tblW w:w="9360" w:type="dxa"/>
        <w:tblLayout w:type="fixed"/>
        <w:tblCellMar>
          <w:left w:w="0" w:type="dxa"/>
          <w:right w:w="0" w:type="dxa"/>
        </w:tblCellMar>
        <w:tblLook w:val="0000" w:firstRow="0" w:lastRow="0" w:firstColumn="0" w:lastColumn="0" w:noHBand="0" w:noVBand="0"/>
      </w:tblPr>
      <w:tblGrid>
        <w:gridCol w:w="9360"/>
      </w:tblGrid>
      <w:tr w:rsidR="003A5A98" w14:paraId="532F1EB8" w14:textId="77777777" w:rsidTr="007A2AA4">
        <w:tc>
          <w:tcPr>
            <w:tcW w:w="9360" w:type="dxa"/>
            <w:tcBorders>
              <w:top w:val="single" w:sz="8" w:space="0" w:color="auto"/>
            </w:tcBorders>
          </w:tcPr>
          <w:p w14:paraId="6452AFCC" w14:textId="77777777" w:rsidR="003A5A98" w:rsidRDefault="003A5A98" w:rsidP="007A2AA4">
            <w:pPr>
              <w:rPr>
                <w:lang w:val="en-CA"/>
              </w:rPr>
            </w:pPr>
          </w:p>
        </w:tc>
      </w:tr>
      <w:tr w:rsidR="003A5A98" w14:paraId="29F3E452" w14:textId="77777777" w:rsidTr="007A2AA4">
        <w:tc>
          <w:tcPr>
            <w:tcW w:w="9360" w:type="dxa"/>
          </w:tcPr>
          <w:p w14:paraId="51BA4B1D" w14:textId="77777777" w:rsidR="003A5A98" w:rsidRDefault="003A5A98" w:rsidP="007A2AA4">
            <w:pPr>
              <w:pStyle w:val="zSoquijlblTypeDocument"/>
            </w:pPr>
            <w:r>
              <w:t>ANNEXE</w:t>
            </w:r>
          </w:p>
          <w:p w14:paraId="72E0824E" w14:textId="1D16E7BF" w:rsidR="003A5A98" w:rsidRDefault="003A5A98" w:rsidP="007A2AA4">
            <w:pPr>
              <w:pStyle w:val="zSoquijlblTypeDocument"/>
            </w:pPr>
            <w:r>
              <w:t>Liste des Caisses Desjardins</w:t>
            </w:r>
          </w:p>
        </w:tc>
      </w:tr>
      <w:tr w:rsidR="003A5A98" w14:paraId="48A1404D" w14:textId="77777777" w:rsidTr="007A2AA4">
        <w:tc>
          <w:tcPr>
            <w:tcW w:w="9360" w:type="dxa"/>
            <w:tcBorders>
              <w:bottom w:val="single" w:sz="8" w:space="0" w:color="auto"/>
            </w:tcBorders>
          </w:tcPr>
          <w:p w14:paraId="0C8AEC8B" w14:textId="77777777" w:rsidR="003A5A98" w:rsidRDefault="003A5A98" w:rsidP="007A2AA4"/>
        </w:tc>
      </w:tr>
      <w:tr w:rsidR="003A5A98" w14:paraId="63EE7BBC" w14:textId="77777777" w:rsidTr="007A2AA4">
        <w:tc>
          <w:tcPr>
            <w:tcW w:w="9360" w:type="dxa"/>
            <w:tcBorders>
              <w:top w:val="single" w:sz="8" w:space="0" w:color="auto"/>
            </w:tcBorders>
          </w:tcPr>
          <w:p w14:paraId="6D2C9F77" w14:textId="77777777" w:rsidR="003A5A98" w:rsidRDefault="003A5A98" w:rsidP="007A2AA4"/>
        </w:tc>
      </w:tr>
    </w:tbl>
    <w:p w14:paraId="4F0DBD87" w14:textId="77777777" w:rsidR="003A5A98" w:rsidRPr="00B67933" w:rsidRDefault="003A5A98" w:rsidP="003A5A98">
      <w:pPr>
        <w:pStyle w:val="Paragraphe"/>
        <w:numPr>
          <w:ilvl w:val="0"/>
          <w:numId w:val="0"/>
        </w:numPr>
        <w:spacing w:before="0" w:after="0" w:line="240" w:lineRule="auto"/>
        <w:rPr>
          <w:szCs w:val="24"/>
        </w:rPr>
      </w:pPr>
      <w:r w:rsidRPr="00B67933">
        <w:rPr>
          <w:szCs w:val="24"/>
        </w:rPr>
        <w:t xml:space="preserve">Caisse </w:t>
      </w:r>
      <w:r>
        <w:rPr>
          <w:szCs w:val="24"/>
        </w:rPr>
        <w:t xml:space="preserve">Desjardins du </w:t>
      </w:r>
      <w:r w:rsidRPr="00B67933">
        <w:rPr>
          <w:szCs w:val="24"/>
        </w:rPr>
        <w:t>Coeur-</w:t>
      </w:r>
      <w:r>
        <w:rPr>
          <w:szCs w:val="24"/>
        </w:rPr>
        <w:t>de</w:t>
      </w:r>
      <w:r w:rsidRPr="00B67933">
        <w:rPr>
          <w:szCs w:val="24"/>
        </w:rPr>
        <w:t>-</w:t>
      </w:r>
      <w:r>
        <w:rPr>
          <w:szCs w:val="24"/>
        </w:rPr>
        <w:t>l</w:t>
      </w:r>
      <w:r w:rsidRPr="00B67933">
        <w:rPr>
          <w:szCs w:val="24"/>
        </w:rPr>
        <w:t>’</w:t>
      </w:r>
      <w:r>
        <w:rPr>
          <w:szCs w:val="24"/>
        </w:rPr>
        <w:t>Î</w:t>
      </w:r>
      <w:r w:rsidRPr="00B67933">
        <w:rPr>
          <w:szCs w:val="24"/>
        </w:rPr>
        <w:t>le</w:t>
      </w:r>
    </w:p>
    <w:p w14:paraId="5D2CC2E7" w14:textId="77777777" w:rsidR="003A5A98" w:rsidRPr="00B67933" w:rsidRDefault="003A5A98" w:rsidP="003A5A98">
      <w:pPr>
        <w:pStyle w:val="Paragraphe"/>
        <w:numPr>
          <w:ilvl w:val="0"/>
          <w:numId w:val="0"/>
        </w:numPr>
        <w:spacing w:before="0" w:after="0" w:line="240" w:lineRule="auto"/>
        <w:rPr>
          <w:szCs w:val="24"/>
        </w:rPr>
      </w:pPr>
      <w:r w:rsidRPr="00B67933">
        <w:rPr>
          <w:szCs w:val="24"/>
        </w:rPr>
        <w:t xml:space="preserve">Caisse </w:t>
      </w:r>
      <w:r>
        <w:rPr>
          <w:szCs w:val="24"/>
        </w:rPr>
        <w:t>Desjardins de l</w:t>
      </w:r>
      <w:r w:rsidRPr="00B67933">
        <w:rPr>
          <w:szCs w:val="24"/>
        </w:rPr>
        <w:t>’</w:t>
      </w:r>
      <w:r>
        <w:rPr>
          <w:szCs w:val="24"/>
        </w:rPr>
        <w:t>A</w:t>
      </w:r>
      <w:r w:rsidRPr="00B67933">
        <w:rPr>
          <w:szCs w:val="24"/>
        </w:rPr>
        <w:t xml:space="preserve">dministration </w:t>
      </w:r>
      <w:r>
        <w:rPr>
          <w:szCs w:val="24"/>
        </w:rPr>
        <w:t>e</w:t>
      </w:r>
      <w:r w:rsidRPr="00B67933">
        <w:rPr>
          <w:szCs w:val="24"/>
        </w:rPr>
        <w:t>t</w:t>
      </w:r>
      <w:r>
        <w:rPr>
          <w:szCs w:val="24"/>
        </w:rPr>
        <w:t xml:space="preserve"> des </w:t>
      </w:r>
      <w:r w:rsidRPr="00B67933">
        <w:rPr>
          <w:szCs w:val="24"/>
        </w:rPr>
        <w:t>Services Publics</w:t>
      </w:r>
    </w:p>
    <w:p w14:paraId="193DF01C" w14:textId="77777777" w:rsidR="003A5A98" w:rsidRPr="00B67933" w:rsidRDefault="003A5A98" w:rsidP="003A5A98">
      <w:pPr>
        <w:pStyle w:val="Paragraphe"/>
        <w:numPr>
          <w:ilvl w:val="0"/>
          <w:numId w:val="0"/>
        </w:numPr>
        <w:spacing w:before="0" w:after="0" w:line="240" w:lineRule="auto"/>
        <w:rPr>
          <w:sz w:val="20"/>
          <w:szCs w:val="16"/>
        </w:rPr>
      </w:pPr>
      <w:r w:rsidRPr="00B67933">
        <w:rPr>
          <w:szCs w:val="24"/>
        </w:rPr>
        <w:t>La Caisse Populaire</w:t>
      </w:r>
      <w:r>
        <w:rPr>
          <w:szCs w:val="24"/>
        </w:rPr>
        <w:t xml:space="preserve"> de </w:t>
      </w:r>
      <w:r w:rsidRPr="00B67933">
        <w:rPr>
          <w:szCs w:val="24"/>
        </w:rPr>
        <w:t>Ragueneau</w:t>
      </w:r>
    </w:p>
    <w:p w14:paraId="783133FE"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Havre-Saint-Pierre</w:t>
      </w:r>
    </w:p>
    <w:p w14:paraId="12A47E9A"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Baie-Comeau</w:t>
      </w:r>
    </w:p>
    <w:p w14:paraId="4B99A001"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Mingan-Anticosti</w:t>
      </w:r>
    </w:p>
    <w:p w14:paraId="5F9C19D5" w14:textId="77777777" w:rsidR="003A5A98" w:rsidRPr="00B67933" w:rsidRDefault="003A5A98" w:rsidP="003A5A98">
      <w:pPr>
        <w:pStyle w:val="Paragraphe"/>
        <w:numPr>
          <w:ilvl w:val="0"/>
          <w:numId w:val="0"/>
        </w:numPr>
        <w:spacing w:before="0" w:after="0" w:line="240" w:lineRule="auto"/>
      </w:pPr>
      <w:r w:rsidRPr="00B67933">
        <w:t xml:space="preserve">La Caisse Populaire </w:t>
      </w:r>
      <w:r>
        <w:t xml:space="preserve">Desjardins de </w:t>
      </w:r>
      <w:r w:rsidRPr="00B67933">
        <w:t>Sept-Îles</w:t>
      </w:r>
    </w:p>
    <w:p w14:paraId="0297E78F"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Port-Cartier</w:t>
      </w:r>
    </w:p>
    <w:p w14:paraId="189B1100"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Hauterive</w:t>
      </w:r>
    </w:p>
    <w:p w14:paraId="0FE7DB63"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Blanc-Sablon</w:t>
      </w:r>
    </w:p>
    <w:p w14:paraId="4CD819CA"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du </w:t>
      </w:r>
      <w:r w:rsidRPr="00B67933">
        <w:t>Saguenay-Saint-Laurent</w:t>
      </w:r>
    </w:p>
    <w:p w14:paraId="19623666"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Tête-</w:t>
      </w:r>
      <w:r>
        <w:t>à</w:t>
      </w:r>
      <w:r w:rsidRPr="00B67933">
        <w:t>-</w:t>
      </w:r>
      <w:r>
        <w:t>l</w:t>
      </w:r>
      <w:r w:rsidRPr="00B67933">
        <w:t>a-Baleine</w:t>
      </w:r>
    </w:p>
    <w:p w14:paraId="67CD9CA0"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Centre</w:t>
      </w:r>
      <w:r>
        <w:t xml:space="preserve"> de </w:t>
      </w:r>
      <w:r w:rsidRPr="00B67933">
        <w:t>La Haute-Côte-Nord</w:t>
      </w:r>
    </w:p>
    <w:p w14:paraId="55FEA175" w14:textId="77777777" w:rsidR="003A5A98" w:rsidRPr="00B67933" w:rsidRDefault="003A5A98" w:rsidP="003A5A98">
      <w:pPr>
        <w:pStyle w:val="Paragraphe"/>
        <w:numPr>
          <w:ilvl w:val="0"/>
          <w:numId w:val="0"/>
        </w:numPr>
        <w:spacing w:before="0" w:after="0" w:line="240" w:lineRule="auto"/>
      </w:pPr>
      <w:r w:rsidRPr="00B67933">
        <w:t>La Caisse Populaire</w:t>
      </w:r>
      <w:r>
        <w:t xml:space="preserve"> de </w:t>
      </w:r>
      <w:r w:rsidRPr="00B67933">
        <w:t>La Tabatière</w:t>
      </w:r>
    </w:p>
    <w:p w14:paraId="2484DE98"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Baie</w:t>
      </w:r>
      <w:r>
        <w:t>-de</w:t>
      </w:r>
      <w:r w:rsidRPr="00B67933">
        <w:t>s</w:t>
      </w:r>
      <w:r>
        <w:t>-</w:t>
      </w:r>
      <w:r w:rsidRPr="00B67933">
        <w:t>Chaleurs</w:t>
      </w:r>
    </w:p>
    <w:p w14:paraId="185C45F0"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Mer </w:t>
      </w:r>
      <w:r>
        <w:t>e</w:t>
      </w:r>
      <w:r w:rsidRPr="00B67933">
        <w:t>t Montagnes</w:t>
      </w:r>
    </w:p>
    <w:p w14:paraId="26F3BE10"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du </w:t>
      </w:r>
      <w:r w:rsidRPr="00B67933">
        <w:t>Centre-Sud Gaspésien</w:t>
      </w:r>
    </w:p>
    <w:p w14:paraId="6FCF364A"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Pointe</w:t>
      </w:r>
      <w:r>
        <w:t xml:space="preserve"> de l</w:t>
      </w:r>
      <w:r w:rsidRPr="00B67933">
        <w:t>a Gaspésie</w:t>
      </w:r>
    </w:p>
    <w:p w14:paraId="7B62A3D9"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des </w:t>
      </w:r>
      <w:r w:rsidRPr="00B67933">
        <w:t>Ramées</w:t>
      </w:r>
    </w:p>
    <w:p w14:paraId="1234BC7D"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H</w:t>
      </w:r>
      <w:r>
        <w:t>a</w:t>
      </w:r>
      <w:r w:rsidRPr="00B67933">
        <w:t>vre-Aux-Maisons</w:t>
      </w:r>
    </w:p>
    <w:p w14:paraId="0C2FB63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Littoral Gaspésien</w:t>
      </w:r>
    </w:p>
    <w:p w14:paraId="1D6F3028"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La Haute-Gaspésie</w:t>
      </w:r>
    </w:p>
    <w:p w14:paraId="4D973AE2"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Rivière-</w:t>
      </w:r>
      <w:r>
        <w:t>d</w:t>
      </w:r>
      <w:r w:rsidRPr="00B67933">
        <w:t>u-Loup</w:t>
      </w:r>
    </w:p>
    <w:p w14:paraId="3DBACD76"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Bic-Saint-Fabien</w:t>
      </w:r>
    </w:p>
    <w:p w14:paraId="42690E25"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Rimouski</w:t>
      </w:r>
    </w:p>
    <w:p w14:paraId="535078F5"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Mont-Joli-Est</w:t>
      </w:r>
      <w:r>
        <w:t xml:space="preserve"> de </w:t>
      </w:r>
      <w:r w:rsidRPr="00B67933">
        <w:t>La Mitis</w:t>
      </w:r>
    </w:p>
    <w:p w14:paraId="513D2ED6"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Vallée</w:t>
      </w:r>
      <w:r>
        <w:t xml:space="preserve"> de l</w:t>
      </w:r>
      <w:r w:rsidRPr="00B67933">
        <w:t>a Matapédia</w:t>
      </w:r>
    </w:p>
    <w:p w14:paraId="333AADCC"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 xml:space="preserve">Viger </w:t>
      </w:r>
      <w:r>
        <w:t>e</w:t>
      </w:r>
      <w:r w:rsidRPr="00B67933">
        <w:t>t Villeray</w:t>
      </w:r>
    </w:p>
    <w:p w14:paraId="6D2A2DB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La Matanie</w:t>
      </w:r>
    </w:p>
    <w:p w14:paraId="0628D80B"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Basques</w:t>
      </w:r>
    </w:p>
    <w:p w14:paraId="67F4DC8F"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Rivière Neigette</w:t>
      </w:r>
    </w:p>
    <w:p w14:paraId="37BE4D7D"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Lacs</w:t>
      </w:r>
      <w:r>
        <w:t xml:space="preserve"> de </w:t>
      </w:r>
      <w:r w:rsidRPr="00B67933">
        <w:t>Témiscouata</w:t>
      </w:r>
    </w:p>
    <w:p w14:paraId="1AAF91B3"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Transcontinental-Portage</w:t>
      </w:r>
    </w:p>
    <w:p w14:paraId="5C7538F9"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Région</w:t>
      </w:r>
      <w:r>
        <w:t xml:space="preserve"> de </w:t>
      </w:r>
      <w:r w:rsidRPr="00B67933">
        <w:t>Thetford</w:t>
      </w:r>
    </w:p>
    <w:p w14:paraId="1817841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Etchemins</w:t>
      </w:r>
    </w:p>
    <w:p w14:paraId="59336C2D"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Sud</w:t>
      </w:r>
      <w:r>
        <w:t xml:space="preserve"> de l</w:t>
      </w:r>
      <w:r w:rsidRPr="00B67933">
        <w:t>a Beauce</w:t>
      </w:r>
    </w:p>
    <w:p w14:paraId="24C9E3EC"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Bellechasse</w:t>
      </w:r>
    </w:p>
    <w:p w14:paraId="7039ABF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Beauce-Centre</w:t>
      </w:r>
    </w:p>
    <w:p w14:paraId="6F867399" w14:textId="77777777" w:rsidR="003A5A98" w:rsidRPr="00B67933" w:rsidRDefault="003A5A98" w:rsidP="003A5A98">
      <w:pPr>
        <w:pStyle w:val="Paragraphe"/>
        <w:numPr>
          <w:ilvl w:val="0"/>
          <w:numId w:val="0"/>
        </w:numPr>
        <w:spacing w:before="0" w:after="0" w:line="240" w:lineRule="auto"/>
      </w:pPr>
      <w:r w:rsidRPr="00B67933">
        <w:lastRenderedPageBreak/>
        <w:t xml:space="preserve">Caisse </w:t>
      </w:r>
      <w:r>
        <w:t xml:space="preserve">Desjardins de </w:t>
      </w:r>
      <w:r w:rsidRPr="00B67933">
        <w:t>L’</w:t>
      </w:r>
      <w:r>
        <w:t>A</w:t>
      </w:r>
      <w:r w:rsidRPr="00B67933">
        <w:t>nse</w:t>
      </w:r>
      <w:r>
        <w:t xml:space="preserve"> de l</w:t>
      </w:r>
      <w:r w:rsidRPr="00B67933">
        <w:t>a Pocatière</w:t>
      </w:r>
    </w:p>
    <w:p w14:paraId="140DAB32"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Sommets</w:t>
      </w:r>
      <w:r>
        <w:t xml:space="preserve"> de l</w:t>
      </w:r>
      <w:r w:rsidRPr="00B67933">
        <w:t>a Beauce</w:t>
      </w:r>
    </w:p>
    <w:p w14:paraId="6B6D6551"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Nouvelle-Beauce</w:t>
      </w:r>
    </w:p>
    <w:p w14:paraId="5ED4D18E"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 xml:space="preserve">a </w:t>
      </w:r>
      <w:r>
        <w:t xml:space="preserve">MRC de </w:t>
      </w:r>
      <w:r w:rsidRPr="00B67933">
        <w:t>Montmagny</w:t>
      </w:r>
    </w:p>
    <w:p w14:paraId="25781B9D"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Centre</w:t>
      </w:r>
      <w:r>
        <w:t xml:space="preserve"> de </w:t>
      </w:r>
      <w:r w:rsidRPr="00B67933">
        <w:t>Kamouraska</w:t>
      </w:r>
    </w:p>
    <w:p w14:paraId="0BC8268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Nord</w:t>
      </w:r>
      <w:r>
        <w:t xml:space="preserve"> de l</w:t>
      </w:r>
      <w:r w:rsidRPr="00B67933">
        <w:t>’</w:t>
      </w:r>
      <w:r>
        <w:t>I</w:t>
      </w:r>
      <w:r w:rsidRPr="00B67933">
        <w:t>slet</w:t>
      </w:r>
    </w:p>
    <w:p w14:paraId="187A263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Sud</w:t>
      </w:r>
      <w:r>
        <w:t xml:space="preserve"> de l</w:t>
      </w:r>
      <w:r w:rsidRPr="00B67933">
        <w:t>a Chaudière</w:t>
      </w:r>
    </w:p>
    <w:p w14:paraId="2118CF6B"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 xml:space="preserve">Champs </w:t>
      </w:r>
      <w:r>
        <w:t>e</w:t>
      </w:r>
      <w:r w:rsidRPr="00B67933">
        <w:t>t</w:t>
      </w:r>
      <w:r>
        <w:t xml:space="preserve"> des </w:t>
      </w:r>
      <w:r w:rsidRPr="00B67933">
        <w:t>Bois</w:t>
      </w:r>
    </w:p>
    <w:p w14:paraId="4FDA01A1" w14:textId="77777777" w:rsidR="003A5A98" w:rsidRPr="00B67933" w:rsidRDefault="003A5A98" w:rsidP="003A5A98">
      <w:pPr>
        <w:pStyle w:val="Paragraphe"/>
        <w:numPr>
          <w:ilvl w:val="0"/>
          <w:numId w:val="0"/>
        </w:numPr>
        <w:spacing w:before="0" w:after="0" w:line="240" w:lineRule="auto"/>
      </w:pPr>
      <w:r w:rsidRPr="00AD6262">
        <w:t>Caisse</w:t>
      </w:r>
      <w:r w:rsidRPr="00B67933">
        <w:t xml:space="preserve"> </w:t>
      </w:r>
      <w:r>
        <w:t xml:space="preserve">Desjardins du </w:t>
      </w:r>
      <w:r w:rsidRPr="00B67933">
        <w:t>Carrefour</w:t>
      </w:r>
      <w:r>
        <w:t xml:space="preserve"> des </w:t>
      </w:r>
      <w:r w:rsidRPr="00B67933">
        <w:t>Lacs</w:t>
      </w:r>
    </w:p>
    <w:p w14:paraId="797D5B72"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Sud</w:t>
      </w:r>
      <w:r>
        <w:t xml:space="preserve"> de l</w:t>
      </w:r>
      <w:r w:rsidRPr="00B67933">
        <w:t>’</w:t>
      </w:r>
      <w:r>
        <w:t>I</w:t>
      </w:r>
      <w:r w:rsidRPr="00B67933">
        <w:t xml:space="preserve">slet </w:t>
      </w:r>
      <w:r>
        <w:t>e</w:t>
      </w:r>
      <w:r w:rsidRPr="00B67933">
        <w:t>t</w:t>
      </w:r>
      <w:r>
        <w:t xml:space="preserve"> des </w:t>
      </w:r>
      <w:r w:rsidRPr="00B67933">
        <w:t>Hautes-Terres</w:t>
      </w:r>
    </w:p>
    <w:p w14:paraId="592A1C1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Chutes Montmorency</w:t>
      </w:r>
    </w:p>
    <w:p w14:paraId="3F83E1E4"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Charlesbourg</w:t>
      </w:r>
    </w:p>
    <w:p w14:paraId="417DAB44"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Beauport</w:t>
      </w:r>
    </w:p>
    <w:p w14:paraId="0D20157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Québec</w:t>
      </w:r>
    </w:p>
    <w:p w14:paraId="22E42DD4"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Plateau Montcalm</w:t>
      </w:r>
    </w:p>
    <w:p w14:paraId="26BEEF51"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Côte-</w:t>
      </w:r>
      <w:r>
        <w:t>de</w:t>
      </w:r>
      <w:r w:rsidRPr="00B67933">
        <w:t>-Beaupré</w:t>
      </w:r>
    </w:p>
    <w:p w14:paraId="05EFACFA"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w:t>
      </w:r>
      <w:r>
        <w:t>Î</w:t>
      </w:r>
      <w:r w:rsidRPr="00B67933">
        <w:t>le-D’orléans</w:t>
      </w:r>
    </w:p>
    <w:p w14:paraId="56CBAF4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Limoilou</w:t>
      </w:r>
    </w:p>
    <w:p w14:paraId="5F1073C3"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Chaudière</w:t>
      </w:r>
    </w:p>
    <w:p w14:paraId="1535DD6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Lévis</w:t>
      </w:r>
    </w:p>
    <w:p w14:paraId="4E7C736A"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L’ouest</w:t>
      </w:r>
      <w:r>
        <w:t xml:space="preserve"> de </w:t>
      </w:r>
      <w:r w:rsidRPr="00B67933">
        <w:t>Portneuf</w:t>
      </w:r>
    </w:p>
    <w:p w14:paraId="17649B07"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du </w:t>
      </w:r>
      <w:r w:rsidRPr="00B67933">
        <w:t>Piémont Laurentien</w:t>
      </w:r>
    </w:p>
    <w:p w14:paraId="099C1624"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Cap-Rouge-Saint-Augustin</w:t>
      </w:r>
    </w:p>
    <w:p w14:paraId="440A1834"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Les Ecureuils</w:t>
      </w:r>
    </w:p>
    <w:p w14:paraId="524F5469"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Saint-Raymond-Sainte-Catherine</w:t>
      </w:r>
    </w:p>
    <w:p w14:paraId="486631F6"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Centre</w:t>
      </w:r>
      <w:r>
        <w:t xml:space="preserve"> de </w:t>
      </w:r>
      <w:r w:rsidRPr="00B67933">
        <w:t>Portneuf</w:t>
      </w:r>
    </w:p>
    <w:p w14:paraId="139780D6"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Neuville</w:t>
      </w:r>
    </w:p>
    <w:p w14:paraId="36365CBF"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Centre</w:t>
      </w:r>
      <w:r>
        <w:t xml:space="preserve"> de </w:t>
      </w:r>
      <w:r w:rsidRPr="00B67933">
        <w:t>Lotbinière</w:t>
      </w:r>
    </w:p>
    <w:p w14:paraId="5E90DE6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Sillery-Saint-Louis-</w:t>
      </w:r>
      <w:r>
        <w:t>de</w:t>
      </w:r>
      <w:r w:rsidRPr="00B67933">
        <w:t>-France</w:t>
      </w:r>
    </w:p>
    <w:p w14:paraId="76B11F82"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Rivières</w:t>
      </w:r>
      <w:r>
        <w:t xml:space="preserve"> de </w:t>
      </w:r>
      <w:r w:rsidRPr="00B67933">
        <w:t>Québec</w:t>
      </w:r>
    </w:p>
    <w:p w14:paraId="0412B55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w:t>
      </w:r>
      <w:r>
        <w:t>U</w:t>
      </w:r>
      <w:r w:rsidRPr="00B67933">
        <w:t>niversité Laval</w:t>
      </w:r>
    </w:p>
    <w:p w14:paraId="5CC4836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Wendake</w:t>
      </w:r>
    </w:p>
    <w:p w14:paraId="79F2FA35"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Sainte-Foy</w:t>
      </w:r>
    </w:p>
    <w:p w14:paraId="7975CEF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Charlevoix-Est</w:t>
      </w:r>
    </w:p>
    <w:p w14:paraId="3792DD56"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 xml:space="preserve">Fleuve </w:t>
      </w:r>
      <w:r>
        <w:t>e</w:t>
      </w:r>
      <w:r w:rsidRPr="00B67933">
        <w:t>t</w:t>
      </w:r>
      <w:r>
        <w:t xml:space="preserve"> des </w:t>
      </w:r>
      <w:r w:rsidRPr="00B67933">
        <w:t>Montagnes (Charlevoix)</w:t>
      </w:r>
    </w:p>
    <w:p w14:paraId="1841F7D9"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L’</w:t>
      </w:r>
      <w:r>
        <w:t>Îs</w:t>
      </w:r>
      <w:r w:rsidRPr="00B67933">
        <w:t>le-</w:t>
      </w:r>
      <w:r>
        <w:t>a</w:t>
      </w:r>
      <w:r w:rsidRPr="00B67933">
        <w:t>ux-Coudres</w:t>
      </w:r>
    </w:p>
    <w:p w14:paraId="35CDFDE0"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Chicoutimi</w:t>
      </w:r>
    </w:p>
    <w:p w14:paraId="3A913D2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Domaine-</w:t>
      </w:r>
      <w:r>
        <w:t>d</w:t>
      </w:r>
      <w:r w:rsidRPr="00B67933">
        <w:t>u-Roy</w:t>
      </w:r>
    </w:p>
    <w:p w14:paraId="70E33B7B"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Jonquière</w:t>
      </w:r>
    </w:p>
    <w:p w14:paraId="586DE0BB"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w:t>
      </w:r>
      <w:r>
        <w:t>d</w:t>
      </w:r>
      <w:r w:rsidRPr="00B67933">
        <w:t>’</w:t>
      </w:r>
      <w:r>
        <w:t>A</w:t>
      </w:r>
      <w:r w:rsidRPr="00B67933">
        <w:t>lma</w:t>
      </w:r>
    </w:p>
    <w:p w14:paraId="0A535A4D"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Cinq-Cantons</w:t>
      </w:r>
    </w:p>
    <w:p w14:paraId="3ABBF2D2"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La Baie</w:t>
      </w:r>
    </w:p>
    <w:p w14:paraId="575F3AA1"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Nord</w:t>
      </w:r>
      <w:r>
        <w:t xml:space="preserve"> du </w:t>
      </w:r>
      <w:r w:rsidRPr="00B67933">
        <w:t>Lac-Saint-Jean</w:t>
      </w:r>
    </w:p>
    <w:p w14:paraId="7B59123E" w14:textId="77777777" w:rsidR="003A5A98" w:rsidRPr="00B67933" w:rsidRDefault="003A5A98" w:rsidP="003A5A98">
      <w:pPr>
        <w:pStyle w:val="Paragraphe"/>
        <w:numPr>
          <w:ilvl w:val="0"/>
          <w:numId w:val="0"/>
        </w:numPr>
        <w:spacing w:before="0" w:after="0" w:line="240" w:lineRule="auto"/>
      </w:pPr>
      <w:r w:rsidRPr="00B67933">
        <w:lastRenderedPageBreak/>
        <w:t xml:space="preserve">Caisse </w:t>
      </w:r>
      <w:r>
        <w:t>Desjardins</w:t>
      </w:r>
      <w:r w:rsidRPr="00B67933">
        <w:t xml:space="preserve"> </w:t>
      </w:r>
      <w:r>
        <w:t>d</w:t>
      </w:r>
      <w:r w:rsidRPr="00B67933">
        <w:t>’</w:t>
      </w:r>
      <w:r>
        <w:t>A</w:t>
      </w:r>
      <w:r w:rsidRPr="00B67933">
        <w:t>rvida Kénogami</w:t>
      </w:r>
    </w:p>
    <w:p w14:paraId="231DD9F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Bas-Saguenay</w:t>
      </w:r>
    </w:p>
    <w:p w14:paraId="4B3FEC44"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Rive-Nord</w:t>
      </w:r>
      <w:r>
        <w:t xml:space="preserve"> du </w:t>
      </w:r>
      <w:r w:rsidRPr="00B67933">
        <w:t>Saguenay</w:t>
      </w:r>
    </w:p>
    <w:p w14:paraId="6E57B921"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des </w:t>
      </w:r>
      <w:r w:rsidRPr="00B67933">
        <w:t>Plaines Boréales</w:t>
      </w:r>
    </w:p>
    <w:p w14:paraId="36660B51"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Pekuakami</w:t>
      </w:r>
    </w:p>
    <w:p w14:paraId="03CD04A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Gentilly Lévrard-Rivière</w:t>
      </w:r>
      <w:r>
        <w:t xml:space="preserve"> du </w:t>
      </w:r>
      <w:r w:rsidRPr="00B67933">
        <w:t>Chêne</w:t>
      </w:r>
    </w:p>
    <w:p w14:paraId="6B387FE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Chênes</w:t>
      </w:r>
    </w:p>
    <w:p w14:paraId="718F2604"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Go</w:t>
      </w:r>
      <w:r>
        <w:t>de</w:t>
      </w:r>
      <w:r w:rsidRPr="00B67933">
        <w:t>froy</w:t>
      </w:r>
    </w:p>
    <w:p w14:paraId="1BB25FB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Nicolet</w:t>
      </w:r>
    </w:p>
    <w:p w14:paraId="250EB77D"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 de l</w:t>
      </w:r>
      <w:r w:rsidRPr="00B67933">
        <w:t>’</w:t>
      </w:r>
      <w:r>
        <w:t>E</w:t>
      </w:r>
      <w:r w:rsidRPr="00B67933">
        <w:t>st</w:t>
      </w:r>
      <w:r>
        <w:t xml:space="preserve"> de </w:t>
      </w:r>
      <w:r w:rsidRPr="00B67933">
        <w:t>Drummond</w:t>
      </w:r>
    </w:p>
    <w:p w14:paraId="40A1FF3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Bois-Francs</w:t>
      </w:r>
    </w:p>
    <w:p w14:paraId="21C9B64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w:t>
      </w:r>
      <w:r>
        <w:t>É</w:t>
      </w:r>
      <w:r w:rsidRPr="00B67933">
        <w:t>rable</w:t>
      </w:r>
    </w:p>
    <w:p w14:paraId="5262A9F1"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Drummondville</w:t>
      </w:r>
    </w:p>
    <w:p w14:paraId="2E1E6ED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Centre-</w:t>
      </w:r>
      <w:r>
        <w:t>de</w:t>
      </w:r>
      <w:r w:rsidRPr="00B67933">
        <w:t>-</w:t>
      </w:r>
      <w:r>
        <w:t>l</w:t>
      </w:r>
      <w:r w:rsidRPr="00B67933">
        <w:t>a-Mauricie</w:t>
      </w:r>
    </w:p>
    <w:p w14:paraId="608E5A2F"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w:t>
      </w:r>
      <w:r>
        <w:t>E</w:t>
      </w:r>
      <w:r w:rsidRPr="00B67933">
        <w:t>st</w:t>
      </w:r>
      <w:r>
        <w:t xml:space="preserve"> de </w:t>
      </w:r>
      <w:r w:rsidRPr="00B67933">
        <w:t>Trois-Rivières</w:t>
      </w:r>
    </w:p>
    <w:p w14:paraId="5026AC7E" w14:textId="77777777" w:rsidR="003A5A98" w:rsidRPr="00B67933" w:rsidRDefault="003A5A98" w:rsidP="003A5A98">
      <w:pPr>
        <w:pStyle w:val="Paragraphe"/>
        <w:numPr>
          <w:ilvl w:val="0"/>
          <w:numId w:val="0"/>
        </w:numPr>
        <w:spacing w:before="0" w:after="0" w:line="240" w:lineRule="auto"/>
      </w:pPr>
      <w:r w:rsidRPr="00B67933">
        <w:t>La Caisse Populaire</w:t>
      </w:r>
      <w:r>
        <w:t xml:space="preserve"> de </w:t>
      </w:r>
      <w:r w:rsidRPr="00B67933">
        <w:t>Maskinongé</w:t>
      </w:r>
    </w:p>
    <w:p w14:paraId="76B43B6E" w14:textId="77777777" w:rsidR="003A5A98" w:rsidRPr="00B67933" w:rsidRDefault="003A5A98" w:rsidP="003A5A98">
      <w:pPr>
        <w:pStyle w:val="Paragraphe"/>
        <w:numPr>
          <w:ilvl w:val="0"/>
          <w:numId w:val="0"/>
        </w:numPr>
        <w:spacing w:before="0" w:after="0" w:line="240" w:lineRule="auto"/>
      </w:pPr>
      <w:r w:rsidRPr="00B67933">
        <w:t>La Caisse Populaire</w:t>
      </w:r>
      <w:r>
        <w:t xml:space="preserve"> de </w:t>
      </w:r>
      <w:r w:rsidRPr="00B67933">
        <w:t>Notre</w:t>
      </w:r>
      <w:r>
        <w:t>-</w:t>
      </w:r>
      <w:r w:rsidRPr="00B67933">
        <w:t>Dame</w:t>
      </w:r>
      <w:r>
        <w:t>-d</w:t>
      </w:r>
      <w:r w:rsidRPr="00B67933">
        <w:t>u</w:t>
      </w:r>
      <w:r>
        <w:t>-</w:t>
      </w:r>
      <w:r w:rsidRPr="00B67933">
        <w:t>Mont</w:t>
      </w:r>
      <w:r>
        <w:t>-</w:t>
      </w:r>
      <w:r w:rsidRPr="00B67933">
        <w:t>Carmel</w:t>
      </w:r>
    </w:p>
    <w:p w14:paraId="7B58ED1C"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Trois-Rivières</w:t>
      </w:r>
    </w:p>
    <w:p w14:paraId="1D8D38A5" w14:textId="77777777" w:rsidR="003A5A98" w:rsidRPr="00B67933" w:rsidRDefault="003A5A98" w:rsidP="003A5A98">
      <w:pPr>
        <w:pStyle w:val="Paragraphe"/>
        <w:numPr>
          <w:ilvl w:val="0"/>
          <w:numId w:val="0"/>
        </w:numPr>
        <w:spacing w:before="0" w:after="0" w:line="240" w:lineRule="auto"/>
      </w:pPr>
      <w:r w:rsidRPr="00B67933">
        <w:t>La Caisse Populaire</w:t>
      </w:r>
      <w:r>
        <w:t xml:space="preserve"> de </w:t>
      </w:r>
      <w:r w:rsidRPr="00B67933">
        <w:t>Saint-Alexis</w:t>
      </w:r>
      <w:r>
        <w:t>-de</w:t>
      </w:r>
      <w:r w:rsidRPr="00B67933">
        <w:t>s</w:t>
      </w:r>
      <w:r>
        <w:t>-</w:t>
      </w:r>
      <w:r w:rsidRPr="00B67933">
        <w:t>Monts</w:t>
      </w:r>
    </w:p>
    <w:p w14:paraId="4DC2D3F4"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Mékinac-</w:t>
      </w:r>
      <w:r>
        <w:t>De</w:t>
      </w:r>
      <w:r w:rsidRPr="00B67933">
        <w:t>s Chenaux</w:t>
      </w:r>
    </w:p>
    <w:p w14:paraId="464A1274"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Cité</w:t>
      </w:r>
      <w:r>
        <w:t xml:space="preserve"> de </w:t>
      </w:r>
      <w:r w:rsidRPr="00B67933">
        <w:t>Shawinigan</w:t>
      </w:r>
    </w:p>
    <w:p w14:paraId="22B2CBAD"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La Tuque</w:t>
      </w:r>
    </w:p>
    <w:p w14:paraId="403C7607"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w:t>
      </w:r>
      <w:r>
        <w:t>O</w:t>
      </w:r>
      <w:r w:rsidRPr="00B67933">
        <w:t>uest</w:t>
      </w:r>
      <w:r>
        <w:t xml:space="preserve"> de l</w:t>
      </w:r>
      <w:r w:rsidRPr="00B67933">
        <w:t>a Mauricie</w:t>
      </w:r>
    </w:p>
    <w:p w14:paraId="6A88BDA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Saint-Boniface</w:t>
      </w:r>
    </w:p>
    <w:p w14:paraId="1AE000EA"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Verts-Sommets</w:t>
      </w:r>
      <w:r>
        <w:t xml:space="preserve"> de </w:t>
      </w:r>
      <w:r w:rsidRPr="00B67933">
        <w:t>L’</w:t>
      </w:r>
      <w:r>
        <w:t>E</w:t>
      </w:r>
      <w:r w:rsidRPr="00B67933">
        <w:t>strie</w:t>
      </w:r>
    </w:p>
    <w:p w14:paraId="1E8FDDA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Lac Mégantic</w:t>
      </w:r>
      <w:r>
        <w:t> </w:t>
      </w:r>
      <w:r w:rsidRPr="00B67933">
        <w:t>–</w:t>
      </w:r>
      <w:r>
        <w:t> </w:t>
      </w:r>
      <w:r w:rsidRPr="00B67933">
        <w:t>Le Granit</w:t>
      </w:r>
    </w:p>
    <w:p w14:paraId="10376F45"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Nord</w:t>
      </w:r>
      <w:r>
        <w:t xml:space="preserve"> de </w:t>
      </w:r>
      <w:r w:rsidRPr="00B67933">
        <w:t>Sherbrooke</w:t>
      </w:r>
    </w:p>
    <w:p w14:paraId="39B4597F"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Sources</w:t>
      </w:r>
    </w:p>
    <w:p w14:paraId="56DA362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Haut-Saint-François</w:t>
      </w:r>
    </w:p>
    <w:p w14:paraId="0C5C47EB"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Lac-Memphrémagog</w:t>
      </w:r>
    </w:p>
    <w:p w14:paraId="4B3FBC5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Val-Saint-François</w:t>
      </w:r>
    </w:p>
    <w:p w14:paraId="672A2C40" w14:textId="77777777" w:rsidR="003A5A98" w:rsidRPr="00B67933" w:rsidRDefault="003A5A98" w:rsidP="003A5A98">
      <w:pPr>
        <w:pStyle w:val="Paragraphe"/>
        <w:numPr>
          <w:ilvl w:val="0"/>
          <w:numId w:val="0"/>
        </w:numPr>
        <w:spacing w:before="0" w:after="0" w:line="240" w:lineRule="auto"/>
      </w:pPr>
      <w:r w:rsidRPr="00B67933">
        <w:t xml:space="preserve">Caisse </w:t>
      </w:r>
      <w:r>
        <w:t>Desjardins des De</w:t>
      </w:r>
      <w:r w:rsidRPr="00B67933">
        <w:t>ux-Rivières</w:t>
      </w:r>
      <w:r>
        <w:t xml:space="preserve"> de </w:t>
      </w:r>
      <w:r w:rsidRPr="00B67933">
        <w:t>Sherbrooke</w:t>
      </w:r>
    </w:p>
    <w:p w14:paraId="57F085BD"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Brome-Missisquoi</w:t>
      </w:r>
    </w:p>
    <w:p w14:paraId="4147927B"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Granby</w:t>
      </w:r>
      <w:r>
        <w:t> </w:t>
      </w:r>
      <w:r w:rsidRPr="00B67933">
        <w:t>-</w:t>
      </w:r>
      <w:r>
        <w:t> </w:t>
      </w:r>
      <w:r w:rsidRPr="00B67933">
        <w:t>Haute-Yamaska</w:t>
      </w:r>
    </w:p>
    <w:p w14:paraId="71CB44F5" w14:textId="77777777" w:rsidR="003A5A98" w:rsidRPr="00B67933" w:rsidRDefault="003A5A98" w:rsidP="003A5A98">
      <w:pPr>
        <w:pStyle w:val="Paragraphe"/>
        <w:numPr>
          <w:ilvl w:val="0"/>
          <w:numId w:val="0"/>
        </w:numPr>
        <w:spacing w:before="0" w:after="0" w:line="240" w:lineRule="auto"/>
      </w:pPr>
      <w:r w:rsidRPr="00B67933">
        <w:t>Caisse Populaire</w:t>
      </w:r>
      <w:r>
        <w:t xml:space="preserve"> de </w:t>
      </w:r>
      <w:r w:rsidRPr="00B67933">
        <w:t>Waterloo</w:t>
      </w:r>
    </w:p>
    <w:p w14:paraId="1E2167C3"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du </w:t>
      </w:r>
      <w:r w:rsidRPr="00B67933">
        <w:t>Bassin-</w:t>
      </w:r>
      <w:r>
        <w:t>de</w:t>
      </w:r>
      <w:r w:rsidRPr="00B67933">
        <w:t>-Chambly</w:t>
      </w:r>
    </w:p>
    <w:p w14:paraId="029667F4" w14:textId="77777777" w:rsidR="003A5A98" w:rsidRPr="00B67933" w:rsidRDefault="003A5A98" w:rsidP="003A5A98">
      <w:pPr>
        <w:pStyle w:val="Paragraphe"/>
        <w:numPr>
          <w:ilvl w:val="0"/>
          <w:numId w:val="0"/>
        </w:numPr>
        <w:spacing w:before="0" w:after="0" w:line="240" w:lineRule="auto"/>
      </w:pPr>
      <w:r w:rsidRPr="00B67933">
        <w:t>La Caisse Populaire</w:t>
      </w:r>
      <w:r>
        <w:t xml:space="preserve"> de </w:t>
      </w:r>
      <w:r w:rsidRPr="00B67933">
        <w:t xml:space="preserve">Saint-Théodore </w:t>
      </w:r>
      <w:r>
        <w:t>d</w:t>
      </w:r>
      <w:r w:rsidRPr="00B67933">
        <w:t>’</w:t>
      </w:r>
      <w:r>
        <w:t>A</w:t>
      </w:r>
      <w:r w:rsidRPr="00B67933">
        <w:t>cton</w:t>
      </w:r>
    </w:p>
    <w:p w14:paraId="5F1EB363"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 xml:space="preserve">a </w:t>
      </w:r>
      <w:r>
        <w:t>r</w:t>
      </w:r>
      <w:r w:rsidRPr="00B67933">
        <w:t>égion</w:t>
      </w:r>
      <w:r>
        <w:t xml:space="preserve"> de </w:t>
      </w:r>
      <w:r w:rsidRPr="00B67933">
        <w:t>Saint-Hyacinthe</w:t>
      </w:r>
    </w:p>
    <w:p w14:paraId="37D4BC34"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Pommeraie</w:t>
      </w:r>
    </w:p>
    <w:p w14:paraId="7744DC32"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Pierre-</w:t>
      </w:r>
      <w:r>
        <w:t>De</w:t>
      </w:r>
      <w:r w:rsidRPr="00B67933">
        <w:t xml:space="preserve"> Saurel</w:t>
      </w:r>
    </w:p>
    <w:p w14:paraId="27C06B0B"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w:t>
      </w:r>
      <w:r>
        <w:t>d</w:t>
      </w:r>
      <w:r w:rsidRPr="00B67933">
        <w:t>’</w:t>
      </w:r>
      <w:r>
        <w:t>A</w:t>
      </w:r>
      <w:r w:rsidRPr="00B67933">
        <w:t>cton Vale-Rivière Noire</w:t>
      </w:r>
    </w:p>
    <w:p w14:paraId="1BD748A9"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Seigneurie</w:t>
      </w:r>
      <w:r>
        <w:t xml:space="preserve"> de </w:t>
      </w:r>
      <w:r w:rsidRPr="00B67933">
        <w:t>Ramezay</w:t>
      </w:r>
    </w:p>
    <w:p w14:paraId="2D0B2FB2"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Rouville</w:t>
      </w:r>
    </w:p>
    <w:p w14:paraId="21319143" w14:textId="77777777" w:rsidR="003A5A98" w:rsidRPr="00B67933" w:rsidRDefault="003A5A98" w:rsidP="003A5A98">
      <w:pPr>
        <w:pStyle w:val="Paragraphe"/>
        <w:numPr>
          <w:ilvl w:val="0"/>
          <w:numId w:val="0"/>
        </w:numPr>
        <w:spacing w:before="0" w:after="0" w:line="240" w:lineRule="auto"/>
      </w:pPr>
      <w:r w:rsidRPr="00B67933">
        <w:lastRenderedPageBreak/>
        <w:t xml:space="preserve">Caisse </w:t>
      </w:r>
      <w:r>
        <w:t xml:space="preserve">Desjardins de </w:t>
      </w:r>
      <w:r w:rsidRPr="00B67933">
        <w:t>Beloeil-Mont-Saint-Hilaire</w:t>
      </w:r>
    </w:p>
    <w:p w14:paraId="059E89C4"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Haut-Richelieu</w:t>
      </w:r>
    </w:p>
    <w:p w14:paraId="2E17D030" w14:textId="77777777" w:rsidR="003A5A98" w:rsidRPr="00B67933" w:rsidRDefault="003A5A98" w:rsidP="003A5A98">
      <w:pPr>
        <w:pStyle w:val="Paragraphe"/>
        <w:numPr>
          <w:ilvl w:val="0"/>
          <w:numId w:val="0"/>
        </w:numPr>
        <w:spacing w:before="0" w:after="0" w:line="240" w:lineRule="auto"/>
      </w:pPr>
      <w:r w:rsidRPr="00513740">
        <w:t>Caisse</w:t>
      </w:r>
      <w:r w:rsidRPr="00B67933">
        <w:t xml:space="preserve"> </w:t>
      </w:r>
      <w:r>
        <w:t xml:space="preserve">Desjardins de </w:t>
      </w:r>
      <w:r w:rsidRPr="00B67933">
        <w:t xml:space="preserve">Joliette </w:t>
      </w:r>
      <w:r>
        <w:t>e</w:t>
      </w:r>
      <w:r w:rsidRPr="00B67933">
        <w:t>t</w:t>
      </w:r>
      <w:r>
        <w:t xml:space="preserve"> du </w:t>
      </w:r>
      <w:r w:rsidRPr="00B67933">
        <w:t>Centre</w:t>
      </w:r>
      <w:r>
        <w:t xml:space="preserve"> de </w:t>
      </w:r>
      <w:r w:rsidRPr="00B67933">
        <w:t>Lanaudière</w:t>
      </w:r>
    </w:p>
    <w:p w14:paraId="629A8CD0"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Saint-Roch-</w:t>
      </w:r>
      <w:r>
        <w:t>de</w:t>
      </w:r>
      <w:r w:rsidRPr="00B67933">
        <w:t>-L’</w:t>
      </w:r>
      <w:r>
        <w:t>A</w:t>
      </w:r>
      <w:r w:rsidRPr="00B67933">
        <w:t>chigan</w:t>
      </w:r>
    </w:p>
    <w:p w14:paraId="5E18FD6C"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Nouvelle-Acadie</w:t>
      </w:r>
    </w:p>
    <w:p w14:paraId="7FBF0DB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 xml:space="preserve">Montcalm </w:t>
      </w:r>
      <w:r>
        <w:t>e</w:t>
      </w:r>
      <w:r w:rsidRPr="00B67933">
        <w:t>t</w:t>
      </w:r>
      <w:r>
        <w:t xml:space="preserve"> de l</w:t>
      </w:r>
      <w:r w:rsidRPr="00B67933">
        <w:t>a Ouareau</w:t>
      </w:r>
    </w:p>
    <w:p w14:paraId="5F7E44DA"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Le Manoir</w:t>
      </w:r>
    </w:p>
    <w:p w14:paraId="0A244686"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D’autray</w:t>
      </w:r>
    </w:p>
    <w:p w14:paraId="2CB248AA"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Nord</w:t>
      </w:r>
      <w:r>
        <w:t xml:space="preserve"> de </w:t>
      </w:r>
      <w:r w:rsidRPr="00B67933">
        <w:t>Lanaudière</w:t>
      </w:r>
    </w:p>
    <w:p w14:paraId="4E9A6E42"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Terrebonne</w:t>
      </w:r>
    </w:p>
    <w:p w14:paraId="1584C547"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Pierre-Le Gar</w:t>
      </w:r>
      <w:r>
        <w:t>de</w:t>
      </w:r>
      <w:r w:rsidRPr="00B67933">
        <w:t>ur</w:t>
      </w:r>
    </w:p>
    <w:p w14:paraId="2190EC7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Moissons-</w:t>
      </w:r>
      <w:r>
        <w:t>e</w:t>
      </w:r>
      <w:r w:rsidRPr="00B67933">
        <w:t>t-</w:t>
      </w:r>
      <w:r>
        <w:t>de</w:t>
      </w:r>
      <w:r w:rsidRPr="00B67933">
        <w:t>-Roussillon</w:t>
      </w:r>
    </w:p>
    <w:p w14:paraId="4FCC697F"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Salaberry-</w:t>
      </w:r>
      <w:r>
        <w:t>de</w:t>
      </w:r>
      <w:r w:rsidRPr="00B67933">
        <w:t>-Valleyfield</w:t>
      </w:r>
    </w:p>
    <w:p w14:paraId="6FF805ED"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Beauharnois</w:t>
      </w:r>
    </w:p>
    <w:p w14:paraId="1908384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Mont-Saint-Bruno</w:t>
      </w:r>
    </w:p>
    <w:p w14:paraId="6B64CEB1"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Patriotes</w:t>
      </w:r>
    </w:p>
    <w:p w14:paraId="155A4BA6"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w:t>
      </w:r>
      <w:r>
        <w:t>O</w:t>
      </w:r>
      <w:r w:rsidRPr="00B67933">
        <w:t>uest</w:t>
      </w:r>
      <w:r>
        <w:t xml:space="preserve"> de l</w:t>
      </w:r>
      <w:r w:rsidRPr="00B67933">
        <w:t>a Montérégie</w:t>
      </w:r>
    </w:p>
    <w:p w14:paraId="4414CFC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Saint-Hubert</w:t>
      </w:r>
    </w:p>
    <w:p w14:paraId="6D741980"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Châteauguay</w:t>
      </w:r>
    </w:p>
    <w:p w14:paraId="1A03284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Vieux-Longueuil</w:t>
      </w:r>
    </w:p>
    <w:p w14:paraId="062D1179" w14:textId="77777777" w:rsidR="003A5A98" w:rsidRPr="00B67933" w:rsidRDefault="003A5A98" w:rsidP="003A5A98">
      <w:pPr>
        <w:pStyle w:val="Paragraphe"/>
        <w:numPr>
          <w:ilvl w:val="0"/>
          <w:numId w:val="0"/>
        </w:numPr>
        <w:spacing w:before="0" w:after="0" w:line="240" w:lineRule="auto"/>
      </w:pPr>
      <w:r w:rsidRPr="00B67933">
        <w:t>Caisse Populaire</w:t>
      </w:r>
      <w:r>
        <w:t xml:space="preserve"> de </w:t>
      </w:r>
      <w:r w:rsidRPr="00B67933">
        <w:t>La Prairie</w:t>
      </w:r>
    </w:p>
    <w:p w14:paraId="0A04151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Seigneuries</w:t>
      </w:r>
      <w:r>
        <w:t xml:space="preserve"> de l</w:t>
      </w:r>
      <w:r w:rsidRPr="00B67933">
        <w:t xml:space="preserve">a </w:t>
      </w:r>
      <w:r>
        <w:t>f</w:t>
      </w:r>
      <w:r w:rsidRPr="00B67933">
        <w:t>rontière</w:t>
      </w:r>
    </w:p>
    <w:p w14:paraId="59A9EDCB"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Haut-Saint-Laurent</w:t>
      </w:r>
    </w:p>
    <w:p w14:paraId="671467CD"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Charles-Lemoyne</w:t>
      </w:r>
    </w:p>
    <w:p w14:paraId="14DF024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Brossard</w:t>
      </w:r>
    </w:p>
    <w:p w14:paraId="4A666F33"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Pierre-Boucher</w:t>
      </w:r>
    </w:p>
    <w:p w14:paraId="56C4CD78" w14:textId="77777777" w:rsidR="003A5A98" w:rsidRPr="00B67933" w:rsidRDefault="003A5A98" w:rsidP="003A5A98">
      <w:pPr>
        <w:pStyle w:val="Paragraphe"/>
        <w:numPr>
          <w:ilvl w:val="0"/>
          <w:numId w:val="0"/>
        </w:numPr>
        <w:spacing w:before="0" w:after="0" w:line="240" w:lineRule="auto"/>
      </w:pPr>
      <w:r w:rsidRPr="00B67933">
        <w:t>Caisse Populaire Kahnawake</w:t>
      </w:r>
    </w:p>
    <w:p w14:paraId="570B5B8B"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Vallée</w:t>
      </w:r>
      <w:r>
        <w:t xml:space="preserve"> des </w:t>
      </w:r>
      <w:r w:rsidRPr="00B67933">
        <w:t>Pays-</w:t>
      </w:r>
      <w:r>
        <w:t>d</w:t>
      </w:r>
      <w:r w:rsidRPr="00B67933">
        <w:t>’en-Haut</w:t>
      </w:r>
    </w:p>
    <w:p w14:paraId="69C3D35D"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Thérèse-</w:t>
      </w:r>
      <w:r>
        <w:t>de</w:t>
      </w:r>
      <w:r w:rsidRPr="00B67933">
        <w:t xml:space="preserve"> Blainville</w:t>
      </w:r>
    </w:p>
    <w:p w14:paraId="189077E5"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La Rivière-</w:t>
      </w:r>
      <w:r>
        <w:t>d</w:t>
      </w:r>
      <w:r w:rsidRPr="00B67933">
        <w:t>u-Nord</w:t>
      </w:r>
    </w:p>
    <w:p w14:paraId="79544F40"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Mont-Tremblant</w:t>
      </w:r>
    </w:p>
    <w:p w14:paraId="327139E5"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Coeur</w:t>
      </w:r>
      <w:r>
        <w:t xml:space="preserve"> des </w:t>
      </w:r>
      <w:r w:rsidRPr="00B67933">
        <w:t>Hautes-Laurenti</w:t>
      </w:r>
      <w:r>
        <w:t>de</w:t>
      </w:r>
      <w:r w:rsidRPr="00B67933">
        <w:t>s</w:t>
      </w:r>
    </w:p>
    <w:p w14:paraId="3CC6D28B"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Lac</w:t>
      </w:r>
      <w:r>
        <w:t xml:space="preserve"> des De</w:t>
      </w:r>
      <w:r w:rsidRPr="00B67933">
        <w:t>ux-Montagnes</w:t>
      </w:r>
    </w:p>
    <w:p w14:paraId="3287FBDC"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Sainte-Agathe-</w:t>
      </w:r>
      <w:r>
        <w:t>de</w:t>
      </w:r>
      <w:r w:rsidRPr="00B67933">
        <w:t>s-Monts</w:t>
      </w:r>
    </w:p>
    <w:p w14:paraId="25D5E6D6"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Mirabel</w:t>
      </w:r>
    </w:p>
    <w:p w14:paraId="1A05774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Saint-Martin</w:t>
      </w:r>
      <w:r>
        <w:t xml:space="preserve"> de </w:t>
      </w:r>
      <w:r w:rsidRPr="00B67933">
        <w:t>Laval</w:t>
      </w:r>
    </w:p>
    <w:p w14:paraId="5EBCFECF"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 de l</w:t>
      </w:r>
      <w:r w:rsidRPr="00B67933">
        <w:t>’</w:t>
      </w:r>
      <w:r>
        <w:t>E</w:t>
      </w:r>
      <w:r w:rsidRPr="00B67933">
        <w:t>nvolée</w:t>
      </w:r>
    </w:p>
    <w:p w14:paraId="13883141"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w:t>
      </w:r>
      <w:r>
        <w:t>d</w:t>
      </w:r>
      <w:r w:rsidRPr="00B67933">
        <w:t>’</w:t>
      </w:r>
      <w:r>
        <w:t>A</w:t>
      </w:r>
      <w:r w:rsidRPr="00B67933">
        <w:t>rgenteuil</w:t>
      </w:r>
    </w:p>
    <w:p w14:paraId="6AD64D39"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Rouge</w:t>
      </w:r>
    </w:p>
    <w:p w14:paraId="3A5D6FE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Nord</w:t>
      </w:r>
      <w:r>
        <w:t xml:space="preserve"> de </w:t>
      </w:r>
      <w:r w:rsidRPr="00B67933">
        <w:t>Laval</w:t>
      </w:r>
    </w:p>
    <w:p w14:paraId="2D9AD5D9"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w:t>
      </w:r>
      <w:r>
        <w:t>O</w:t>
      </w:r>
      <w:r w:rsidRPr="00B67933">
        <w:t>uest</w:t>
      </w:r>
      <w:r>
        <w:t xml:space="preserve"> de </w:t>
      </w:r>
      <w:r w:rsidRPr="00B67933">
        <w:t>Laval</w:t>
      </w:r>
    </w:p>
    <w:p w14:paraId="280AB30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Chome</w:t>
      </w:r>
      <w:r>
        <w:t>de</w:t>
      </w:r>
      <w:r w:rsidRPr="00B67933">
        <w:t>y</w:t>
      </w:r>
    </w:p>
    <w:p w14:paraId="3D82310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 xml:space="preserve">Centre </w:t>
      </w:r>
      <w:r>
        <w:t>e</w:t>
      </w:r>
      <w:r w:rsidRPr="00B67933">
        <w:t>t</w:t>
      </w:r>
      <w:r>
        <w:t xml:space="preserve"> de l</w:t>
      </w:r>
      <w:r w:rsidRPr="00B67933">
        <w:t>’</w:t>
      </w:r>
      <w:r>
        <w:t>E</w:t>
      </w:r>
      <w:r w:rsidRPr="00B67933">
        <w:t>st</w:t>
      </w:r>
      <w:r>
        <w:t xml:space="preserve"> de </w:t>
      </w:r>
      <w:r w:rsidRPr="00B67933">
        <w:t>Laval</w:t>
      </w:r>
    </w:p>
    <w:p w14:paraId="469F1F66" w14:textId="77777777" w:rsidR="003A5A98" w:rsidRPr="00B67933" w:rsidRDefault="003A5A98" w:rsidP="003A5A98">
      <w:pPr>
        <w:pStyle w:val="Paragraphe"/>
        <w:numPr>
          <w:ilvl w:val="0"/>
          <w:numId w:val="0"/>
        </w:numPr>
        <w:spacing w:before="0" w:after="0" w:line="240" w:lineRule="auto"/>
      </w:pPr>
      <w:r w:rsidRPr="00B67933">
        <w:lastRenderedPageBreak/>
        <w:t xml:space="preserve">Caisse </w:t>
      </w:r>
      <w:r>
        <w:t xml:space="preserve">Desjardins de </w:t>
      </w:r>
      <w:r w:rsidRPr="00B67933">
        <w:t>Saint-Eustache</w:t>
      </w:r>
      <w:r>
        <w:t> </w:t>
      </w:r>
      <w:r w:rsidRPr="00B67933">
        <w:t>-</w:t>
      </w:r>
      <w:r>
        <w:t> De</w:t>
      </w:r>
      <w:r w:rsidRPr="00B67933">
        <w:t>ux-Montagnes</w:t>
      </w:r>
    </w:p>
    <w:p w14:paraId="618467B1"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Sud-Ouest</w:t>
      </w:r>
      <w:r>
        <w:t xml:space="preserve"> de </w:t>
      </w:r>
      <w:r w:rsidRPr="00B67933">
        <w:t>Montréal</w:t>
      </w:r>
    </w:p>
    <w:p w14:paraId="2F8AD0C3" w14:textId="77777777" w:rsidR="003A5A98" w:rsidRPr="00B67933" w:rsidRDefault="003A5A98" w:rsidP="003A5A98">
      <w:pPr>
        <w:pStyle w:val="Paragraphe"/>
        <w:numPr>
          <w:ilvl w:val="0"/>
          <w:numId w:val="0"/>
        </w:numPr>
        <w:spacing w:before="0" w:after="0" w:line="240" w:lineRule="auto"/>
      </w:pPr>
      <w:r w:rsidRPr="00862F0A">
        <w:t>Caisse</w:t>
      </w:r>
      <w:r w:rsidRPr="00B67933">
        <w:t xml:space="preserve"> </w:t>
      </w:r>
      <w:r>
        <w:t xml:space="preserve">Desjardins du </w:t>
      </w:r>
      <w:r w:rsidRPr="00B67933">
        <w:t>Quartier-Latin</w:t>
      </w:r>
      <w:r>
        <w:t xml:space="preserve"> de </w:t>
      </w:r>
      <w:r w:rsidRPr="00B67933">
        <w:t>Montréal</w:t>
      </w:r>
    </w:p>
    <w:p w14:paraId="7B778C0C"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Centre-Nord</w:t>
      </w:r>
      <w:r>
        <w:t xml:space="preserve"> de </w:t>
      </w:r>
      <w:r w:rsidRPr="00B67933">
        <w:t>Montréal</w:t>
      </w:r>
    </w:p>
    <w:p w14:paraId="3444A5F1"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Plateau-Mont-Royal</w:t>
      </w:r>
    </w:p>
    <w:p w14:paraId="489ED28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Bor</w:t>
      </w:r>
      <w:r>
        <w:t>de</w:t>
      </w:r>
      <w:r w:rsidRPr="00B67933">
        <w:t>aux</w:t>
      </w:r>
      <w:r>
        <w:t>-</w:t>
      </w:r>
      <w:r w:rsidRPr="00B67933">
        <w:t>Cartierville</w:t>
      </w:r>
      <w:r>
        <w:t>-</w:t>
      </w:r>
      <w:r w:rsidRPr="00B67933">
        <w:t>Saint-Laurent</w:t>
      </w:r>
    </w:p>
    <w:p w14:paraId="0FFEBBC4"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Versants</w:t>
      </w:r>
      <w:r>
        <w:t xml:space="preserve"> du </w:t>
      </w:r>
      <w:r w:rsidRPr="00B67933">
        <w:t>Mont Royal</w:t>
      </w:r>
    </w:p>
    <w:p w14:paraId="3A760F51"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Notre-Dame-</w:t>
      </w:r>
      <w:r>
        <w:t>de</w:t>
      </w:r>
      <w:r w:rsidRPr="00B67933">
        <w:t>-Grâce</w:t>
      </w:r>
    </w:p>
    <w:p w14:paraId="5E366A5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L’île-</w:t>
      </w:r>
      <w:r>
        <w:t>de</w:t>
      </w:r>
      <w:r w:rsidRPr="00B67933">
        <w:t>s-</w:t>
      </w:r>
      <w:r>
        <w:t>Sœurs - </w:t>
      </w:r>
      <w:r w:rsidRPr="00B67933">
        <w:t>Verdun</w:t>
      </w:r>
    </w:p>
    <w:p w14:paraId="689A9C9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Lachine</w:t>
      </w:r>
    </w:p>
    <w:p w14:paraId="0E7638E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Vaudreuil-Soulanges</w:t>
      </w:r>
    </w:p>
    <w:p w14:paraId="6871CCE8"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w:t>
      </w:r>
      <w:r>
        <w:t>Ouesat</w:t>
      </w:r>
      <w:r w:rsidRPr="00B67933">
        <w:t>-</w:t>
      </w:r>
      <w:r>
        <w:t>de</w:t>
      </w:r>
      <w:r w:rsidRPr="00B67933">
        <w:t>-L’</w:t>
      </w:r>
      <w:r>
        <w:t>Î</w:t>
      </w:r>
      <w:r w:rsidRPr="00B67933">
        <w:t>le</w:t>
      </w:r>
    </w:p>
    <w:p w14:paraId="70CEDC0F"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Lasalle</w:t>
      </w:r>
    </w:p>
    <w:p w14:paraId="4ADD2E5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 xml:space="preserve">Complexe </w:t>
      </w:r>
      <w:r>
        <w:t>Desjardins</w:t>
      </w:r>
    </w:p>
    <w:p w14:paraId="2247F2C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Rosemont-La-Petite-Patrie</w:t>
      </w:r>
    </w:p>
    <w:p w14:paraId="3D38E1E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Mercier-Est-Anjou</w:t>
      </w:r>
    </w:p>
    <w:p w14:paraId="4A403F0D"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Pointe-</w:t>
      </w:r>
      <w:r>
        <w:t>a</w:t>
      </w:r>
      <w:r w:rsidRPr="00B67933">
        <w:t>ux-Trembles</w:t>
      </w:r>
    </w:p>
    <w:p w14:paraId="1DBFBC8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Centre-Est</w:t>
      </w:r>
      <w:r>
        <w:t xml:space="preserve"> de </w:t>
      </w:r>
      <w:r w:rsidRPr="00B67933">
        <w:t>Montréal</w:t>
      </w:r>
    </w:p>
    <w:p w14:paraId="5FB0429C"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w:t>
      </w:r>
      <w:r>
        <w:t>d</w:t>
      </w:r>
      <w:r w:rsidRPr="00B67933">
        <w:t>’</w:t>
      </w:r>
      <w:r>
        <w:t>H</w:t>
      </w:r>
      <w:r w:rsidRPr="00B67933">
        <w:t>ochelaga-Maisonneuve</w:t>
      </w:r>
    </w:p>
    <w:p w14:paraId="07F84406"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Ukrainienne</w:t>
      </w:r>
      <w:r>
        <w:t xml:space="preserve"> de </w:t>
      </w:r>
      <w:r w:rsidRPr="00B67933">
        <w:t>Montréal</w:t>
      </w:r>
    </w:p>
    <w:p w14:paraId="5A565C7D"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Sault-</w:t>
      </w:r>
      <w:r>
        <w:t>a</w:t>
      </w:r>
      <w:r w:rsidRPr="00B67933">
        <w:t>u-Récollet-Montréal-Nord</w:t>
      </w:r>
    </w:p>
    <w:p w14:paraId="3E271E1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Rivières-</w:t>
      </w:r>
      <w:r>
        <w:t>de</w:t>
      </w:r>
      <w:r w:rsidRPr="00B67933">
        <w:t>s-Prairies</w:t>
      </w:r>
    </w:p>
    <w:p w14:paraId="7DBA7421"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Canadienne Italienne</w:t>
      </w:r>
    </w:p>
    <w:p w14:paraId="7506080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Hull-Aylmer</w:t>
      </w:r>
    </w:p>
    <w:p w14:paraId="036EE012"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Collines-</w:t>
      </w:r>
      <w:r>
        <w:t>de-l</w:t>
      </w:r>
      <w:r w:rsidRPr="00B67933">
        <w:t>'</w:t>
      </w:r>
      <w:r>
        <w:t>O</w:t>
      </w:r>
      <w:r w:rsidRPr="00B67933">
        <w:t>utaouais</w:t>
      </w:r>
    </w:p>
    <w:p w14:paraId="4F96B8D4" w14:textId="77777777" w:rsidR="003A5A98" w:rsidRPr="00B67933" w:rsidRDefault="003A5A98" w:rsidP="003A5A98">
      <w:pPr>
        <w:pStyle w:val="Paragraphe"/>
        <w:numPr>
          <w:ilvl w:val="0"/>
          <w:numId w:val="0"/>
        </w:numPr>
        <w:spacing w:before="0" w:after="0" w:line="240" w:lineRule="auto"/>
      </w:pPr>
      <w:r w:rsidRPr="00B67933">
        <w:t xml:space="preserve">Caisse Populaire </w:t>
      </w:r>
      <w:r>
        <w:t xml:space="preserve">Desjardins de </w:t>
      </w:r>
      <w:r w:rsidRPr="00B67933">
        <w:t>Gatineau</w:t>
      </w:r>
    </w:p>
    <w:p w14:paraId="643D6FE2"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w:t>
      </w:r>
      <w:r w:rsidRPr="00B67933">
        <w:t xml:space="preserve"> Gracefield</w:t>
      </w:r>
    </w:p>
    <w:p w14:paraId="23FA2D4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Rivières</w:t>
      </w:r>
      <w:r>
        <w:t xml:space="preserve"> de </w:t>
      </w:r>
      <w:r w:rsidRPr="00B67933">
        <w:t>Pontiac</w:t>
      </w:r>
    </w:p>
    <w:p w14:paraId="4FA715FE" w14:textId="77777777" w:rsidR="003A5A98" w:rsidRPr="00B67933" w:rsidRDefault="003A5A98" w:rsidP="003A5A98">
      <w:pPr>
        <w:pStyle w:val="Paragraphe"/>
        <w:numPr>
          <w:ilvl w:val="0"/>
          <w:numId w:val="0"/>
        </w:numPr>
        <w:spacing w:before="0" w:after="0" w:line="240" w:lineRule="auto"/>
      </w:pPr>
      <w:r w:rsidRPr="00B67933">
        <w:t xml:space="preserve">Caisse Populaire </w:t>
      </w:r>
      <w:r>
        <w:t>Desjardins de l</w:t>
      </w:r>
      <w:r w:rsidRPr="00B67933">
        <w:t>a Haute-Gatineau</w:t>
      </w:r>
    </w:p>
    <w:p w14:paraId="58038305"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Coeur-</w:t>
      </w:r>
      <w:r>
        <w:t>de</w:t>
      </w:r>
      <w:r w:rsidRPr="00B67933">
        <w:t>s-</w:t>
      </w:r>
      <w:r>
        <w:t>v</w:t>
      </w:r>
      <w:r w:rsidRPr="00B67933">
        <w:t>allées</w:t>
      </w:r>
    </w:p>
    <w:p w14:paraId="19C6372D"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Petite-Nation</w:t>
      </w:r>
    </w:p>
    <w:p w14:paraId="643F8373"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Témiscamingue</w:t>
      </w:r>
    </w:p>
    <w:p w14:paraId="73A2C544"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Rouyn-Noranda</w:t>
      </w:r>
    </w:p>
    <w:p w14:paraId="4676B086"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L'</w:t>
      </w:r>
      <w:r>
        <w:t>E</w:t>
      </w:r>
      <w:r w:rsidRPr="00B67933">
        <w:t>st</w:t>
      </w:r>
      <w:r>
        <w:t xml:space="preserve"> de </w:t>
      </w:r>
      <w:r w:rsidRPr="00B67933">
        <w:t>L’abitibi</w:t>
      </w:r>
    </w:p>
    <w:p w14:paraId="525ED108"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w:t>
      </w:r>
      <w:r>
        <w:t>A</w:t>
      </w:r>
      <w:r w:rsidRPr="00B67933">
        <w:t>bitibi-Ouest</w:t>
      </w:r>
    </w:p>
    <w:p w14:paraId="1A85FD45"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w:t>
      </w:r>
      <w:r>
        <w:t>d</w:t>
      </w:r>
      <w:r w:rsidRPr="00B67933">
        <w:t>'</w:t>
      </w:r>
      <w:r>
        <w:t>A</w:t>
      </w:r>
      <w:r w:rsidRPr="00B67933">
        <w:t>mos</w:t>
      </w:r>
    </w:p>
    <w:p w14:paraId="2151FFFC"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 </w:t>
      </w:r>
      <w:r w:rsidRPr="00B67933">
        <w:t>Chibougamau</w:t>
      </w:r>
    </w:p>
    <w:p w14:paraId="61D617B3"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Eenou Eeyou</w:t>
      </w:r>
    </w:p>
    <w:p w14:paraId="6D580DDC"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 xml:space="preserve">Réseau </w:t>
      </w:r>
      <w:r>
        <w:t>m</w:t>
      </w:r>
      <w:r w:rsidRPr="00B67933">
        <w:t>unicipal (Montréal, Longueuil, Repentigny)</w:t>
      </w:r>
    </w:p>
    <w:p w14:paraId="661896F9"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Transports</w:t>
      </w:r>
    </w:p>
    <w:p w14:paraId="5864B795"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 xml:space="preserve">Policiers </w:t>
      </w:r>
      <w:r>
        <w:t>e</w:t>
      </w:r>
      <w:r w:rsidRPr="00B67933">
        <w:t>t Policières</w:t>
      </w:r>
    </w:p>
    <w:p w14:paraId="2AE3A2E6"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Hydro</w:t>
      </w:r>
    </w:p>
    <w:p w14:paraId="79ED2E3D" w14:textId="77777777" w:rsidR="003A5A98" w:rsidRPr="00B67933" w:rsidRDefault="003A5A98" w:rsidP="003A5A98">
      <w:pPr>
        <w:pStyle w:val="Paragraphe"/>
        <w:numPr>
          <w:ilvl w:val="0"/>
          <w:numId w:val="0"/>
        </w:numPr>
        <w:spacing w:before="0" w:after="0" w:line="240" w:lineRule="auto"/>
      </w:pPr>
      <w:r w:rsidRPr="00B67933">
        <w:t xml:space="preserve">Caisse D'économie </w:t>
      </w:r>
      <w:r>
        <w:t>Desjardins du p</w:t>
      </w:r>
      <w:r w:rsidRPr="00B67933">
        <w:t xml:space="preserve">ersonnel </w:t>
      </w:r>
      <w:r>
        <w:t>m</w:t>
      </w:r>
      <w:r w:rsidRPr="00B67933">
        <w:t>unicipal (Québec)</w:t>
      </w:r>
    </w:p>
    <w:p w14:paraId="1B13CE74" w14:textId="77777777" w:rsidR="003A5A98" w:rsidRPr="00B67933" w:rsidRDefault="003A5A98" w:rsidP="003A5A98">
      <w:pPr>
        <w:pStyle w:val="Paragraphe"/>
        <w:numPr>
          <w:ilvl w:val="0"/>
          <w:numId w:val="0"/>
        </w:numPr>
        <w:spacing w:before="0" w:after="0" w:line="240" w:lineRule="auto"/>
      </w:pPr>
      <w:r w:rsidRPr="00B67933">
        <w:lastRenderedPageBreak/>
        <w:t xml:space="preserve">Caisse </w:t>
      </w:r>
      <w:r>
        <w:t>Desjardins des t</w:t>
      </w:r>
      <w:r w:rsidRPr="00B67933">
        <w:t>echnologies</w:t>
      </w:r>
      <w:r>
        <w:t xml:space="preserve"> de l</w:t>
      </w:r>
      <w:r w:rsidRPr="00B67933">
        <w:t>'information</w:t>
      </w:r>
    </w:p>
    <w:p w14:paraId="61E3E805" w14:textId="77777777" w:rsidR="003A5A98" w:rsidRPr="00B67933" w:rsidRDefault="003A5A98" w:rsidP="003A5A98">
      <w:pPr>
        <w:pStyle w:val="Paragraphe"/>
        <w:numPr>
          <w:ilvl w:val="0"/>
          <w:numId w:val="0"/>
        </w:numPr>
        <w:spacing w:before="0" w:after="0" w:line="240" w:lineRule="auto"/>
      </w:pPr>
      <w:r w:rsidRPr="00B67933">
        <w:t xml:space="preserve">Caisse </w:t>
      </w:r>
      <w:r>
        <w:t>d</w:t>
      </w:r>
      <w:r w:rsidRPr="00B67933">
        <w:t xml:space="preserve">'économie </w:t>
      </w:r>
      <w:r>
        <w:t>Desjardins de l</w:t>
      </w:r>
      <w:r w:rsidRPr="00B67933">
        <w:t xml:space="preserve">a </w:t>
      </w:r>
      <w:r>
        <w:t>M</w:t>
      </w:r>
      <w:r w:rsidRPr="00B67933">
        <w:t xml:space="preserve">étallurgie </w:t>
      </w:r>
      <w:r>
        <w:t>e</w:t>
      </w:r>
      <w:r w:rsidRPr="00B67933">
        <w:t>t</w:t>
      </w:r>
      <w:r>
        <w:t xml:space="preserve"> des P</w:t>
      </w:r>
      <w:r w:rsidRPr="00B67933">
        <w:t xml:space="preserve">roduits </w:t>
      </w:r>
      <w:r>
        <w:t>f</w:t>
      </w:r>
      <w:r w:rsidRPr="00B67933">
        <w:t>orestiers (Saguenay-Lac-Saint-Jean)</w:t>
      </w:r>
    </w:p>
    <w:p w14:paraId="7F48E446" w14:textId="77777777" w:rsidR="003A5A98" w:rsidRPr="00B67933" w:rsidRDefault="003A5A98" w:rsidP="003A5A98">
      <w:pPr>
        <w:pStyle w:val="Paragraphe"/>
        <w:numPr>
          <w:ilvl w:val="0"/>
          <w:numId w:val="0"/>
        </w:numPr>
        <w:spacing w:before="0" w:after="0" w:line="240" w:lineRule="auto"/>
      </w:pPr>
      <w:r w:rsidRPr="00B67933">
        <w:t xml:space="preserve">Caisse </w:t>
      </w:r>
      <w:r>
        <w:t>Desjardins des R</w:t>
      </w:r>
      <w:r w:rsidRPr="00B67933">
        <w:t xml:space="preserve">essources </w:t>
      </w:r>
      <w:r>
        <w:t>n</w:t>
      </w:r>
      <w:r w:rsidRPr="00B67933">
        <w:t>aturelles</w:t>
      </w:r>
    </w:p>
    <w:p w14:paraId="2A6A572E" w14:textId="77777777" w:rsidR="003A5A98" w:rsidRPr="00B67933" w:rsidRDefault="003A5A98" w:rsidP="003A5A98">
      <w:pPr>
        <w:pStyle w:val="Paragraphe"/>
        <w:numPr>
          <w:ilvl w:val="0"/>
          <w:numId w:val="0"/>
        </w:numPr>
        <w:spacing w:before="0" w:after="0" w:line="240" w:lineRule="auto"/>
      </w:pPr>
      <w:r w:rsidRPr="00B67933">
        <w:t xml:space="preserve">Caisse </w:t>
      </w:r>
      <w:r>
        <w:t>Desjardins du s</w:t>
      </w:r>
      <w:r w:rsidRPr="00B67933">
        <w:t xml:space="preserve">ecteur </w:t>
      </w:r>
      <w:r>
        <w:t>p</w:t>
      </w:r>
      <w:r w:rsidRPr="00B67933">
        <w:t>ublic</w:t>
      </w:r>
      <w:r>
        <w:t xml:space="preserve"> de l</w:t>
      </w:r>
      <w:r w:rsidRPr="00B67933">
        <w:t>'</w:t>
      </w:r>
      <w:r>
        <w:t>E</w:t>
      </w:r>
      <w:r w:rsidRPr="00B67933">
        <w:t>strie</w:t>
      </w:r>
    </w:p>
    <w:p w14:paraId="4C9F3C0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 xml:space="preserve">Travailleuses </w:t>
      </w:r>
      <w:r>
        <w:t>e</w:t>
      </w:r>
      <w:r w:rsidRPr="00B67933">
        <w:t xml:space="preserve">t Travailleurs </w:t>
      </w:r>
      <w:r>
        <w:t>u</w:t>
      </w:r>
      <w:r w:rsidRPr="00B67933">
        <w:t>nis</w:t>
      </w:r>
    </w:p>
    <w:p w14:paraId="13CEBADA"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des </w:t>
      </w:r>
      <w:r w:rsidRPr="00B67933">
        <w:t>Militaires</w:t>
      </w:r>
    </w:p>
    <w:p w14:paraId="7CE2FCA8" w14:textId="77777777" w:rsidR="003A5A98" w:rsidRPr="00B67933" w:rsidRDefault="003A5A98" w:rsidP="003A5A98">
      <w:pPr>
        <w:pStyle w:val="Paragraphe"/>
        <w:numPr>
          <w:ilvl w:val="0"/>
          <w:numId w:val="0"/>
        </w:numPr>
        <w:spacing w:before="0" w:after="0" w:line="240" w:lineRule="auto"/>
      </w:pPr>
      <w:r w:rsidRPr="00B67933">
        <w:t xml:space="preserve">Caisse </w:t>
      </w:r>
      <w:r>
        <w:t>Desjardins</w:t>
      </w:r>
      <w:r w:rsidRPr="00B67933">
        <w:t xml:space="preserve"> Portugaise</w:t>
      </w:r>
    </w:p>
    <w:p w14:paraId="2B03B377"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Chaînon</w:t>
      </w:r>
    </w:p>
    <w:p w14:paraId="4808AE94"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w:t>
      </w:r>
      <w:r>
        <w:t>É</w:t>
      </w:r>
      <w:r w:rsidRPr="00B67933">
        <w:t>ducation</w:t>
      </w:r>
    </w:p>
    <w:p w14:paraId="101E2F26" w14:textId="77777777" w:rsidR="003A5A98" w:rsidRPr="00B67933" w:rsidRDefault="003A5A98" w:rsidP="003A5A98">
      <w:pPr>
        <w:pStyle w:val="Paragraphe"/>
        <w:numPr>
          <w:ilvl w:val="0"/>
          <w:numId w:val="0"/>
        </w:numPr>
        <w:spacing w:before="0" w:after="0" w:line="240" w:lineRule="auto"/>
      </w:pPr>
      <w:r w:rsidRPr="00B67933">
        <w:t xml:space="preserve">Caisse </w:t>
      </w:r>
      <w:r>
        <w:t>d</w:t>
      </w:r>
      <w:r w:rsidRPr="00B67933">
        <w:t>'économie</w:t>
      </w:r>
      <w:r>
        <w:t xml:space="preserve"> des </w:t>
      </w:r>
      <w:r w:rsidRPr="00B67933">
        <w:t>Lituaniens</w:t>
      </w:r>
      <w:r>
        <w:t xml:space="preserve"> de </w:t>
      </w:r>
      <w:r w:rsidRPr="00B67933">
        <w:t xml:space="preserve">Montréal </w:t>
      </w:r>
      <w:r>
        <w:t>LITAS</w:t>
      </w:r>
    </w:p>
    <w:p w14:paraId="71036DF0" w14:textId="77777777" w:rsidR="003A5A98" w:rsidRPr="00B67933" w:rsidRDefault="003A5A98" w:rsidP="003A5A98">
      <w:pPr>
        <w:pStyle w:val="Paragraphe"/>
        <w:numPr>
          <w:ilvl w:val="0"/>
          <w:numId w:val="0"/>
        </w:numPr>
        <w:spacing w:before="0" w:after="0" w:line="240" w:lineRule="auto"/>
      </w:pPr>
      <w:r w:rsidRPr="00B67933">
        <w:t xml:space="preserve">Caisse </w:t>
      </w:r>
      <w:r>
        <w:t>d</w:t>
      </w:r>
      <w:r w:rsidRPr="00B67933">
        <w:t xml:space="preserve">'économie </w:t>
      </w:r>
      <w:r>
        <w:t xml:space="preserve">Desjardins des </w:t>
      </w:r>
      <w:r w:rsidRPr="00B67933">
        <w:t xml:space="preserve">Employés </w:t>
      </w:r>
      <w:r>
        <w:t>e</w:t>
      </w:r>
      <w:r w:rsidRPr="00B67933">
        <w:t>n Télécommunication</w:t>
      </w:r>
    </w:p>
    <w:p w14:paraId="2B9D85AD" w14:textId="77777777" w:rsidR="003A5A98" w:rsidRPr="00B67933" w:rsidRDefault="003A5A98" w:rsidP="003A5A98">
      <w:pPr>
        <w:pStyle w:val="Paragraphe"/>
        <w:numPr>
          <w:ilvl w:val="0"/>
          <w:numId w:val="0"/>
        </w:numPr>
        <w:spacing w:before="0" w:after="0" w:line="240" w:lineRule="auto"/>
      </w:pPr>
      <w:r w:rsidRPr="00B67933">
        <w:t xml:space="preserve">Caisse </w:t>
      </w:r>
      <w:r>
        <w:t>Desjardins de l</w:t>
      </w:r>
      <w:r w:rsidRPr="00B67933">
        <w:t>a Culture</w:t>
      </w:r>
    </w:p>
    <w:p w14:paraId="551E107E" w14:textId="77777777" w:rsidR="003A5A98" w:rsidRPr="00B67933" w:rsidRDefault="003A5A98" w:rsidP="003A5A98">
      <w:pPr>
        <w:pStyle w:val="Paragraphe"/>
        <w:numPr>
          <w:ilvl w:val="0"/>
          <w:numId w:val="0"/>
        </w:numPr>
        <w:spacing w:before="0" w:after="0" w:line="240" w:lineRule="auto"/>
      </w:pPr>
      <w:r w:rsidRPr="00B67933">
        <w:t xml:space="preserve">Caisse </w:t>
      </w:r>
      <w:r>
        <w:t xml:space="preserve">Desjardins du </w:t>
      </w:r>
      <w:r w:rsidRPr="00B67933">
        <w:t>Secteur</w:t>
      </w:r>
      <w:r>
        <w:t xml:space="preserve"> de </w:t>
      </w:r>
      <w:r w:rsidRPr="00B67933">
        <w:t>L'enseignement</w:t>
      </w:r>
      <w:r>
        <w:t xml:space="preserve"> des </w:t>
      </w:r>
      <w:r w:rsidRPr="00B67933">
        <w:t>Basses-Laurenti</w:t>
      </w:r>
      <w:r>
        <w:t>de</w:t>
      </w:r>
      <w:r w:rsidRPr="00B67933">
        <w:t>s</w:t>
      </w:r>
    </w:p>
    <w:p w14:paraId="7D6B9905" w14:textId="77777777" w:rsidR="003A5A98" w:rsidRPr="00B67933" w:rsidRDefault="003A5A98" w:rsidP="003A5A98">
      <w:pPr>
        <w:pStyle w:val="Paragraphe"/>
        <w:numPr>
          <w:ilvl w:val="0"/>
          <w:numId w:val="0"/>
        </w:numPr>
        <w:spacing w:before="0" w:after="0" w:line="240" w:lineRule="auto"/>
      </w:pPr>
      <w:r w:rsidRPr="00B67933">
        <w:t xml:space="preserve">Caisse </w:t>
      </w:r>
      <w:r>
        <w:t>d</w:t>
      </w:r>
      <w:r w:rsidRPr="00B67933">
        <w:t xml:space="preserve">'économie </w:t>
      </w:r>
      <w:r>
        <w:t>s</w:t>
      </w:r>
      <w:r w:rsidRPr="00B67933">
        <w:t xml:space="preserve">olidaire </w:t>
      </w:r>
      <w:r>
        <w:t>Desjardins</w:t>
      </w:r>
    </w:p>
    <w:p w14:paraId="23DA608F" w14:textId="77777777" w:rsidR="003A5A98" w:rsidRPr="00B67933" w:rsidRDefault="003A5A98" w:rsidP="003A5A98">
      <w:pPr>
        <w:pStyle w:val="Paragraphe"/>
        <w:numPr>
          <w:ilvl w:val="0"/>
          <w:numId w:val="0"/>
        </w:numPr>
        <w:spacing w:before="0" w:after="0" w:line="240" w:lineRule="auto"/>
      </w:pPr>
      <w:r w:rsidRPr="00B67933">
        <w:t xml:space="preserve">Caisse </w:t>
      </w:r>
      <w:r>
        <w:t>Desjardins des e</w:t>
      </w:r>
      <w:r w:rsidRPr="00B67933">
        <w:t>mployés</w:t>
      </w:r>
      <w:r>
        <w:t xml:space="preserve"> de </w:t>
      </w:r>
      <w:r w:rsidRPr="00B67933">
        <w:t>Ville</w:t>
      </w:r>
      <w:r>
        <w:t xml:space="preserve"> de </w:t>
      </w:r>
      <w:r w:rsidRPr="00B67933">
        <w:t>Laval</w:t>
      </w:r>
    </w:p>
    <w:p w14:paraId="0BB71EA7" w14:textId="77777777" w:rsidR="003A5A98" w:rsidRDefault="003A5A98" w:rsidP="003A5A98">
      <w:pPr>
        <w:pStyle w:val="Paragraphe"/>
        <w:numPr>
          <w:ilvl w:val="0"/>
          <w:numId w:val="0"/>
        </w:numPr>
        <w:spacing w:before="0" w:after="0" w:line="240" w:lineRule="auto"/>
      </w:pPr>
      <w:r>
        <w:t>Caisse Desjardins du Réseau de la santé</w:t>
      </w:r>
    </w:p>
    <w:p w14:paraId="0B1F91D6" w14:textId="77777777" w:rsidR="003A5A98" w:rsidRDefault="003A5A98" w:rsidP="003A5A98"/>
    <w:p w14:paraId="45D1EAA9" w14:textId="0046EB4A" w:rsidR="00B86426" w:rsidRDefault="00B86426">
      <w:pPr>
        <w:spacing w:line="240" w:lineRule="auto"/>
      </w:pPr>
    </w:p>
    <w:sectPr w:rsidR="00B86426" w:rsidSect="00C05650">
      <w:headerReference w:type="even" r:id="rId8"/>
      <w:headerReference w:type="default" r:id="rId9"/>
      <w:footerReference w:type="even" r:id="rId10"/>
      <w:footerReference w:type="default" r:id="rId11"/>
      <w:headerReference w:type="first" r:id="rId12"/>
      <w:footerReference w:type="first" r:id="rId13"/>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7B90" w14:textId="77777777" w:rsidR="008E3CDD" w:rsidRDefault="008E3CDD">
      <w:r>
        <w:separator/>
      </w:r>
    </w:p>
  </w:endnote>
  <w:endnote w:type="continuationSeparator" w:id="0">
    <w:p w14:paraId="7B5D8501" w14:textId="77777777" w:rsidR="008E3CDD" w:rsidRDefault="008E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7F46" w14:textId="77777777" w:rsidR="00203E26" w:rsidRDefault="00203E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E47F" w14:textId="77777777" w:rsidR="00203E26" w:rsidRDefault="00203E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C6CA" w14:textId="77777777" w:rsidR="00203E26" w:rsidRDefault="00203E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9E43" w14:textId="77777777" w:rsidR="008E3CDD" w:rsidRDefault="008E3CDD">
      <w:r>
        <w:separator/>
      </w:r>
    </w:p>
  </w:footnote>
  <w:footnote w:type="continuationSeparator" w:id="0">
    <w:p w14:paraId="3CF2ED47" w14:textId="77777777" w:rsidR="008E3CDD" w:rsidRDefault="008E3CDD">
      <w:r>
        <w:continuationSeparator/>
      </w:r>
    </w:p>
  </w:footnote>
  <w:footnote w:id="1">
    <w:p w14:paraId="77A920F0" w14:textId="20D8EFD9" w:rsidR="00411979" w:rsidRPr="00180615" w:rsidRDefault="00411979" w:rsidP="00411979">
      <w:pPr>
        <w:pStyle w:val="Notedebasdepage"/>
      </w:pPr>
      <w:r>
        <w:rPr>
          <w:rStyle w:val="Appelnotedebasdep"/>
        </w:rPr>
        <w:footnoteRef/>
      </w:r>
      <w:r w:rsidRPr="00180615">
        <w:t xml:space="preserve"> </w:t>
      </w:r>
      <w:r w:rsidRPr="00180615">
        <w:tab/>
      </w:r>
      <w:r w:rsidRPr="00180615">
        <w:rPr>
          <w:i/>
          <w:iCs/>
        </w:rPr>
        <w:t>Haroch c. Toronto-Dominion Bank</w:t>
      </w:r>
      <w:r w:rsidRPr="00180615">
        <w:t>, 2024 QCCS 3848</w:t>
      </w:r>
      <w:r w:rsidR="00B70B08" w:rsidRPr="00180615">
        <w:t xml:space="preserve"> </w:t>
      </w:r>
      <w:r w:rsidR="00180615">
        <w:rPr>
          <w:rFonts w:cs="Arial"/>
        </w:rPr>
        <w:t>[</w:t>
      </w:r>
      <w:r w:rsidR="00B70B08" w:rsidRPr="00180615">
        <w:t>Jugement entrepris</w:t>
      </w:r>
      <w:r w:rsidR="00180615">
        <w:rPr>
          <w:rFonts w:cs="Arial"/>
        </w:rPr>
        <w:t>]</w:t>
      </w:r>
      <w:r w:rsidRPr="00180615">
        <w:t>.</w:t>
      </w:r>
    </w:p>
  </w:footnote>
  <w:footnote w:id="2">
    <w:p w14:paraId="2E618E8D" w14:textId="77777777" w:rsidR="00411979" w:rsidRDefault="00411979" w:rsidP="00411979">
      <w:pPr>
        <w:pStyle w:val="Notedebasdepage"/>
      </w:pPr>
      <w:r>
        <w:rPr>
          <w:rStyle w:val="Appelnotedebasdep"/>
        </w:rPr>
        <w:footnoteRef/>
      </w:r>
      <w:r>
        <w:t xml:space="preserve"> </w:t>
      </w:r>
      <w:r>
        <w:tab/>
        <w:t>Haroch a signé une première convention, en français, le 2 mars 2015 et une convention modifiée, en anglais, le 23 mars 2015. Nous utilisons ici la version française des clauses contractuelles, la seule différence étant que le montant de 15 % dans la clause de « Privilège de remboursement anticipé » est de 57 000 $ dans la version française au lieu de 56 720,58 $ dans la version anglaise.</w:t>
      </w:r>
    </w:p>
  </w:footnote>
  <w:footnote w:id="3">
    <w:p w14:paraId="6FA67855" w14:textId="77777777" w:rsidR="00411979" w:rsidRDefault="00411979" w:rsidP="00411979">
      <w:pPr>
        <w:pStyle w:val="Notedebasdepage"/>
      </w:pPr>
      <w:r>
        <w:rPr>
          <w:rStyle w:val="Appelnotedebasdep"/>
        </w:rPr>
        <w:footnoteRef/>
      </w:r>
      <w:r>
        <w:t xml:space="preserve"> </w:t>
      </w:r>
      <w:r>
        <w:tab/>
        <w:t xml:space="preserve">Cette approximation sera plus élevée que les FRA réels, parce qu’elle n’inclut pas la valeur temporelle de l’argent. </w:t>
      </w:r>
    </w:p>
  </w:footnote>
  <w:footnote w:id="4">
    <w:p w14:paraId="60634F29" w14:textId="77777777" w:rsidR="00411979" w:rsidRDefault="00411979" w:rsidP="00411979">
      <w:pPr>
        <w:pStyle w:val="Notedebasdepage"/>
      </w:pPr>
      <w:r>
        <w:rPr>
          <w:rStyle w:val="Appelnotedebasdep"/>
        </w:rPr>
        <w:footnoteRef/>
      </w:r>
      <w:r>
        <w:t xml:space="preserve"> </w:t>
      </w:r>
      <w:r>
        <w:tab/>
        <w:t>L’expert Bell fait un calcul en utilisant les semaines plutôt que les mois et arrive à 14 398,29 $.</w:t>
      </w:r>
    </w:p>
  </w:footnote>
  <w:footnote w:id="5">
    <w:p w14:paraId="5CE0C284" w14:textId="77777777" w:rsidR="00411979" w:rsidRDefault="00411979" w:rsidP="00411979">
      <w:pPr>
        <w:pStyle w:val="Notedebasdepage"/>
      </w:pPr>
      <w:r>
        <w:rPr>
          <w:rStyle w:val="Appelnotedebasdep"/>
        </w:rPr>
        <w:footnoteRef/>
      </w:r>
      <w:r>
        <w:t xml:space="preserve"> </w:t>
      </w:r>
      <w:r>
        <w:tab/>
      </w:r>
      <w:r w:rsidRPr="00BA1600">
        <w:t xml:space="preserve">L’expert Bell fait </w:t>
      </w:r>
      <w:r>
        <w:t>le</w:t>
      </w:r>
      <w:r w:rsidRPr="00BA1600">
        <w:t xml:space="preserve"> calcul </w:t>
      </w:r>
      <w:r>
        <w:t>simplifié et</w:t>
      </w:r>
      <w:r w:rsidRPr="00BA1600">
        <w:t xml:space="preserve"> arrive à </w:t>
      </w:r>
      <w:r>
        <w:t xml:space="preserve">8 608,06 $, avant de faire les ajustements pour </w:t>
      </w:r>
      <w:r w:rsidRPr="00C42151">
        <w:t xml:space="preserve">la valeur temporelle de l’argent </w:t>
      </w:r>
      <w:r>
        <w:t>qui ont pour effet de réduire le montant à 8 038,75 $.</w:t>
      </w:r>
    </w:p>
  </w:footnote>
  <w:footnote w:id="6">
    <w:p w14:paraId="35932E00" w14:textId="77777777" w:rsidR="00411979" w:rsidRDefault="00411979" w:rsidP="00411979">
      <w:pPr>
        <w:pStyle w:val="Notedebasdepage"/>
      </w:pPr>
      <w:r>
        <w:rPr>
          <w:rStyle w:val="Appelnotedebasdep"/>
        </w:rPr>
        <w:footnoteRef/>
      </w:r>
      <w:r>
        <w:t xml:space="preserve"> </w:t>
      </w:r>
      <w:r>
        <w:tab/>
      </w:r>
      <w:r w:rsidRPr="00B56044">
        <w:t xml:space="preserve">Mathématiquement, si le taux contractuel est le taux affiché A moins l’escompte, </w:t>
      </w:r>
    </w:p>
    <w:p w14:paraId="6A588CFD" w14:textId="77777777" w:rsidR="00411979" w:rsidRDefault="00411979" w:rsidP="00411979">
      <w:pPr>
        <w:pStyle w:val="Notedebasdepage"/>
        <w:ind w:firstLine="360"/>
      </w:pPr>
      <w:r w:rsidRPr="00B56044">
        <w:t>Taux contractuel – (taux affiché B – escompte)</w:t>
      </w:r>
    </w:p>
    <w:p w14:paraId="6225C1B1" w14:textId="77777777" w:rsidR="00411979" w:rsidRDefault="00411979" w:rsidP="00411979">
      <w:pPr>
        <w:pStyle w:val="Notedebasdepage"/>
        <w:ind w:firstLine="360"/>
      </w:pPr>
      <w:r w:rsidRPr="00B56044">
        <w:t xml:space="preserve"> = (taux affiché A – escompte) – (taux affiché B – escompte)</w:t>
      </w:r>
    </w:p>
    <w:p w14:paraId="5D847FD6" w14:textId="77777777" w:rsidR="00411979" w:rsidRDefault="00411979" w:rsidP="00411979">
      <w:pPr>
        <w:pStyle w:val="Notedebasdepage"/>
        <w:ind w:firstLine="360"/>
      </w:pPr>
      <w:r w:rsidRPr="00B56044">
        <w:t xml:space="preserve"> = taux affiché A – taux affiché B.</w:t>
      </w:r>
    </w:p>
  </w:footnote>
  <w:footnote w:id="7">
    <w:p w14:paraId="3F291B18" w14:textId="77777777" w:rsidR="00411979" w:rsidRPr="00004B7F" w:rsidRDefault="00411979" w:rsidP="00411979">
      <w:pPr>
        <w:pStyle w:val="Notedebasdepage"/>
        <w:rPr>
          <w:lang w:val="en-CA"/>
        </w:rPr>
      </w:pPr>
      <w:r>
        <w:rPr>
          <w:rStyle w:val="Appelnotedebasdep"/>
        </w:rPr>
        <w:footnoteRef/>
      </w:r>
      <w:r w:rsidRPr="009B36F1">
        <w:rPr>
          <w:lang w:val="en-CA"/>
        </w:rPr>
        <w:t xml:space="preserve"> </w:t>
      </w:r>
      <w:r w:rsidRPr="009B36F1">
        <w:rPr>
          <w:lang w:val="en-CA"/>
        </w:rPr>
        <w:tab/>
      </w:r>
      <w:r w:rsidRPr="009B36F1">
        <w:rPr>
          <w:i/>
          <w:iCs/>
          <w:lang w:val="en-CA"/>
        </w:rPr>
        <w:t>Haroch c. Toronto-Dominion Bank</w:t>
      </w:r>
      <w:r w:rsidRPr="009B36F1">
        <w:rPr>
          <w:lang w:val="en-CA"/>
        </w:rPr>
        <w:t>, 2019 QCCS 5649,</w:t>
      </w:r>
      <w:r>
        <w:rPr>
          <w:lang w:val="en-CA"/>
        </w:rPr>
        <w:t xml:space="preserve"> paragr. </w:t>
      </w:r>
      <w:r w:rsidRPr="00004B7F">
        <w:rPr>
          <w:lang w:val="en-CA"/>
        </w:rPr>
        <w:t xml:space="preserve">2 </w:t>
      </w:r>
      <w:r w:rsidRPr="00592291">
        <w:rPr>
          <w:lang w:val="en-CA"/>
        </w:rPr>
        <w:t>(« </w:t>
      </w:r>
      <w:r w:rsidRPr="00592291">
        <w:rPr>
          <w:i/>
          <w:iCs/>
          <w:lang w:val="en-CA"/>
        </w:rPr>
        <w:t>Haroch 1 CS </w:t>
      </w:r>
      <w:r w:rsidRPr="00592291">
        <w:rPr>
          <w:lang w:val="en-CA"/>
        </w:rPr>
        <w:t>»).</w:t>
      </w:r>
    </w:p>
  </w:footnote>
  <w:footnote w:id="8">
    <w:p w14:paraId="27014635" w14:textId="77777777" w:rsidR="00411979" w:rsidRPr="000941DE" w:rsidRDefault="00411979" w:rsidP="00411979">
      <w:pPr>
        <w:pStyle w:val="Notedebasdepage"/>
        <w:rPr>
          <w:lang w:val="en-CA"/>
        </w:rPr>
      </w:pPr>
      <w:r>
        <w:rPr>
          <w:rStyle w:val="Appelnotedebasdep"/>
        </w:rPr>
        <w:footnoteRef/>
      </w:r>
      <w:r w:rsidRPr="000941DE">
        <w:rPr>
          <w:lang w:val="en-CA"/>
        </w:rPr>
        <w:t xml:space="preserve"> </w:t>
      </w:r>
      <w:r>
        <w:rPr>
          <w:lang w:val="en-CA"/>
        </w:rPr>
        <w:tab/>
      </w:r>
      <w:r w:rsidRPr="000941DE">
        <w:rPr>
          <w:i/>
          <w:iCs/>
          <w:lang w:val="en-CA"/>
        </w:rPr>
        <w:t xml:space="preserve">Haroch </w:t>
      </w:r>
      <w:r>
        <w:rPr>
          <w:i/>
          <w:iCs/>
          <w:lang w:val="en-CA"/>
        </w:rPr>
        <w:t>1 CS</w:t>
      </w:r>
      <w:r w:rsidRPr="000941DE">
        <w:rPr>
          <w:lang w:val="en-CA"/>
        </w:rPr>
        <w:t>, para</w:t>
      </w:r>
      <w:r>
        <w:rPr>
          <w:lang w:val="en-CA"/>
        </w:rPr>
        <w:t>gr</w:t>
      </w:r>
      <w:r w:rsidRPr="000941DE">
        <w:rPr>
          <w:lang w:val="en-CA"/>
        </w:rPr>
        <w:t>. 6</w:t>
      </w:r>
      <w:r>
        <w:rPr>
          <w:lang w:val="en-CA"/>
        </w:rPr>
        <w:t>1-62.</w:t>
      </w:r>
    </w:p>
  </w:footnote>
  <w:footnote w:id="9">
    <w:p w14:paraId="76EF149A" w14:textId="77777777" w:rsidR="00411979" w:rsidRPr="00004B7F" w:rsidRDefault="00411979" w:rsidP="00411979">
      <w:pPr>
        <w:pStyle w:val="Notedebasdepage"/>
      </w:pPr>
      <w:r>
        <w:rPr>
          <w:rStyle w:val="Appelnotedebasdep"/>
        </w:rPr>
        <w:footnoteRef/>
      </w:r>
      <w:r w:rsidRPr="00F17BBC">
        <w:rPr>
          <w:lang w:val="en-CA"/>
        </w:rPr>
        <w:t xml:space="preserve"> </w:t>
      </w:r>
      <w:r w:rsidRPr="00F17BBC">
        <w:rPr>
          <w:lang w:val="en-CA"/>
        </w:rPr>
        <w:tab/>
      </w:r>
      <w:r w:rsidRPr="00F17BBC">
        <w:rPr>
          <w:i/>
          <w:iCs/>
          <w:lang w:val="en-CA"/>
        </w:rPr>
        <w:t>Haroch c. Toronto-Dominion Bank</w:t>
      </w:r>
      <w:r w:rsidRPr="00F17BBC">
        <w:rPr>
          <w:lang w:val="en-CA"/>
        </w:rPr>
        <w:t>, 2021 QCCA 1504</w:t>
      </w:r>
      <w:r>
        <w:rPr>
          <w:lang w:val="en-CA"/>
        </w:rPr>
        <w:t xml:space="preserve">, paragr. </w:t>
      </w:r>
      <w:r w:rsidRPr="00004B7F">
        <w:t xml:space="preserve">14 et 18 </w:t>
      </w:r>
      <w:bookmarkStart w:id="15" w:name="_Hlk229064542"/>
      <w:r w:rsidRPr="00745359">
        <w:t>(« </w:t>
      </w:r>
      <w:r w:rsidRPr="00004B7F">
        <w:rPr>
          <w:i/>
          <w:iCs/>
        </w:rPr>
        <w:t>Haroch 1 CA</w:t>
      </w:r>
      <w:r>
        <w:rPr>
          <w:i/>
          <w:iCs/>
        </w:rPr>
        <w:t> </w:t>
      </w:r>
      <w:r w:rsidRPr="00745359">
        <w:t>»)</w:t>
      </w:r>
      <w:r w:rsidRPr="00004B7F">
        <w:t>.</w:t>
      </w:r>
      <w:bookmarkEnd w:id="15"/>
    </w:p>
  </w:footnote>
  <w:footnote w:id="10">
    <w:p w14:paraId="4CF63E5F" w14:textId="77777777" w:rsidR="00411979" w:rsidRPr="00004B7F" w:rsidRDefault="00411979" w:rsidP="00411979">
      <w:pPr>
        <w:pStyle w:val="Notedebasdepage"/>
      </w:pPr>
      <w:r>
        <w:rPr>
          <w:rStyle w:val="Appelnotedebasdep"/>
        </w:rPr>
        <w:footnoteRef/>
      </w:r>
      <w:r w:rsidRPr="00004B7F">
        <w:t xml:space="preserve"> </w:t>
      </w:r>
      <w:r w:rsidRPr="00004B7F">
        <w:tab/>
      </w:r>
      <w:r w:rsidRPr="00004B7F">
        <w:rPr>
          <w:i/>
          <w:iCs/>
        </w:rPr>
        <w:t>Id.</w:t>
      </w:r>
      <w:r w:rsidRPr="00004B7F">
        <w:t>, paragr. 14.</w:t>
      </w:r>
    </w:p>
  </w:footnote>
  <w:footnote w:id="11">
    <w:p w14:paraId="1DC3A80B" w14:textId="77777777" w:rsidR="00411979" w:rsidRPr="00851573" w:rsidRDefault="00411979" w:rsidP="00411979">
      <w:pPr>
        <w:pStyle w:val="Notedebasdepage"/>
      </w:pPr>
      <w:r>
        <w:rPr>
          <w:rStyle w:val="Appelnotedebasdep"/>
        </w:rPr>
        <w:footnoteRef/>
      </w:r>
      <w:r>
        <w:t xml:space="preserve"> </w:t>
      </w:r>
      <w:r>
        <w:tab/>
      </w:r>
      <w:r w:rsidRPr="00851573">
        <w:t>La produc</w:t>
      </w:r>
      <w:r>
        <w:t>tion de ce rapport a été contestée par les intimées. Elles ont eu gain de cause en partie devant le juge Immer (</w:t>
      </w:r>
      <w:r w:rsidRPr="00851573">
        <w:rPr>
          <w:i/>
          <w:iCs/>
        </w:rPr>
        <w:t>Haroch c. Toronto-Dominion Bank</w:t>
      </w:r>
      <w:r>
        <w:t xml:space="preserve">, </w:t>
      </w:r>
      <w:r w:rsidRPr="00851573">
        <w:t>2023 QCCS 459</w:t>
      </w:r>
      <w:r>
        <w:t>), mais ce jugement est infirmé par la Cour (</w:t>
      </w:r>
      <w:r w:rsidRPr="00851573">
        <w:rPr>
          <w:i/>
          <w:iCs/>
        </w:rPr>
        <w:t>Haroch c. Toronto-Dominion Bank</w:t>
      </w:r>
      <w:r w:rsidRPr="00851573">
        <w:t>, 2023 QCC</w:t>
      </w:r>
      <w:r>
        <w:t>A</w:t>
      </w:r>
      <w:r w:rsidRPr="00851573">
        <w:t xml:space="preserve"> </w:t>
      </w:r>
      <w:r>
        <w:t>1282).</w:t>
      </w:r>
    </w:p>
  </w:footnote>
  <w:footnote w:id="12">
    <w:p w14:paraId="76126630" w14:textId="77777777" w:rsidR="00411979" w:rsidRPr="00004B7F" w:rsidRDefault="00411979" w:rsidP="00411979">
      <w:pPr>
        <w:pStyle w:val="Notedebasdepage"/>
      </w:pPr>
      <w:r>
        <w:rPr>
          <w:rStyle w:val="Appelnotedebasdep"/>
        </w:rPr>
        <w:footnoteRef/>
      </w:r>
      <w:r>
        <w:t xml:space="preserve"> </w:t>
      </w:r>
      <w:r>
        <w:tab/>
      </w:r>
      <w:bookmarkStart w:id="16" w:name="_Hlk226615536"/>
      <w:r>
        <w:t>Jugement entrepris</w:t>
      </w:r>
      <w:bookmarkEnd w:id="16"/>
      <w:r>
        <w:t xml:space="preserve">, paragr. </w:t>
      </w:r>
      <w:r w:rsidRPr="00004B7F">
        <w:t>53.</w:t>
      </w:r>
    </w:p>
  </w:footnote>
  <w:footnote w:id="13">
    <w:p w14:paraId="3AE7487B" w14:textId="4DCEC5D3" w:rsidR="00411979" w:rsidRPr="001F2EE2" w:rsidRDefault="00411979" w:rsidP="00411979">
      <w:pPr>
        <w:pStyle w:val="Notedebasdepage"/>
        <w:rPr>
          <w:lang w:val="en-CA"/>
        </w:rPr>
      </w:pPr>
      <w:r>
        <w:rPr>
          <w:rStyle w:val="Appelnotedebasdep"/>
        </w:rPr>
        <w:footnoteRef/>
      </w:r>
      <w:r>
        <w:t xml:space="preserve"> </w:t>
      </w:r>
      <w:r>
        <w:tab/>
      </w:r>
      <w:r w:rsidR="00845E10">
        <w:t xml:space="preserve">Jugement entrepris, </w:t>
      </w:r>
      <w:r>
        <w:t xml:space="preserve">paragr. </w:t>
      </w:r>
      <w:r w:rsidRPr="001F2EE2">
        <w:rPr>
          <w:lang w:val="en-CA"/>
        </w:rPr>
        <w:t>87.</w:t>
      </w:r>
    </w:p>
  </w:footnote>
  <w:footnote w:id="14">
    <w:p w14:paraId="55D47910" w14:textId="77777777" w:rsidR="00411979" w:rsidRPr="007B749E" w:rsidRDefault="00411979" w:rsidP="00411979">
      <w:pPr>
        <w:pStyle w:val="Notedebasdepage"/>
        <w:rPr>
          <w:lang w:val="en-CA"/>
        </w:rPr>
      </w:pPr>
      <w:r>
        <w:rPr>
          <w:rStyle w:val="Appelnotedebasdep"/>
        </w:rPr>
        <w:footnoteRef/>
      </w:r>
      <w:r w:rsidRPr="00004B7F">
        <w:rPr>
          <w:lang w:val="en-CA"/>
        </w:rPr>
        <w:t xml:space="preserve"> </w:t>
      </w:r>
      <w:r w:rsidRPr="00004B7F">
        <w:rPr>
          <w:lang w:val="en-CA"/>
        </w:rPr>
        <w:tab/>
      </w:r>
      <w:r w:rsidRPr="00004B7F">
        <w:rPr>
          <w:i/>
          <w:iCs/>
          <w:lang w:val="en-CA"/>
        </w:rPr>
        <w:t>Id.</w:t>
      </w:r>
      <w:r w:rsidRPr="00004B7F">
        <w:rPr>
          <w:lang w:val="en-CA"/>
        </w:rPr>
        <w:t xml:space="preserve">, paragr. </w:t>
      </w:r>
      <w:r w:rsidRPr="002208B2">
        <w:rPr>
          <w:lang w:val="en-CA"/>
        </w:rPr>
        <w:t>87.7.</w:t>
      </w:r>
    </w:p>
  </w:footnote>
  <w:footnote w:id="15">
    <w:p w14:paraId="5335479C" w14:textId="77777777" w:rsidR="00411979" w:rsidRPr="007B749E" w:rsidRDefault="00411979" w:rsidP="00411979">
      <w:pPr>
        <w:pStyle w:val="Notedebasdepage"/>
        <w:rPr>
          <w:lang w:val="en-CA"/>
        </w:rPr>
      </w:pPr>
      <w:r>
        <w:rPr>
          <w:rStyle w:val="Appelnotedebasdep"/>
        </w:rPr>
        <w:footnoteRef/>
      </w:r>
      <w:r w:rsidRPr="007B749E">
        <w:rPr>
          <w:lang w:val="en-CA"/>
        </w:rPr>
        <w:t xml:space="preserve"> </w:t>
      </w:r>
      <w:r w:rsidRPr="007B749E">
        <w:rPr>
          <w:lang w:val="en-CA"/>
        </w:rPr>
        <w:tab/>
      </w:r>
      <w:bookmarkStart w:id="17" w:name="_Hlk224300528"/>
      <w:r w:rsidRPr="007B749E">
        <w:rPr>
          <w:i/>
          <w:iCs/>
          <w:lang w:val="en-CA"/>
        </w:rPr>
        <w:t>Id</w:t>
      </w:r>
      <w:r w:rsidRPr="007B749E">
        <w:rPr>
          <w:lang w:val="en-CA"/>
        </w:rPr>
        <w:t>., paragr. 98.</w:t>
      </w:r>
    </w:p>
    <w:bookmarkEnd w:id="17"/>
  </w:footnote>
  <w:footnote w:id="16">
    <w:p w14:paraId="3E08FB9F" w14:textId="77777777" w:rsidR="00411979" w:rsidRPr="00592291" w:rsidRDefault="00411979" w:rsidP="00411979">
      <w:pPr>
        <w:pStyle w:val="Notedebasdepage"/>
      </w:pPr>
      <w:r>
        <w:rPr>
          <w:rStyle w:val="Appelnotedebasdep"/>
        </w:rPr>
        <w:footnoteRef/>
      </w:r>
      <w:r w:rsidRPr="007B749E">
        <w:rPr>
          <w:lang w:val="en-CA"/>
        </w:rPr>
        <w:t xml:space="preserve"> </w:t>
      </w:r>
      <w:r w:rsidRPr="007B749E">
        <w:rPr>
          <w:lang w:val="en-CA"/>
        </w:rPr>
        <w:tab/>
      </w:r>
      <w:r w:rsidRPr="007B749E">
        <w:rPr>
          <w:i/>
          <w:iCs/>
          <w:lang w:val="en-CA"/>
        </w:rPr>
        <w:t>Id</w:t>
      </w:r>
      <w:r w:rsidRPr="007B749E">
        <w:rPr>
          <w:lang w:val="en-CA"/>
        </w:rPr>
        <w:t xml:space="preserve">., paragr. </w:t>
      </w:r>
      <w:r w:rsidRPr="00592291">
        <w:t>99.</w:t>
      </w:r>
    </w:p>
  </w:footnote>
  <w:footnote w:id="17">
    <w:p w14:paraId="79A9D554" w14:textId="77777777" w:rsidR="00411979" w:rsidRPr="00CA742E" w:rsidRDefault="00411979" w:rsidP="00411979">
      <w:pPr>
        <w:pStyle w:val="Notedebasdepage"/>
      </w:pPr>
      <w:r>
        <w:rPr>
          <w:rStyle w:val="Appelnotedebasdep"/>
        </w:rPr>
        <w:footnoteRef/>
      </w:r>
      <w:r w:rsidRPr="002C5AEA">
        <w:t xml:space="preserve"> </w:t>
      </w:r>
      <w:r w:rsidRPr="002C5AEA">
        <w:tab/>
      </w:r>
      <w:r w:rsidRPr="002C5AEA">
        <w:rPr>
          <w:i/>
          <w:iCs/>
        </w:rPr>
        <w:t>Id.</w:t>
      </w:r>
      <w:r w:rsidRPr="002C5AEA">
        <w:t xml:space="preserve">, paragr. </w:t>
      </w:r>
      <w:r w:rsidRPr="00CA742E">
        <w:t>101.</w:t>
      </w:r>
    </w:p>
  </w:footnote>
  <w:footnote w:id="18">
    <w:p w14:paraId="0369FE2A" w14:textId="77777777" w:rsidR="00411979" w:rsidRDefault="00411979" w:rsidP="00411979">
      <w:pPr>
        <w:pStyle w:val="Notedebasdepage"/>
      </w:pPr>
      <w:r>
        <w:rPr>
          <w:rStyle w:val="Appelnotedebasdep"/>
        </w:rPr>
        <w:footnoteRef/>
      </w:r>
      <w:r>
        <w:t xml:space="preserve"> </w:t>
      </w:r>
      <w:r>
        <w:tab/>
      </w:r>
      <w:r w:rsidRPr="00650FE3">
        <w:rPr>
          <w:i/>
          <w:iCs/>
        </w:rPr>
        <w:t>Lachaine c. Air Transat AT inc.</w:t>
      </w:r>
      <w:r w:rsidRPr="00650FE3">
        <w:t>, 2024 QCCA 726</w:t>
      </w:r>
      <w:r>
        <w:t>, demande</w:t>
      </w:r>
      <w:r w:rsidRPr="00650FE3">
        <w:t xml:space="preserve"> </w:t>
      </w:r>
      <w:r>
        <w:t>d’</w:t>
      </w:r>
      <w:r w:rsidRPr="00650FE3">
        <w:t>autorisation de pourvoi à la Cour suprême rejetée</w:t>
      </w:r>
      <w:r>
        <w:t>, 15 mai 2025, n</w:t>
      </w:r>
      <w:r w:rsidRPr="00F40611">
        <w:rPr>
          <w:vertAlign w:val="superscript"/>
        </w:rPr>
        <w:t>o</w:t>
      </w:r>
      <w:r>
        <w:rPr>
          <w:vertAlign w:val="superscript"/>
        </w:rPr>
        <w:t> </w:t>
      </w:r>
      <w:r w:rsidRPr="00650FE3">
        <w:t>41418</w:t>
      </w:r>
      <w:r>
        <w:t>.</w:t>
      </w:r>
    </w:p>
  </w:footnote>
  <w:footnote w:id="19">
    <w:p w14:paraId="14485479" w14:textId="77777777" w:rsidR="00411979" w:rsidRPr="007B749E" w:rsidRDefault="00411979" w:rsidP="00411979">
      <w:pPr>
        <w:pStyle w:val="Notedebasdepage"/>
      </w:pPr>
      <w:r>
        <w:rPr>
          <w:rStyle w:val="Appelnotedebasdep"/>
        </w:rPr>
        <w:footnoteRef/>
      </w:r>
      <w:r w:rsidRPr="007B749E">
        <w:t xml:space="preserve"> </w:t>
      </w:r>
      <w:r w:rsidRPr="007B749E">
        <w:tab/>
      </w:r>
      <w:bookmarkStart w:id="18" w:name="_Hlk226615605"/>
      <w:r w:rsidRPr="007B749E">
        <w:rPr>
          <w:i/>
          <w:iCs/>
        </w:rPr>
        <w:t>Haroch 1 (CS)</w:t>
      </w:r>
      <w:bookmarkEnd w:id="18"/>
      <w:r w:rsidRPr="007B749E">
        <w:t>, paragr. 52.</w:t>
      </w:r>
    </w:p>
  </w:footnote>
  <w:footnote w:id="20">
    <w:p w14:paraId="35DD56D0" w14:textId="77777777" w:rsidR="00411979" w:rsidRPr="007B749E" w:rsidRDefault="00411979" w:rsidP="00411979">
      <w:pPr>
        <w:pStyle w:val="Notedebasdepage"/>
      </w:pPr>
      <w:r>
        <w:rPr>
          <w:rStyle w:val="Appelnotedebasdep"/>
        </w:rPr>
        <w:footnoteRef/>
      </w:r>
      <w:r w:rsidRPr="007B749E">
        <w:t xml:space="preserve"> </w:t>
      </w:r>
      <w:r w:rsidRPr="007B749E">
        <w:tab/>
      </w:r>
      <w:bookmarkStart w:id="19" w:name="_Hlk225861800"/>
      <w:r w:rsidRPr="007B749E">
        <w:rPr>
          <w:i/>
          <w:iCs/>
        </w:rPr>
        <w:t>Id.</w:t>
      </w:r>
      <w:bookmarkEnd w:id="19"/>
      <w:r w:rsidRPr="007B749E">
        <w:t>, paragr. 58</w:t>
      </w:r>
    </w:p>
  </w:footnote>
  <w:footnote w:id="21">
    <w:p w14:paraId="07582D87" w14:textId="77777777" w:rsidR="00411979" w:rsidRPr="007B749E" w:rsidRDefault="00411979" w:rsidP="00411979">
      <w:pPr>
        <w:pStyle w:val="Notedebasdepage"/>
      </w:pPr>
      <w:r w:rsidRPr="00B56044">
        <w:rPr>
          <w:rStyle w:val="Appelnotedebasdep"/>
        </w:rPr>
        <w:footnoteRef/>
      </w:r>
      <w:r w:rsidRPr="007B749E">
        <w:t xml:space="preserve"> </w:t>
      </w:r>
      <w:r w:rsidRPr="007B749E">
        <w:tab/>
      </w:r>
      <w:r w:rsidRPr="007B749E">
        <w:rPr>
          <w:i/>
          <w:iCs/>
        </w:rPr>
        <w:t>Id.</w:t>
      </w:r>
      <w:r w:rsidRPr="007B749E">
        <w:t>, paragr. 95</w:t>
      </w:r>
      <w:r w:rsidRPr="007B749E">
        <w:rPr>
          <w:i/>
          <w:iCs/>
        </w:rPr>
        <w:t>.</w:t>
      </w:r>
    </w:p>
  </w:footnote>
  <w:footnote w:id="22">
    <w:p w14:paraId="5CD73DDA" w14:textId="77777777" w:rsidR="00411979" w:rsidRPr="00B56044" w:rsidRDefault="00411979" w:rsidP="00411979">
      <w:pPr>
        <w:pStyle w:val="Notedebasdepage"/>
      </w:pPr>
      <w:r w:rsidRPr="00B56044">
        <w:rPr>
          <w:rStyle w:val="Appelnotedebasdep"/>
        </w:rPr>
        <w:footnoteRef/>
      </w:r>
      <w:r w:rsidRPr="007B749E">
        <w:t xml:space="preserve"> </w:t>
      </w:r>
      <w:r w:rsidRPr="007B749E">
        <w:tab/>
      </w:r>
      <w:r>
        <w:rPr>
          <w:i/>
          <w:iCs/>
        </w:rPr>
        <w:t>Id.</w:t>
      </w:r>
      <w:r w:rsidRPr="007B749E">
        <w:t xml:space="preserve">, paragr. </w:t>
      </w:r>
      <w:r w:rsidRPr="00B56044">
        <w:t>61-62.</w:t>
      </w:r>
    </w:p>
  </w:footnote>
  <w:footnote w:id="23">
    <w:p w14:paraId="486CBBAC" w14:textId="77777777" w:rsidR="00411979" w:rsidRDefault="00411979" w:rsidP="00411979">
      <w:pPr>
        <w:pStyle w:val="Notedebasdepage"/>
      </w:pPr>
      <w:r w:rsidRPr="00B56044">
        <w:rPr>
          <w:rStyle w:val="Appelnotedebasdep"/>
        </w:rPr>
        <w:footnoteRef/>
      </w:r>
      <w:r w:rsidRPr="00B56044">
        <w:t xml:space="preserve"> </w:t>
      </w:r>
      <w:r w:rsidRPr="00B56044">
        <w:tab/>
        <w:t>Jugement</w:t>
      </w:r>
      <w:r>
        <w:t xml:space="preserve"> entrepris, paragr. 53.</w:t>
      </w:r>
    </w:p>
  </w:footnote>
  <w:footnote w:id="24">
    <w:p w14:paraId="0E688968" w14:textId="77777777" w:rsidR="00411979" w:rsidRDefault="00411979" w:rsidP="00411979">
      <w:pPr>
        <w:pStyle w:val="Notedebasdepage"/>
      </w:pPr>
      <w:r>
        <w:rPr>
          <w:rStyle w:val="Appelnotedebasdep"/>
        </w:rPr>
        <w:footnoteRef/>
      </w:r>
      <w:r w:rsidRPr="00CA2AF6">
        <w:t xml:space="preserve"> </w:t>
      </w:r>
      <w:r w:rsidRPr="00CA2AF6">
        <w:tab/>
      </w:r>
      <w:r w:rsidRPr="000C2CF5">
        <w:rPr>
          <w:i/>
          <w:iCs/>
        </w:rPr>
        <w:t>Haroch 1 (CA)</w:t>
      </w:r>
      <w:r w:rsidRPr="00CA2AF6">
        <w:t xml:space="preserve">, paragr. </w:t>
      </w:r>
      <w:r>
        <w:t>18.</w:t>
      </w:r>
    </w:p>
  </w:footnote>
  <w:footnote w:id="25">
    <w:p w14:paraId="5B6C1F0A" w14:textId="77777777" w:rsidR="00411979" w:rsidRDefault="00411979" w:rsidP="00411979">
      <w:pPr>
        <w:pStyle w:val="Notedebasdepage"/>
      </w:pPr>
      <w:r>
        <w:rPr>
          <w:rStyle w:val="Appelnotedebasdep"/>
        </w:rPr>
        <w:footnoteRef/>
      </w:r>
      <w:r>
        <w:t xml:space="preserve"> </w:t>
      </w:r>
      <w:r>
        <w:tab/>
      </w:r>
      <w:r w:rsidRPr="008E1258">
        <w:rPr>
          <w:i/>
          <w:iCs/>
        </w:rPr>
        <w:t>Procureur général du Québec c. Luamba</w:t>
      </w:r>
      <w:r w:rsidRPr="008E1258">
        <w:t>, 2024 QCCA 1387</w:t>
      </w:r>
      <w:r>
        <w:t>, paragr. 78, demandes d’</w:t>
      </w:r>
      <w:r w:rsidRPr="00177CA6">
        <w:t xml:space="preserve">autorisation de pourvoi et </w:t>
      </w:r>
      <w:r>
        <w:t>d’</w:t>
      </w:r>
      <w:r w:rsidRPr="00177CA6">
        <w:t>autorisation de pourvoi incident à la Cour suprême accueillies</w:t>
      </w:r>
      <w:r>
        <w:t>, 1</w:t>
      </w:r>
      <w:r w:rsidRPr="004A178A">
        <w:rPr>
          <w:vertAlign w:val="superscript"/>
        </w:rPr>
        <w:t>er</w:t>
      </w:r>
      <w:r>
        <w:t> mai 2025, n</w:t>
      </w:r>
      <w:r w:rsidRPr="004A178A">
        <w:rPr>
          <w:vertAlign w:val="superscript"/>
        </w:rPr>
        <w:t>o</w:t>
      </w:r>
      <w:r>
        <w:t> </w:t>
      </w:r>
      <w:r w:rsidRPr="00177CA6">
        <w:t>41605</w:t>
      </w:r>
      <w:r>
        <w:t xml:space="preserve">; </w:t>
      </w:r>
      <w:r w:rsidRPr="00F458EF">
        <w:rPr>
          <w:i/>
          <w:iCs/>
        </w:rPr>
        <w:t>Groupe Essa inc. c. Directeur des poursuites criminelles et pénales</w:t>
      </w:r>
      <w:r w:rsidRPr="00F458EF">
        <w:t>, 2024 QCCA 30, paragr. 57.</w:t>
      </w:r>
    </w:p>
  </w:footnote>
  <w:footnote w:id="26">
    <w:p w14:paraId="5DEFAEAE" w14:textId="77777777" w:rsidR="00411979" w:rsidRDefault="00411979" w:rsidP="00411979">
      <w:pPr>
        <w:pStyle w:val="Notedebasdepage"/>
      </w:pPr>
      <w:r>
        <w:rPr>
          <w:rStyle w:val="Appelnotedebasdep"/>
        </w:rPr>
        <w:footnoteRef/>
      </w:r>
      <w:r>
        <w:t xml:space="preserve"> </w:t>
      </w:r>
      <w:r>
        <w:tab/>
      </w:r>
      <w:r w:rsidRPr="00463F79">
        <w:rPr>
          <w:i/>
          <w:iCs/>
        </w:rPr>
        <w:t>Banque Toronto-Dominion c. Brunelle</w:t>
      </w:r>
      <w:r w:rsidRPr="00463F79">
        <w:t>, 2014 QCCA 1584</w:t>
      </w:r>
      <w:r>
        <w:t xml:space="preserve"> (« </w:t>
      </w:r>
      <w:r w:rsidRPr="00463F79">
        <w:rPr>
          <w:i/>
          <w:iCs/>
        </w:rPr>
        <w:t>Brunelle</w:t>
      </w:r>
      <w:r>
        <w:t> »).</w:t>
      </w:r>
    </w:p>
  </w:footnote>
  <w:footnote w:id="27">
    <w:p w14:paraId="4F0D2034" w14:textId="77777777" w:rsidR="00411979" w:rsidRDefault="00411979" w:rsidP="00411979">
      <w:pPr>
        <w:pStyle w:val="Notedebasdepage"/>
      </w:pPr>
      <w:r>
        <w:rPr>
          <w:rStyle w:val="Appelnotedebasdep"/>
        </w:rPr>
        <w:footnoteRef/>
      </w:r>
      <w:r>
        <w:t xml:space="preserve"> </w:t>
      </w:r>
      <w:r>
        <w:tab/>
        <w:t>Jugement entrepris, paragr. 70 et 75.</w:t>
      </w:r>
    </w:p>
  </w:footnote>
  <w:footnote w:id="28">
    <w:p w14:paraId="4599404F" w14:textId="77777777" w:rsidR="00411979" w:rsidRPr="00C24D8E" w:rsidRDefault="00411979" w:rsidP="00411979">
      <w:pPr>
        <w:pStyle w:val="Notedebasdepage"/>
        <w:rPr>
          <w:i/>
          <w:iCs/>
        </w:rPr>
      </w:pPr>
      <w:r>
        <w:rPr>
          <w:rStyle w:val="Appelnotedebasdep"/>
        </w:rPr>
        <w:footnoteRef/>
      </w:r>
      <w:r>
        <w:t xml:space="preserve"> </w:t>
      </w:r>
      <w:r>
        <w:tab/>
      </w:r>
      <w:r w:rsidRPr="00C24D8E">
        <w:rPr>
          <w:i/>
          <w:iCs/>
        </w:rPr>
        <w:t>L’Oratoire Saint</w:t>
      </w:r>
      <w:r w:rsidRPr="00C24D8E">
        <w:rPr>
          <w:i/>
          <w:iCs/>
        </w:rPr>
        <w:noBreakHyphen/>
        <w:t>Joseph du Mont</w:t>
      </w:r>
      <w:r w:rsidRPr="00C24D8E">
        <w:rPr>
          <w:i/>
          <w:iCs/>
        </w:rPr>
        <w:noBreakHyphen/>
        <w:t>Royal c. J.J.</w:t>
      </w:r>
      <w:r w:rsidRPr="00C24D8E">
        <w:t>, [2019] 2 RCS 831, 2019 CSC 35, paragr. 58.</w:t>
      </w:r>
    </w:p>
  </w:footnote>
  <w:footnote w:id="29">
    <w:p w14:paraId="2344F33D" w14:textId="669C3DE7" w:rsidR="00411979" w:rsidRDefault="00411979" w:rsidP="00411979">
      <w:pPr>
        <w:pStyle w:val="Notedebasdepage"/>
      </w:pPr>
      <w:r>
        <w:rPr>
          <w:rStyle w:val="Appelnotedebasdep"/>
        </w:rPr>
        <w:footnoteRef/>
      </w:r>
      <w:r>
        <w:t xml:space="preserve"> </w:t>
      </w:r>
      <w:r>
        <w:tab/>
      </w:r>
      <w:r w:rsidR="00354A6E">
        <w:t>D</w:t>
      </w:r>
      <w:r w:rsidRPr="00D37003">
        <w:t>ans s</w:t>
      </w:r>
      <w:r>
        <w:t>on</w:t>
      </w:r>
      <w:r w:rsidRPr="00D37003">
        <w:t xml:space="preserve"> communiqué</w:t>
      </w:r>
      <w:r>
        <w:t xml:space="preserve"> « Frais hypothécaires : pénalités pour remboursements anticipés » (2022</w:t>
      </w:r>
      <w:r w:rsidR="00BB23CD">
        <w:noBreakHyphen/>
      </w:r>
      <w:r>
        <w:t>08</w:t>
      </w:r>
      <w:r w:rsidR="00BB23CD">
        <w:noBreakHyphen/>
      </w:r>
      <w:r>
        <w:t>05), l’ACFC prévoit la possibilité que le prêteur utilise comme taux utilisé à des fins de comparaison dans la formule DTI « le taux affiché actuel moins le rabais que vous avez obtenu sur votre taux réduit ».</w:t>
      </w:r>
    </w:p>
  </w:footnote>
  <w:footnote w:id="30">
    <w:p w14:paraId="27342B27" w14:textId="77777777" w:rsidR="00411979" w:rsidRDefault="00411979" w:rsidP="00411979">
      <w:pPr>
        <w:pStyle w:val="Notedebasdepage"/>
      </w:pPr>
      <w:r>
        <w:rPr>
          <w:rStyle w:val="Appelnotedebasdep"/>
        </w:rPr>
        <w:footnoteRef/>
      </w:r>
      <w:r>
        <w:t xml:space="preserve"> </w:t>
      </w:r>
      <w:r>
        <w:tab/>
        <w:t>Jugement entrepris, paragr. 52.3.</w:t>
      </w:r>
    </w:p>
  </w:footnote>
  <w:footnote w:id="31">
    <w:p w14:paraId="17682F4B" w14:textId="77777777" w:rsidR="00411979" w:rsidRDefault="00411979" w:rsidP="00411979">
      <w:pPr>
        <w:pStyle w:val="Notedebasdepage"/>
      </w:pPr>
      <w:r>
        <w:rPr>
          <w:rStyle w:val="Appelnotedebasdep"/>
        </w:rPr>
        <w:footnoteRef/>
      </w:r>
      <w:r>
        <w:t xml:space="preserve"> </w:t>
      </w:r>
      <w:r>
        <w:tab/>
      </w:r>
      <w:r w:rsidRPr="00A41255">
        <w:rPr>
          <w:i/>
          <w:iCs/>
        </w:rPr>
        <w:t>Brunell</w:t>
      </w:r>
      <w:r>
        <w:rPr>
          <w:i/>
          <w:iCs/>
        </w:rPr>
        <w:t>e</w:t>
      </w:r>
      <w:r w:rsidRPr="00A41255">
        <w:t xml:space="preserve">, </w:t>
      </w:r>
      <w:r>
        <w:t>paragr. 75. Voir aussi le paragraphe 49</w:t>
      </w:r>
      <w:r w:rsidRPr="00F824F5">
        <w:t>.</w:t>
      </w:r>
    </w:p>
  </w:footnote>
  <w:footnote w:id="32">
    <w:p w14:paraId="12EB0599" w14:textId="77777777" w:rsidR="00411979" w:rsidRPr="00A0677C" w:rsidRDefault="00411979" w:rsidP="00411979">
      <w:pPr>
        <w:pStyle w:val="Notedebasdepage"/>
      </w:pPr>
      <w:r>
        <w:rPr>
          <w:rStyle w:val="Appelnotedebasdep"/>
        </w:rPr>
        <w:footnoteRef/>
      </w:r>
      <w:r>
        <w:t xml:space="preserve"> </w:t>
      </w:r>
      <w:r>
        <w:tab/>
      </w:r>
      <w:r w:rsidRPr="00A0677C">
        <w:rPr>
          <w:i/>
          <w:iCs/>
        </w:rPr>
        <w:t>Haroch 1 (CS)</w:t>
      </w:r>
      <w:r>
        <w:t>, paragr. 74 à 76.</w:t>
      </w:r>
    </w:p>
  </w:footnote>
  <w:footnote w:id="33">
    <w:p w14:paraId="5D427EA5" w14:textId="77777777" w:rsidR="00411979" w:rsidRDefault="00411979" w:rsidP="00411979">
      <w:pPr>
        <w:pStyle w:val="Notedebasdepage"/>
      </w:pPr>
      <w:r>
        <w:rPr>
          <w:rStyle w:val="Appelnotedebasdep"/>
        </w:rPr>
        <w:footnoteRef/>
      </w:r>
      <w:r>
        <w:t xml:space="preserve"> </w:t>
      </w:r>
      <w:r>
        <w:tab/>
        <w:t>Si les taux d’intérêts sont à la hausse, l’institution financière ne subit aucune perte et la formule DTI est sans pertinence. Elle percevra des FRA correspondant à trois mois d’intérêt pour l’indemniser des dépenses administratives reliées au remboursement anticipé du prêt.</w:t>
      </w:r>
    </w:p>
  </w:footnote>
  <w:footnote w:id="34">
    <w:p w14:paraId="5B016565" w14:textId="77777777" w:rsidR="00411979" w:rsidRDefault="00411979" w:rsidP="00411979">
      <w:pPr>
        <w:pStyle w:val="Notedebasdepage"/>
      </w:pPr>
      <w:r>
        <w:rPr>
          <w:rStyle w:val="Appelnotedebasdep"/>
        </w:rPr>
        <w:footnoteRef/>
      </w:r>
      <w:r>
        <w:t xml:space="preserve"> </w:t>
      </w:r>
      <w:r>
        <w:tab/>
        <w:t>Jugement entrepris, paragr. 90.</w:t>
      </w:r>
    </w:p>
  </w:footnote>
  <w:footnote w:id="35">
    <w:p w14:paraId="5F9BAB48" w14:textId="77777777" w:rsidR="00411979" w:rsidRDefault="00411979" w:rsidP="00411979">
      <w:pPr>
        <w:pStyle w:val="Notedebasdepage"/>
      </w:pPr>
      <w:r>
        <w:rPr>
          <w:rStyle w:val="Appelnotedebasdep"/>
        </w:rPr>
        <w:footnoteRef/>
      </w:r>
      <w:r>
        <w:t xml:space="preserve"> </w:t>
      </w:r>
      <w:r>
        <w:tab/>
      </w:r>
      <w:r w:rsidRPr="002F1078">
        <w:rPr>
          <w:i/>
          <w:iCs/>
        </w:rPr>
        <w:t>Sibiga c. Fido Solutions inc.</w:t>
      </w:r>
      <w:r>
        <w:t>, 2016 QCCA 1299, paragr. 63 et 85.</w:t>
      </w:r>
    </w:p>
  </w:footnote>
  <w:footnote w:id="36">
    <w:p w14:paraId="7206CFF5" w14:textId="77777777" w:rsidR="00411979" w:rsidRDefault="00411979" w:rsidP="00411979">
      <w:pPr>
        <w:pStyle w:val="Notedebasdepage"/>
      </w:pPr>
      <w:r>
        <w:rPr>
          <w:rStyle w:val="Appelnotedebasdep"/>
        </w:rPr>
        <w:footnoteRef/>
      </w:r>
      <w:r>
        <w:t xml:space="preserve"> </w:t>
      </w:r>
      <w:r>
        <w:tab/>
      </w:r>
      <w:r w:rsidRPr="00F1158D">
        <w:rPr>
          <w:i/>
          <w:iCs/>
        </w:rPr>
        <w:t>Desjardins Cabinet de services financiers inc. c. Asselin</w:t>
      </w:r>
      <w:r>
        <w:t xml:space="preserve">, </w:t>
      </w:r>
      <w:r w:rsidRPr="00F1158D">
        <w:t>[2020] 3 RCS 298</w:t>
      </w:r>
      <w:r>
        <w:t>, 2020 CSC 30, paragr.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C3D" w14:textId="77777777" w:rsidR="00203E26" w:rsidRDefault="00203E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9966" w14:textId="3FA52C32" w:rsidR="007E33E4" w:rsidRDefault="00C05650" w:rsidP="00DB2119">
    <w:pPr>
      <w:tabs>
        <w:tab w:val="center" w:pos="4709"/>
        <w:tab w:val="right" w:pos="9360"/>
      </w:tabs>
      <w:spacing w:line="360" w:lineRule="auto"/>
      <w:ind w:right="524"/>
    </w:pPr>
    <w:bookmarkStart w:id="26" w:name="EntDossier"/>
    <w:r>
      <w:t>500-09-031259-245</w:t>
    </w:r>
    <w:bookmarkEnd w:id="26"/>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7136C155" w14:textId="77777777" w:rsidR="007E33E4" w:rsidRDefault="007E33E4" w:rsidP="00DB2119">
    <w:pPr>
      <w:tabs>
        <w:tab w:val="center" w:pos="4709"/>
        <w:tab w:val="right" w:pos="9360"/>
      </w:tabs>
      <w:spacing w:line="360" w:lineRule="auto"/>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69D3" w14:textId="77777777" w:rsidR="00203E26" w:rsidRDefault="00203E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A272D"/>
    <w:multiLevelType w:val="hybridMultilevel"/>
    <w:tmpl w:val="C0B4314C"/>
    <w:lvl w:ilvl="0" w:tplc="BE7C2D92">
      <w:start w:val="1"/>
      <w:numFmt w:val="decimal"/>
      <w:lvlText w:val="%1."/>
      <w:lvlJc w:val="left"/>
      <w:pPr>
        <w:ind w:left="1080" w:hanging="360"/>
      </w:pPr>
      <w:rPr>
        <w:lang w:val="fr-CA"/>
      </w:rPr>
    </w:lvl>
    <w:lvl w:ilvl="1" w:tplc="FFFFFFFF">
      <w:start w:val="1"/>
      <w:numFmt w:val="lowerRoman"/>
      <w:lvlText w:val="%2."/>
      <w:lvlJc w:val="righ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4122A02"/>
    <w:multiLevelType w:val="hybridMultilevel"/>
    <w:tmpl w:val="67F46858"/>
    <w:lvl w:ilvl="0" w:tplc="0C0C0001">
      <w:start w:val="1"/>
      <w:numFmt w:val="bullet"/>
      <w:lvlText w:val=""/>
      <w:lvlJc w:val="left"/>
      <w:pPr>
        <w:ind w:left="1080" w:hanging="360"/>
      </w:pPr>
      <w:rPr>
        <w:rFonts w:ascii="Symbol" w:hAnsi="Symbol" w:hint="default"/>
      </w:rPr>
    </w:lvl>
    <w:lvl w:ilvl="1" w:tplc="0C0C0001">
      <w:start w:val="1"/>
      <w:numFmt w:val="bullet"/>
      <w:lvlText w:val=""/>
      <w:lvlJc w:val="left"/>
      <w:pPr>
        <w:ind w:left="1800" w:hanging="360"/>
      </w:pPr>
      <w:rPr>
        <w:rFonts w:ascii="Symbol" w:hAnsi="Symbol"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144C6E50"/>
    <w:multiLevelType w:val="hybridMultilevel"/>
    <w:tmpl w:val="6BC4BBE0"/>
    <w:lvl w:ilvl="0" w:tplc="0C0C000F">
      <w:start w:val="1"/>
      <w:numFmt w:val="decimal"/>
      <w:lvlText w:val="%1."/>
      <w:lvlJc w:val="left"/>
      <w:pPr>
        <w:ind w:left="1080" w:hanging="360"/>
      </w:pPr>
    </w:lvl>
    <w:lvl w:ilvl="1" w:tplc="0C0C001B">
      <w:start w:val="1"/>
      <w:numFmt w:val="lowerRoman"/>
      <w:lvlText w:val="%2."/>
      <w:lvlJc w:val="right"/>
      <w:pPr>
        <w:ind w:left="1800" w:hanging="360"/>
      </w:pPr>
    </w:lvl>
    <w:lvl w:ilvl="2" w:tplc="81F04060">
      <w:start w:val="1"/>
      <w:numFmt w:val="decimal"/>
      <w:lvlText w:val="%3."/>
      <w:lvlJc w:val="left"/>
      <w:pPr>
        <w:ind w:left="2700" w:hanging="360"/>
      </w:pPr>
      <w:rPr>
        <w:rFonts w:hint="default"/>
      </w:r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 w15:restartNumberingAfterBreak="0">
    <w:nsid w:val="14867BD4"/>
    <w:multiLevelType w:val="hybridMultilevel"/>
    <w:tmpl w:val="8B72371A"/>
    <w:lvl w:ilvl="0" w:tplc="0C0C0001">
      <w:start w:val="1"/>
      <w:numFmt w:val="bullet"/>
      <w:lvlText w:val=""/>
      <w:lvlJc w:val="left"/>
      <w:pPr>
        <w:ind w:left="1494" w:hanging="360"/>
      </w:pPr>
      <w:rPr>
        <w:rFonts w:ascii="Symbol" w:hAnsi="Symbo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14" w15:restartNumberingAfterBreak="0">
    <w:nsid w:val="1541045B"/>
    <w:multiLevelType w:val="hybridMultilevel"/>
    <w:tmpl w:val="A2DA270E"/>
    <w:lvl w:ilvl="0" w:tplc="72FEF81A">
      <w:start w:val="1"/>
      <w:numFmt w:val="bullet"/>
      <w:lvlText w:val=""/>
      <w:lvlJc w:val="left"/>
      <w:pPr>
        <w:ind w:left="1944" w:hanging="360"/>
      </w:pPr>
      <w:rPr>
        <w:rFonts w:ascii="Symbol" w:hAnsi="Symbol" w:hint="default"/>
      </w:rPr>
    </w:lvl>
    <w:lvl w:ilvl="1" w:tplc="8D7425CE" w:tentative="1">
      <w:start w:val="1"/>
      <w:numFmt w:val="bullet"/>
      <w:lvlText w:val="o"/>
      <w:lvlJc w:val="left"/>
      <w:pPr>
        <w:ind w:left="2664" w:hanging="360"/>
      </w:pPr>
      <w:rPr>
        <w:rFonts w:ascii="Courier New" w:hAnsi="Courier New" w:cs="Courier New" w:hint="default"/>
      </w:rPr>
    </w:lvl>
    <w:lvl w:ilvl="2" w:tplc="CF546278" w:tentative="1">
      <w:start w:val="1"/>
      <w:numFmt w:val="bullet"/>
      <w:lvlText w:val=""/>
      <w:lvlJc w:val="left"/>
      <w:pPr>
        <w:ind w:left="3384" w:hanging="360"/>
      </w:pPr>
      <w:rPr>
        <w:rFonts w:ascii="Wingdings" w:hAnsi="Wingdings" w:hint="default"/>
      </w:rPr>
    </w:lvl>
    <w:lvl w:ilvl="3" w:tplc="F322DEDC" w:tentative="1">
      <w:start w:val="1"/>
      <w:numFmt w:val="bullet"/>
      <w:lvlText w:val=""/>
      <w:lvlJc w:val="left"/>
      <w:pPr>
        <w:ind w:left="4104" w:hanging="360"/>
      </w:pPr>
      <w:rPr>
        <w:rFonts w:ascii="Symbol" w:hAnsi="Symbol" w:hint="default"/>
      </w:rPr>
    </w:lvl>
    <w:lvl w:ilvl="4" w:tplc="21AC1960" w:tentative="1">
      <w:start w:val="1"/>
      <w:numFmt w:val="bullet"/>
      <w:lvlText w:val="o"/>
      <w:lvlJc w:val="left"/>
      <w:pPr>
        <w:ind w:left="4824" w:hanging="360"/>
      </w:pPr>
      <w:rPr>
        <w:rFonts w:ascii="Courier New" w:hAnsi="Courier New" w:cs="Courier New" w:hint="default"/>
      </w:rPr>
    </w:lvl>
    <w:lvl w:ilvl="5" w:tplc="E604BF88" w:tentative="1">
      <w:start w:val="1"/>
      <w:numFmt w:val="bullet"/>
      <w:lvlText w:val=""/>
      <w:lvlJc w:val="left"/>
      <w:pPr>
        <w:ind w:left="5544" w:hanging="360"/>
      </w:pPr>
      <w:rPr>
        <w:rFonts w:ascii="Wingdings" w:hAnsi="Wingdings" w:hint="default"/>
      </w:rPr>
    </w:lvl>
    <w:lvl w:ilvl="6" w:tplc="6B3A1C1C" w:tentative="1">
      <w:start w:val="1"/>
      <w:numFmt w:val="bullet"/>
      <w:lvlText w:val=""/>
      <w:lvlJc w:val="left"/>
      <w:pPr>
        <w:ind w:left="6264" w:hanging="360"/>
      </w:pPr>
      <w:rPr>
        <w:rFonts w:ascii="Symbol" w:hAnsi="Symbol" w:hint="default"/>
      </w:rPr>
    </w:lvl>
    <w:lvl w:ilvl="7" w:tplc="A8ECEE4A" w:tentative="1">
      <w:start w:val="1"/>
      <w:numFmt w:val="bullet"/>
      <w:lvlText w:val="o"/>
      <w:lvlJc w:val="left"/>
      <w:pPr>
        <w:ind w:left="6984" w:hanging="360"/>
      </w:pPr>
      <w:rPr>
        <w:rFonts w:ascii="Courier New" w:hAnsi="Courier New" w:cs="Courier New" w:hint="default"/>
      </w:rPr>
    </w:lvl>
    <w:lvl w:ilvl="8" w:tplc="0C0C8030" w:tentative="1">
      <w:start w:val="1"/>
      <w:numFmt w:val="bullet"/>
      <w:lvlText w:val=""/>
      <w:lvlJc w:val="left"/>
      <w:pPr>
        <w:ind w:left="7704" w:hanging="360"/>
      </w:pPr>
      <w:rPr>
        <w:rFonts w:ascii="Wingdings" w:hAnsi="Wingdings" w:hint="default"/>
      </w:rPr>
    </w:lvl>
  </w:abstractNum>
  <w:abstractNum w:abstractNumId="15" w15:restartNumberingAfterBreak="0">
    <w:nsid w:val="16FC0156"/>
    <w:multiLevelType w:val="hybridMultilevel"/>
    <w:tmpl w:val="F6A8127E"/>
    <w:lvl w:ilvl="0" w:tplc="1062CD36">
      <w:start w:val="17"/>
      <w:numFmt w:val="bullet"/>
      <w:lvlText w:val="-"/>
      <w:lvlJc w:val="left"/>
      <w:pPr>
        <w:ind w:left="1440" w:hanging="360"/>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9670979"/>
    <w:multiLevelType w:val="multilevel"/>
    <w:tmpl w:val="3F1EEE7C"/>
    <w:lvl w:ilvl="0">
      <w:start w:val="87"/>
      <w:numFmt w:val="decimal"/>
      <w:lvlText w:val="%1"/>
      <w:lvlJc w:val="left"/>
      <w:pPr>
        <w:ind w:left="465" w:hanging="465"/>
      </w:pPr>
      <w:rPr>
        <w:rFonts w:hint="default"/>
      </w:rPr>
    </w:lvl>
    <w:lvl w:ilvl="1">
      <w:start w:val="8"/>
      <w:numFmt w:val="decimal"/>
      <w:lvlText w:val="%1.%2"/>
      <w:lvlJc w:val="left"/>
      <w:pPr>
        <w:ind w:left="1465" w:hanging="465"/>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18" w15:restartNumberingAfterBreak="0">
    <w:nsid w:val="2B936FDE"/>
    <w:multiLevelType w:val="hybridMultilevel"/>
    <w:tmpl w:val="BDAC206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35FB252C"/>
    <w:multiLevelType w:val="hybridMultilevel"/>
    <w:tmpl w:val="4628027E"/>
    <w:lvl w:ilvl="0" w:tplc="D4F2D7DE">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8876019"/>
    <w:multiLevelType w:val="hybridMultilevel"/>
    <w:tmpl w:val="B94C4A2C"/>
    <w:lvl w:ilvl="0" w:tplc="0C0C0017">
      <w:start w:val="1"/>
      <w:numFmt w:val="lowerLetter"/>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1" w15:restartNumberingAfterBreak="0">
    <w:nsid w:val="45936670"/>
    <w:multiLevelType w:val="hybridMultilevel"/>
    <w:tmpl w:val="D466073A"/>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2" w15:restartNumberingAfterBreak="0">
    <w:nsid w:val="46597FEC"/>
    <w:multiLevelType w:val="hybridMultilevel"/>
    <w:tmpl w:val="8ADA427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3"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53D4999"/>
    <w:multiLevelType w:val="hybridMultilevel"/>
    <w:tmpl w:val="A1CEE68C"/>
    <w:lvl w:ilvl="0" w:tplc="FF8E8854">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5" w15:restartNumberingAfterBreak="0">
    <w:nsid w:val="5B300087"/>
    <w:multiLevelType w:val="hybridMultilevel"/>
    <w:tmpl w:val="4718EA58"/>
    <w:lvl w:ilvl="0" w:tplc="1062CD36">
      <w:start w:val="17"/>
      <w:numFmt w:val="bullet"/>
      <w:lvlText w:val="-"/>
      <w:lvlJc w:val="left"/>
      <w:pPr>
        <w:ind w:left="1080" w:hanging="360"/>
      </w:pPr>
      <w:rPr>
        <w:rFonts w:ascii="Arial" w:eastAsia="Times New Roman" w:hAnsi="Arial" w:cs="Arial" w:hint="default"/>
      </w:rPr>
    </w:lvl>
    <w:lvl w:ilvl="1" w:tplc="341C6000">
      <w:start w:val="1"/>
      <w:numFmt w:val="bullet"/>
      <w:lvlText w:val="o"/>
      <w:lvlJc w:val="left"/>
      <w:pPr>
        <w:ind w:left="1800" w:hanging="360"/>
      </w:pPr>
      <w:rPr>
        <w:rFonts w:ascii="Courier New" w:hAnsi="Courier New" w:cs="Courier New" w:hint="default"/>
      </w:rPr>
    </w:lvl>
    <w:lvl w:ilvl="2" w:tplc="3EF6E0D8" w:tentative="1">
      <w:start w:val="1"/>
      <w:numFmt w:val="bullet"/>
      <w:lvlText w:val=""/>
      <w:lvlJc w:val="left"/>
      <w:pPr>
        <w:ind w:left="2520" w:hanging="360"/>
      </w:pPr>
      <w:rPr>
        <w:rFonts w:ascii="Wingdings" w:hAnsi="Wingdings" w:hint="default"/>
      </w:rPr>
    </w:lvl>
    <w:lvl w:ilvl="3" w:tplc="6B9A91E8" w:tentative="1">
      <w:start w:val="1"/>
      <w:numFmt w:val="bullet"/>
      <w:lvlText w:val=""/>
      <w:lvlJc w:val="left"/>
      <w:pPr>
        <w:ind w:left="3240" w:hanging="360"/>
      </w:pPr>
      <w:rPr>
        <w:rFonts w:ascii="Symbol" w:hAnsi="Symbol" w:hint="default"/>
      </w:rPr>
    </w:lvl>
    <w:lvl w:ilvl="4" w:tplc="067AF292" w:tentative="1">
      <w:start w:val="1"/>
      <w:numFmt w:val="bullet"/>
      <w:lvlText w:val="o"/>
      <w:lvlJc w:val="left"/>
      <w:pPr>
        <w:ind w:left="3960" w:hanging="360"/>
      </w:pPr>
      <w:rPr>
        <w:rFonts w:ascii="Courier New" w:hAnsi="Courier New" w:cs="Courier New" w:hint="default"/>
      </w:rPr>
    </w:lvl>
    <w:lvl w:ilvl="5" w:tplc="7B7CABE8" w:tentative="1">
      <w:start w:val="1"/>
      <w:numFmt w:val="bullet"/>
      <w:lvlText w:val=""/>
      <w:lvlJc w:val="left"/>
      <w:pPr>
        <w:ind w:left="4680" w:hanging="360"/>
      </w:pPr>
      <w:rPr>
        <w:rFonts w:ascii="Wingdings" w:hAnsi="Wingdings" w:hint="default"/>
      </w:rPr>
    </w:lvl>
    <w:lvl w:ilvl="6" w:tplc="95C4FF3A" w:tentative="1">
      <w:start w:val="1"/>
      <w:numFmt w:val="bullet"/>
      <w:lvlText w:val=""/>
      <w:lvlJc w:val="left"/>
      <w:pPr>
        <w:ind w:left="5400" w:hanging="360"/>
      </w:pPr>
      <w:rPr>
        <w:rFonts w:ascii="Symbol" w:hAnsi="Symbol" w:hint="default"/>
      </w:rPr>
    </w:lvl>
    <w:lvl w:ilvl="7" w:tplc="D8E097DA" w:tentative="1">
      <w:start w:val="1"/>
      <w:numFmt w:val="bullet"/>
      <w:lvlText w:val="o"/>
      <w:lvlJc w:val="left"/>
      <w:pPr>
        <w:ind w:left="6120" w:hanging="360"/>
      </w:pPr>
      <w:rPr>
        <w:rFonts w:ascii="Courier New" w:hAnsi="Courier New" w:cs="Courier New" w:hint="default"/>
      </w:rPr>
    </w:lvl>
    <w:lvl w:ilvl="8" w:tplc="21CA94F0" w:tentative="1">
      <w:start w:val="1"/>
      <w:numFmt w:val="bullet"/>
      <w:lvlText w:val=""/>
      <w:lvlJc w:val="left"/>
      <w:pPr>
        <w:ind w:left="6840" w:hanging="360"/>
      </w:pPr>
      <w:rPr>
        <w:rFonts w:ascii="Wingdings" w:hAnsi="Wingdings" w:hint="default"/>
      </w:rPr>
    </w:lvl>
  </w:abstractNum>
  <w:abstractNum w:abstractNumId="26" w15:restartNumberingAfterBreak="0">
    <w:nsid w:val="5F3A0A5F"/>
    <w:multiLevelType w:val="hybridMultilevel"/>
    <w:tmpl w:val="6F1C14A0"/>
    <w:lvl w:ilvl="0" w:tplc="E7D2ECA0">
      <w:start w:val="1"/>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7"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678C3A00"/>
    <w:multiLevelType w:val="hybridMultilevel"/>
    <w:tmpl w:val="BA60A99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9" w15:restartNumberingAfterBreak="0">
    <w:nsid w:val="6C792220"/>
    <w:multiLevelType w:val="hybridMultilevel"/>
    <w:tmpl w:val="989E72C8"/>
    <w:lvl w:ilvl="0" w:tplc="72FEF81A">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0" w15:restartNumberingAfterBreak="0">
    <w:nsid w:val="6F071D7D"/>
    <w:multiLevelType w:val="multilevel"/>
    <w:tmpl w:val="10804E6A"/>
    <w:lvl w:ilvl="0">
      <w:start w:val="39"/>
      <w:numFmt w:val="decimal"/>
      <w:lvlText w:val="%1"/>
      <w:lvlJc w:val="left"/>
      <w:pPr>
        <w:ind w:left="465" w:hanging="465"/>
      </w:pPr>
      <w:rPr>
        <w:rFonts w:hint="default"/>
      </w:rPr>
    </w:lvl>
    <w:lvl w:ilvl="1">
      <w:start w:val="5"/>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43724A8"/>
    <w:multiLevelType w:val="hybridMultilevel"/>
    <w:tmpl w:val="D5A82A00"/>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1005744867">
    <w:abstractNumId w:val="27"/>
  </w:num>
  <w:num w:numId="2" w16cid:durableId="2126729408">
    <w:abstractNumId w:val="27"/>
  </w:num>
  <w:num w:numId="3" w16cid:durableId="1932200708">
    <w:abstractNumId w:val="27"/>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27"/>
  </w:num>
  <w:num w:numId="15" w16cid:durableId="1382091185">
    <w:abstractNumId w:val="27"/>
  </w:num>
  <w:num w:numId="16" w16cid:durableId="1993637402">
    <w:abstractNumId w:val="27"/>
  </w:num>
  <w:num w:numId="17" w16cid:durableId="1263806435">
    <w:abstractNumId w:val="23"/>
  </w:num>
  <w:num w:numId="18" w16cid:durableId="43604593">
    <w:abstractNumId w:val="16"/>
  </w:num>
  <w:num w:numId="19" w16cid:durableId="48038949">
    <w:abstractNumId w:val="20"/>
  </w:num>
  <w:num w:numId="20" w16cid:durableId="136649735">
    <w:abstractNumId w:val="26"/>
  </w:num>
  <w:num w:numId="21" w16cid:durableId="601449121">
    <w:abstractNumId w:val="13"/>
  </w:num>
  <w:num w:numId="22" w16cid:durableId="1696730218">
    <w:abstractNumId w:val="28"/>
  </w:num>
  <w:num w:numId="23" w16cid:durableId="1936009393">
    <w:abstractNumId w:val="22"/>
  </w:num>
  <w:num w:numId="24" w16cid:durableId="31421908">
    <w:abstractNumId w:val="11"/>
  </w:num>
  <w:num w:numId="25" w16cid:durableId="854732201">
    <w:abstractNumId w:val="29"/>
  </w:num>
  <w:num w:numId="26" w16cid:durableId="1453742546">
    <w:abstractNumId w:val="12"/>
  </w:num>
  <w:num w:numId="27" w16cid:durableId="1864859245">
    <w:abstractNumId w:val="24"/>
  </w:num>
  <w:num w:numId="28" w16cid:durableId="705371740">
    <w:abstractNumId w:val="14"/>
  </w:num>
  <w:num w:numId="29" w16cid:durableId="1318847736">
    <w:abstractNumId w:val="17"/>
  </w:num>
  <w:num w:numId="30" w16cid:durableId="489176108">
    <w:abstractNumId w:val="19"/>
  </w:num>
  <w:num w:numId="31" w16cid:durableId="680931794">
    <w:abstractNumId w:val="10"/>
  </w:num>
  <w:num w:numId="32" w16cid:durableId="982345222">
    <w:abstractNumId w:val="25"/>
  </w:num>
  <w:num w:numId="33" w16cid:durableId="1692996386">
    <w:abstractNumId w:val="30"/>
  </w:num>
  <w:num w:numId="34" w16cid:durableId="1851484248">
    <w:abstractNumId w:val="21"/>
  </w:num>
  <w:num w:numId="35" w16cid:durableId="1539778875">
    <w:abstractNumId w:val="31"/>
  </w:num>
  <w:num w:numId="36" w16cid:durableId="1441949022">
    <w:abstractNumId w:val="15"/>
  </w:num>
  <w:num w:numId="37" w16cid:durableId="1031881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U JUGE"/>
    <w:docVar w:name="NomFamJuge1" w:val="VAUCLAIR"/>
    <w:docVar w:name="NomFamJuge2" w:val="SCHRAGER"/>
    <w:docVar w:name="NomFamJuge3" w:val="HAMILTON"/>
    <w:docVar w:name="NomFamJuge4" w:val="MAILHOT"/>
    <w:docVar w:name="NomFamJuge5" w:val="BAUDOUIN"/>
    <w:docVar w:name="QteJuge1" w:val=", J.C.A."/>
    <w:docVar w:name="QteJuge2" w:val=", J.C.A."/>
    <w:docVar w:name="QteJuge3" w:val=", J.C.A."/>
    <w:docVar w:name="stPremiereFois" w:val="Non"/>
  </w:docVars>
  <w:rsids>
    <w:rsidRoot w:val="00C05650"/>
    <w:rsid w:val="0000417A"/>
    <w:rsid w:val="000131E1"/>
    <w:rsid w:val="0004394C"/>
    <w:rsid w:val="00053691"/>
    <w:rsid w:val="000711E9"/>
    <w:rsid w:val="000930FB"/>
    <w:rsid w:val="000A7516"/>
    <w:rsid w:val="000B42AF"/>
    <w:rsid w:val="000B71D1"/>
    <w:rsid w:val="000F6316"/>
    <w:rsid w:val="000F7230"/>
    <w:rsid w:val="001021F7"/>
    <w:rsid w:val="00110B53"/>
    <w:rsid w:val="00112321"/>
    <w:rsid w:val="00117914"/>
    <w:rsid w:val="0013028C"/>
    <w:rsid w:val="00134721"/>
    <w:rsid w:val="0015610F"/>
    <w:rsid w:val="00160B31"/>
    <w:rsid w:val="00162289"/>
    <w:rsid w:val="00180615"/>
    <w:rsid w:val="00181F56"/>
    <w:rsid w:val="00190FA7"/>
    <w:rsid w:val="001972F2"/>
    <w:rsid w:val="001B59E5"/>
    <w:rsid w:val="001F2EE2"/>
    <w:rsid w:val="00203E26"/>
    <w:rsid w:val="00205DC4"/>
    <w:rsid w:val="0021548E"/>
    <w:rsid w:val="002273F5"/>
    <w:rsid w:val="002537F6"/>
    <w:rsid w:val="00256C5F"/>
    <w:rsid w:val="002B4A07"/>
    <w:rsid w:val="002C4107"/>
    <w:rsid w:val="002C44C9"/>
    <w:rsid w:val="002E1F0E"/>
    <w:rsid w:val="002E229C"/>
    <w:rsid w:val="002E4FCE"/>
    <w:rsid w:val="002E51F1"/>
    <w:rsid w:val="002F0F27"/>
    <w:rsid w:val="002F1350"/>
    <w:rsid w:val="002F6136"/>
    <w:rsid w:val="00322DE0"/>
    <w:rsid w:val="0032363D"/>
    <w:rsid w:val="0033190E"/>
    <w:rsid w:val="00343D25"/>
    <w:rsid w:val="003526A0"/>
    <w:rsid w:val="00354A6E"/>
    <w:rsid w:val="00360460"/>
    <w:rsid w:val="00361325"/>
    <w:rsid w:val="00374888"/>
    <w:rsid w:val="00374E40"/>
    <w:rsid w:val="00376934"/>
    <w:rsid w:val="00392E75"/>
    <w:rsid w:val="003A171A"/>
    <w:rsid w:val="003A27FA"/>
    <w:rsid w:val="003A2E3F"/>
    <w:rsid w:val="003A5A98"/>
    <w:rsid w:val="003D487D"/>
    <w:rsid w:val="003E3239"/>
    <w:rsid w:val="003E3E3C"/>
    <w:rsid w:val="00411979"/>
    <w:rsid w:val="00423DF1"/>
    <w:rsid w:val="00430C58"/>
    <w:rsid w:val="004331C4"/>
    <w:rsid w:val="0043564D"/>
    <w:rsid w:val="00441C25"/>
    <w:rsid w:val="00446452"/>
    <w:rsid w:val="00455420"/>
    <w:rsid w:val="00472DC8"/>
    <w:rsid w:val="004802EC"/>
    <w:rsid w:val="004932EB"/>
    <w:rsid w:val="004A29F1"/>
    <w:rsid w:val="004A6641"/>
    <w:rsid w:val="004B1E94"/>
    <w:rsid w:val="004B33FF"/>
    <w:rsid w:val="004D2F69"/>
    <w:rsid w:val="004E4FBA"/>
    <w:rsid w:val="004F6574"/>
    <w:rsid w:val="00506105"/>
    <w:rsid w:val="005131F1"/>
    <w:rsid w:val="0051484F"/>
    <w:rsid w:val="00516B3E"/>
    <w:rsid w:val="005262C9"/>
    <w:rsid w:val="00531D70"/>
    <w:rsid w:val="00566BF6"/>
    <w:rsid w:val="00583434"/>
    <w:rsid w:val="0058349F"/>
    <w:rsid w:val="005A78BF"/>
    <w:rsid w:val="005B6B4C"/>
    <w:rsid w:val="005C7516"/>
    <w:rsid w:val="005D1522"/>
    <w:rsid w:val="005F5F5F"/>
    <w:rsid w:val="00624770"/>
    <w:rsid w:val="0064250B"/>
    <w:rsid w:val="00652AE0"/>
    <w:rsid w:val="006826AA"/>
    <w:rsid w:val="0068356A"/>
    <w:rsid w:val="006A0DB0"/>
    <w:rsid w:val="006A6629"/>
    <w:rsid w:val="006B31BE"/>
    <w:rsid w:val="00740A17"/>
    <w:rsid w:val="007462D6"/>
    <w:rsid w:val="0074738B"/>
    <w:rsid w:val="0076062E"/>
    <w:rsid w:val="00760AC5"/>
    <w:rsid w:val="00783C6A"/>
    <w:rsid w:val="007901CC"/>
    <w:rsid w:val="007953F3"/>
    <w:rsid w:val="007A7803"/>
    <w:rsid w:val="007B061E"/>
    <w:rsid w:val="007B48D5"/>
    <w:rsid w:val="007D087C"/>
    <w:rsid w:val="007E2F1C"/>
    <w:rsid w:val="007E33E4"/>
    <w:rsid w:val="007E4CC9"/>
    <w:rsid w:val="007F3826"/>
    <w:rsid w:val="007F40FD"/>
    <w:rsid w:val="00800D23"/>
    <w:rsid w:val="00816273"/>
    <w:rsid w:val="008207C6"/>
    <w:rsid w:val="0082717B"/>
    <w:rsid w:val="00827B04"/>
    <w:rsid w:val="0083032E"/>
    <w:rsid w:val="00841907"/>
    <w:rsid w:val="00845E10"/>
    <w:rsid w:val="0086036A"/>
    <w:rsid w:val="008653A3"/>
    <w:rsid w:val="008657A2"/>
    <w:rsid w:val="00866645"/>
    <w:rsid w:val="00882210"/>
    <w:rsid w:val="008A6185"/>
    <w:rsid w:val="008C1FE9"/>
    <w:rsid w:val="008C7DCE"/>
    <w:rsid w:val="008D18FC"/>
    <w:rsid w:val="008D21C6"/>
    <w:rsid w:val="008D2873"/>
    <w:rsid w:val="008D398B"/>
    <w:rsid w:val="008D7E49"/>
    <w:rsid w:val="008E3CDD"/>
    <w:rsid w:val="008E5E9D"/>
    <w:rsid w:val="008F364A"/>
    <w:rsid w:val="008F3F53"/>
    <w:rsid w:val="00913E03"/>
    <w:rsid w:val="009229E9"/>
    <w:rsid w:val="00926953"/>
    <w:rsid w:val="00932703"/>
    <w:rsid w:val="00936469"/>
    <w:rsid w:val="009400B7"/>
    <w:rsid w:val="00954DC2"/>
    <w:rsid w:val="00957B92"/>
    <w:rsid w:val="00970966"/>
    <w:rsid w:val="00974442"/>
    <w:rsid w:val="009E0066"/>
    <w:rsid w:val="009F1F69"/>
    <w:rsid w:val="009F266E"/>
    <w:rsid w:val="00A23BF4"/>
    <w:rsid w:val="00A2593B"/>
    <w:rsid w:val="00A34E05"/>
    <w:rsid w:val="00A43D8B"/>
    <w:rsid w:val="00A454F1"/>
    <w:rsid w:val="00A543CC"/>
    <w:rsid w:val="00A72D19"/>
    <w:rsid w:val="00A81329"/>
    <w:rsid w:val="00A93CFF"/>
    <w:rsid w:val="00A976A7"/>
    <w:rsid w:val="00AB5547"/>
    <w:rsid w:val="00AB7DD2"/>
    <w:rsid w:val="00AC30B0"/>
    <w:rsid w:val="00AE1B6D"/>
    <w:rsid w:val="00AF0C7C"/>
    <w:rsid w:val="00B01D86"/>
    <w:rsid w:val="00B0467E"/>
    <w:rsid w:val="00B07E4E"/>
    <w:rsid w:val="00B11FD1"/>
    <w:rsid w:val="00B137E9"/>
    <w:rsid w:val="00B22559"/>
    <w:rsid w:val="00B30EA2"/>
    <w:rsid w:val="00B36ED3"/>
    <w:rsid w:val="00B513C9"/>
    <w:rsid w:val="00B56EF4"/>
    <w:rsid w:val="00B70485"/>
    <w:rsid w:val="00B70B08"/>
    <w:rsid w:val="00B82A13"/>
    <w:rsid w:val="00B86426"/>
    <w:rsid w:val="00B870FB"/>
    <w:rsid w:val="00BB23CD"/>
    <w:rsid w:val="00BE2A99"/>
    <w:rsid w:val="00BE3A42"/>
    <w:rsid w:val="00BF5A28"/>
    <w:rsid w:val="00C023F1"/>
    <w:rsid w:val="00C02AF8"/>
    <w:rsid w:val="00C05650"/>
    <w:rsid w:val="00C14A96"/>
    <w:rsid w:val="00C17E01"/>
    <w:rsid w:val="00C21E6C"/>
    <w:rsid w:val="00C235B5"/>
    <w:rsid w:val="00C31AC4"/>
    <w:rsid w:val="00C409BE"/>
    <w:rsid w:val="00C423CA"/>
    <w:rsid w:val="00C51F5A"/>
    <w:rsid w:val="00C53DC2"/>
    <w:rsid w:val="00C652ED"/>
    <w:rsid w:val="00C7793C"/>
    <w:rsid w:val="00C939A8"/>
    <w:rsid w:val="00C97145"/>
    <w:rsid w:val="00C97E90"/>
    <w:rsid w:val="00D010FD"/>
    <w:rsid w:val="00D02812"/>
    <w:rsid w:val="00D20056"/>
    <w:rsid w:val="00D54F23"/>
    <w:rsid w:val="00D6292C"/>
    <w:rsid w:val="00D667FE"/>
    <w:rsid w:val="00D81945"/>
    <w:rsid w:val="00D90853"/>
    <w:rsid w:val="00DB2119"/>
    <w:rsid w:val="00DB5DA9"/>
    <w:rsid w:val="00DC05BC"/>
    <w:rsid w:val="00DD3A24"/>
    <w:rsid w:val="00DF3516"/>
    <w:rsid w:val="00DF7CC9"/>
    <w:rsid w:val="00E03C07"/>
    <w:rsid w:val="00E20E3C"/>
    <w:rsid w:val="00E36290"/>
    <w:rsid w:val="00E70B0C"/>
    <w:rsid w:val="00E81E61"/>
    <w:rsid w:val="00E848B4"/>
    <w:rsid w:val="00E91417"/>
    <w:rsid w:val="00E94329"/>
    <w:rsid w:val="00EB1377"/>
    <w:rsid w:val="00EC1E33"/>
    <w:rsid w:val="00F07022"/>
    <w:rsid w:val="00F1119E"/>
    <w:rsid w:val="00F26635"/>
    <w:rsid w:val="00F33E30"/>
    <w:rsid w:val="00F35A34"/>
    <w:rsid w:val="00F40882"/>
    <w:rsid w:val="00F43559"/>
    <w:rsid w:val="00F5789B"/>
    <w:rsid w:val="00F75AAB"/>
    <w:rsid w:val="00F75C76"/>
    <w:rsid w:val="00FC720B"/>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79426"/>
  <w15:chartTrackingRefBased/>
  <w15:docId w15:val="{E652AC07-C031-4BA7-B841-ECEE6AA3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link w:val="Titre1Car"/>
    <w:qFormat/>
    <w:pPr>
      <w:keepNext/>
      <w:spacing w:before="240" w:after="60" w:line="500" w:lineRule="exact"/>
      <w:outlineLvl w:val="0"/>
    </w:pPr>
    <w:rPr>
      <w:b/>
      <w:kern w:val="28"/>
      <w:sz w:val="28"/>
    </w:rPr>
  </w:style>
  <w:style w:type="paragraph" w:styleId="Titre2">
    <w:name w:val="heading 2"/>
    <w:basedOn w:val="Normal"/>
    <w:next w:val="Normal"/>
    <w:link w:val="Titre2Car"/>
    <w:qFormat/>
    <w:pPr>
      <w:keepNext/>
      <w:spacing w:before="240" w:after="60"/>
      <w:outlineLvl w:val="1"/>
    </w:pPr>
    <w:rPr>
      <w:b/>
      <w:i/>
    </w:rPr>
  </w:style>
  <w:style w:type="paragraph" w:styleId="Titre3">
    <w:name w:val="heading 3"/>
    <w:basedOn w:val="Normal"/>
    <w:next w:val="Normal"/>
    <w:link w:val="Titre3Car"/>
    <w:qFormat/>
    <w:pPr>
      <w:keepNext/>
      <w:spacing w:before="240" w:after="60"/>
      <w:outlineLvl w:val="2"/>
    </w:pPr>
  </w:style>
  <w:style w:type="paragraph" w:styleId="Titre4">
    <w:name w:val="heading 4"/>
    <w:basedOn w:val="Normal"/>
    <w:next w:val="Normal"/>
    <w:link w:val="Titre4Car"/>
    <w:qFormat/>
    <w:pPr>
      <w:keepNext/>
      <w:spacing w:before="240" w:after="60"/>
      <w:outlineLvl w:val="3"/>
    </w:pPr>
    <w:rPr>
      <w:b/>
    </w:rPr>
  </w:style>
  <w:style w:type="paragraph" w:styleId="Titre5">
    <w:name w:val="heading 5"/>
    <w:basedOn w:val="Normal"/>
    <w:next w:val="Normal"/>
    <w:link w:val="Titre5Car"/>
    <w:qFormat/>
    <w:pPr>
      <w:spacing w:before="240" w:after="60"/>
      <w:outlineLvl w:val="4"/>
    </w:pPr>
    <w:rPr>
      <w:sz w:val="22"/>
    </w:rPr>
  </w:style>
  <w:style w:type="paragraph" w:styleId="Titre6">
    <w:name w:val="heading 6"/>
    <w:basedOn w:val="Normal"/>
    <w:next w:val="Normal"/>
    <w:link w:val="Titre6Car"/>
    <w:qFormat/>
    <w:pPr>
      <w:spacing w:before="240" w:after="60"/>
      <w:outlineLvl w:val="5"/>
    </w:pPr>
    <w:rPr>
      <w:i/>
      <w:sz w:val="22"/>
    </w:rPr>
  </w:style>
  <w:style w:type="paragraph" w:styleId="Titre7">
    <w:name w:val="heading 7"/>
    <w:basedOn w:val="Normal"/>
    <w:next w:val="Normal"/>
    <w:link w:val="Titre7Car"/>
    <w:qFormat/>
    <w:pPr>
      <w:spacing w:before="240" w:after="60"/>
      <w:outlineLvl w:val="6"/>
    </w:pPr>
    <w:rPr>
      <w:sz w:val="20"/>
    </w:rPr>
  </w:style>
  <w:style w:type="paragraph" w:styleId="Titre8">
    <w:name w:val="heading 8"/>
    <w:basedOn w:val="Normal"/>
    <w:next w:val="Normal"/>
    <w:link w:val="Titre8Car"/>
    <w:qFormat/>
    <w:pPr>
      <w:spacing w:before="240" w:after="60"/>
      <w:outlineLvl w:val="7"/>
    </w:pPr>
    <w:rPr>
      <w:i/>
      <w:sz w:val="20"/>
    </w:rPr>
  </w:style>
  <w:style w:type="paragraph" w:styleId="Titre9">
    <w:name w:val="heading 9"/>
    <w:basedOn w:val="Normal"/>
    <w:next w:val="Normal"/>
    <w:link w:val="Titre9Car"/>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qFormat/>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link w:val="CorpsdetexteCar"/>
    <w:semiHidden/>
    <w:pPr>
      <w:spacing w:after="120"/>
    </w:pPr>
  </w:style>
  <w:style w:type="paragraph" w:styleId="Notedebasdepage">
    <w:name w:val="footnote text"/>
    <w:aliases w:val="Char Char Char,Char Char,ft,Footnote text,ft2,fn,Char,Nota de rodapé,Char Char Char Char Char,Footnote Text Char Char Char Char Char,Footnote Text Char Char Char Char,Footnote reference,FA Fu,ft Char Ch,Footnotes,Footnote ak"/>
    <w:basedOn w:val="Normal"/>
    <w:link w:val="NotedebasdepageCar"/>
    <w:qFormat/>
    <w:pPr>
      <w:spacing w:line="240" w:lineRule="auto"/>
      <w:ind w:left="360" w:hanging="360"/>
      <w:jc w:val="both"/>
    </w:pPr>
    <w:rPr>
      <w:sz w:val="20"/>
    </w:rPr>
  </w:style>
  <w:style w:type="paragraph" w:styleId="Notedefin">
    <w:name w:val="endnote text"/>
    <w:basedOn w:val="Normal"/>
    <w:link w:val="NotedefinCar"/>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link w:val="En-tteCar"/>
    <w:semiHidden/>
    <w:pPr>
      <w:tabs>
        <w:tab w:val="center" w:pos="4320"/>
        <w:tab w:val="right" w:pos="8640"/>
      </w:tabs>
    </w:pPr>
  </w:style>
  <w:style w:type="paragraph" w:styleId="Pieddepage">
    <w:name w:val="footer"/>
    <w:basedOn w:val="Normal"/>
    <w:link w:val="PieddepageCar"/>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fr,Ref,de nota al pie,Char Char6 Char Char Char Char Char Char Char Char Char Char Char Char,Char6 Char Char Char Char Char Char Char Char Char Char Char Char Char,Footnote"/>
    <w:uiPriority w:val="99"/>
    <w:qFormat/>
    <w:rPr>
      <w:noProof w:val="0"/>
      <w:vertAlign w:val="superscript"/>
      <w:lang w:val="fr-CA"/>
    </w:rPr>
  </w:style>
  <w:style w:type="paragraph" w:styleId="Corpsdetexte3">
    <w:name w:val="Body Text 3"/>
    <w:basedOn w:val="Normal"/>
    <w:link w:val="Corpsdetexte3Car"/>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ParagrapheCar">
    <w:name w:val="Paragraphe Car"/>
    <w:link w:val="Paragraphe"/>
    <w:qFormat/>
    <w:rsid w:val="00C21E6C"/>
    <w:rPr>
      <w:rFonts w:ascii="Arial" w:hAnsi="Arial"/>
      <w:kern w:val="28"/>
      <w:sz w:val="24"/>
      <w:lang w:eastAsia="fr-FR"/>
    </w:rPr>
  </w:style>
  <w:style w:type="character" w:styleId="Hyperlien">
    <w:name w:val="Hyperlink"/>
    <w:basedOn w:val="Policepardfaut"/>
    <w:uiPriority w:val="99"/>
    <w:unhideWhenUsed/>
    <w:rsid w:val="00B86426"/>
    <w:rPr>
      <w:color w:val="0563C1" w:themeColor="hyperlink"/>
      <w:u w:val="single"/>
    </w:rPr>
  </w:style>
  <w:style w:type="character" w:styleId="Mentionnonrsolue">
    <w:name w:val="Unresolved Mention"/>
    <w:basedOn w:val="Policepardfaut"/>
    <w:uiPriority w:val="99"/>
    <w:semiHidden/>
    <w:unhideWhenUsed/>
    <w:rsid w:val="00B86426"/>
    <w:rPr>
      <w:color w:val="605E5C"/>
      <w:shd w:val="clear" w:color="auto" w:fill="E1DFDD"/>
    </w:rPr>
  </w:style>
  <w:style w:type="character" w:styleId="Lienvisit">
    <w:name w:val="FollowedHyperlink"/>
    <w:basedOn w:val="Policepardfaut"/>
    <w:uiPriority w:val="99"/>
    <w:semiHidden/>
    <w:unhideWhenUsed/>
    <w:rsid w:val="00B86426"/>
    <w:rPr>
      <w:color w:val="954F72" w:themeColor="followedHyperlink"/>
      <w:u w:val="single"/>
    </w:rPr>
  </w:style>
  <w:style w:type="character" w:customStyle="1" w:styleId="Titre1Car">
    <w:name w:val="Titre 1 Car"/>
    <w:basedOn w:val="Policepardfaut"/>
    <w:link w:val="Titre1"/>
    <w:rsid w:val="00411979"/>
    <w:rPr>
      <w:rFonts w:ascii="Arial" w:hAnsi="Arial"/>
      <w:b/>
      <w:kern w:val="28"/>
      <w:sz w:val="28"/>
      <w:lang w:eastAsia="fr-FR"/>
    </w:rPr>
  </w:style>
  <w:style w:type="character" w:customStyle="1" w:styleId="Titre2Car">
    <w:name w:val="Titre 2 Car"/>
    <w:basedOn w:val="Policepardfaut"/>
    <w:link w:val="Titre2"/>
    <w:rsid w:val="00411979"/>
    <w:rPr>
      <w:rFonts w:ascii="Arial" w:hAnsi="Arial"/>
      <w:b/>
      <w:i/>
      <w:sz w:val="24"/>
      <w:lang w:eastAsia="fr-FR"/>
    </w:rPr>
  </w:style>
  <w:style w:type="character" w:customStyle="1" w:styleId="Titre3Car">
    <w:name w:val="Titre 3 Car"/>
    <w:basedOn w:val="Policepardfaut"/>
    <w:link w:val="Titre3"/>
    <w:rsid w:val="00411979"/>
    <w:rPr>
      <w:rFonts w:ascii="Arial" w:hAnsi="Arial"/>
      <w:sz w:val="24"/>
      <w:lang w:eastAsia="fr-FR"/>
    </w:rPr>
  </w:style>
  <w:style w:type="character" w:customStyle="1" w:styleId="Titre4Car">
    <w:name w:val="Titre 4 Car"/>
    <w:basedOn w:val="Policepardfaut"/>
    <w:link w:val="Titre4"/>
    <w:rsid w:val="00411979"/>
    <w:rPr>
      <w:rFonts w:ascii="Arial" w:hAnsi="Arial"/>
      <w:b/>
      <w:sz w:val="24"/>
      <w:lang w:eastAsia="fr-FR"/>
    </w:rPr>
  </w:style>
  <w:style w:type="character" w:customStyle="1" w:styleId="Titre5Car">
    <w:name w:val="Titre 5 Car"/>
    <w:basedOn w:val="Policepardfaut"/>
    <w:link w:val="Titre5"/>
    <w:rsid w:val="00411979"/>
    <w:rPr>
      <w:rFonts w:ascii="Arial" w:hAnsi="Arial"/>
      <w:sz w:val="22"/>
      <w:lang w:eastAsia="fr-FR"/>
    </w:rPr>
  </w:style>
  <w:style w:type="character" w:customStyle="1" w:styleId="Titre6Car">
    <w:name w:val="Titre 6 Car"/>
    <w:basedOn w:val="Policepardfaut"/>
    <w:link w:val="Titre6"/>
    <w:rsid w:val="00411979"/>
    <w:rPr>
      <w:rFonts w:ascii="Arial" w:hAnsi="Arial"/>
      <w:i/>
      <w:sz w:val="22"/>
      <w:lang w:eastAsia="fr-FR"/>
    </w:rPr>
  </w:style>
  <w:style w:type="character" w:customStyle="1" w:styleId="Titre7Car">
    <w:name w:val="Titre 7 Car"/>
    <w:basedOn w:val="Policepardfaut"/>
    <w:link w:val="Titre7"/>
    <w:rsid w:val="00411979"/>
    <w:rPr>
      <w:rFonts w:ascii="Arial" w:hAnsi="Arial"/>
      <w:lang w:eastAsia="fr-FR"/>
    </w:rPr>
  </w:style>
  <w:style w:type="character" w:customStyle="1" w:styleId="Titre8Car">
    <w:name w:val="Titre 8 Car"/>
    <w:basedOn w:val="Policepardfaut"/>
    <w:link w:val="Titre8"/>
    <w:rsid w:val="00411979"/>
    <w:rPr>
      <w:rFonts w:ascii="Arial" w:hAnsi="Arial"/>
      <w:i/>
      <w:lang w:eastAsia="fr-FR"/>
    </w:rPr>
  </w:style>
  <w:style w:type="character" w:customStyle="1" w:styleId="Titre9Car">
    <w:name w:val="Titre 9 Car"/>
    <w:basedOn w:val="Policepardfaut"/>
    <w:link w:val="Titre9"/>
    <w:rsid w:val="00411979"/>
    <w:rPr>
      <w:rFonts w:ascii="Arial" w:hAnsi="Arial"/>
      <w:b/>
      <w:i/>
      <w:sz w:val="18"/>
      <w:lang w:eastAsia="fr-FR"/>
    </w:rPr>
  </w:style>
  <w:style w:type="character" w:customStyle="1" w:styleId="CorpsdetexteCar">
    <w:name w:val="Corps de texte Car"/>
    <w:basedOn w:val="Policepardfaut"/>
    <w:link w:val="Corpsdetexte"/>
    <w:semiHidden/>
    <w:rsid w:val="00411979"/>
    <w:rPr>
      <w:rFonts w:ascii="Arial" w:hAnsi="Arial"/>
      <w:sz w:val="24"/>
      <w:lang w:eastAsia="fr-FR"/>
    </w:rPr>
  </w:style>
  <w:style w:type="character" w:customStyle="1" w:styleId="NotedebasdepageCar">
    <w:name w:val="Note de bas de page Car"/>
    <w:aliases w:val="Char Char Char Car,Char Char Car,ft Car,Footnote text Car,ft2 Car,fn Car,Char Car,Nota de rodapé Car,Char Char Char Char Char Car,Footnote Text Char Char Char Char Char Car,Footnote Text Char Char Char Char Car,FA Fu Car"/>
    <w:basedOn w:val="Policepardfaut"/>
    <w:link w:val="Notedebasdepage"/>
    <w:rsid w:val="00411979"/>
    <w:rPr>
      <w:rFonts w:ascii="Arial" w:hAnsi="Arial"/>
      <w:lang w:eastAsia="fr-FR"/>
    </w:rPr>
  </w:style>
  <w:style w:type="character" w:customStyle="1" w:styleId="NotedefinCar">
    <w:name w:val="Note de fin Car"/>
    <w:basedOn w:val="Policepardfaut"/>
    <w:link w:val="Notedefin"/>
    <w:semiHidden/>
    <w:rsid w:val="00411979"/>
    <w:rPr>
      <w:rFonts w:ascii="Arial" w:hAnsi="Arial"/>
      <w:lang w:eastAsia="fr-FR"/>
    </w:rPr>
  </w:style>
  <w:style w:type="character" w:customStyle="1" w:styleId="En-tteCar">
    <w:name w:val="En-tête Car"/>
    <w:basedOn w:val="Policepardfaut"/>
    <w:link w:val="En-tte"/>
    <w:semiHidden/>
    <w:rsid w:val="00411979"/>
    <w:rPr>
      <w:rFonts w:ascii="Arial" w:hAnsi="Arial"/>
      <w:sz w:val="24"/>
      <w:lang w:eastAsia="fr-FR"/>
    </w:rPr>
  </w:style>
  <w:style w:type="character" w:customStyle="1" w:styleId="PieddepageCar">
    <w:name w:val="Pied de page Car"/>
    <w:basedOn w:val="Policepardfaut"/>
    <w:link w:val="Pieddepage"/>
    <w:semiHidden/>
    <w:rsid w:val="00411979"/>
    <w:rPr>
      <w:rFonts w:ascii="Arial" w:hAnsi="Arial"/>
      <w:sz w:val="24"/>
      <w:lang w:eastAsia="fr-FR"/>
    </w:rPr>
  </w:style>
  <w:style w:type="character" w:customStyle="1" w:styleId="Corpsdetexte3Car">
    <w:name w:val="Corps de texte 3 Car"/>
    <w:basedOn w:val="Policepardfaut"/>
    <w:link w:val="Corpsdetexte3"/>
    <w:semiHidden/>
    <w:rsid w:val="00411979"/>
    <w:rPr>
      <w:rFonts w:ascii="Arial" w:hAnsi="Arial"/>
      <w:sz w:val="16"/>
      <w:lang w:eastAsia="fr-FR"/>
    </w:rPr>
  </w:style>
  <w:style w:type="paragraph" w:customStyle="1" w:styleId="JgtParagraphe">
    <w:name w:val="Jgt Paragraphe"/>
    <w:basedOn w:val="Normal"/>
    <w:qFormat/>
    <w:rsid w:val="00411979"/>
    <w:pPr>
      <w:tabs>
        <w:tab w:val="num" w:pos="720"/>
      </w:tabs>
      <w:spacing w:before="120" w:after="120" w:line="500" w:lineRule="exact"/>
      <w:jc w:val="both"/>
    </w:pPr>
    <w:rPr>
      <w:rFonts w:cs="Arial"/>
      <w:color w:val="000000"/>
      <w:kern w:val="28"/>
      <w:szCs w:val="24"/>
      <w:lang w:eastAsia="en-US"/>
    </w:rPr>
  </w:style>
  <w:style w:type="paragraph" w:customStyle="1" w:styleId="Paragrdouble">
    <w:name w:val="Paragr. double"/>
    <w:basedOn w:val="Normal"/>
    <w:rsid w:val="00411979"/>
    <w:pPr>
      <w:spacing w:before="120" w:after="120" w:line="500" w:lineRule="exact"/>
      <w:jc w:val="both"/>
    </w:pPr>
    <w:rPr>
      <w:kern w:val="28"/>
    </w:rPr>
  </w:style>
  <w:style w:type="paragraph" w:customStyle="1" w:styleId="Paragrsimple">
    <w:name w:val="Paragr. simple"/>
    <w:basedOn w:val="Paragrdouble"/>
    <w:next w:val="Paragrdouble"/>
    <w:qFormat/>
    <w:rsid w:val="00411979"/>
    <w:pPr>
      <w:spacing w:line="240" w:lineRule="auto"/>
    </w:pPr>
  </w:style>
  <w:style w:type="character" w:styleId="Marquedecommentaire">
    <w:name w:val="annotation reference"/>
    <w:basedOn w:val="Policepardfaut"/>
    <w:uiPriority w:val="99"/>
    <w:semiHidden/>
    <w:unhideWhenUsed/>
    <w:rsid w:val="00411979"/>
    <w:rPr>
      <w:sz w:val="16"/>
      <w:szCs w:val="16"/>
    </w:rPr>
  </w:style>
  <w:style w:type="paragraph" w:styleId="Commentaire">
    <w:name w:val="annotation text"/>
    <w:basedOn w:val="Normal"/>
    <w:link w:val="CommentaireCar"/>
    <w:uiPriority w:val="99"/>
    <w:unhideWhenUsed/>
    <w:rsid w:val="00411979"/>
    <w:pPr>
      <w:spacing w:line="240" w:lineRule="auto"/>
    </w:pPr>
    <w:rPr>
      <w:sz w:val="20"/>
    </w:rPr>
  </w:style>
  <w:style w:type="character" w:customStyle="1" w:styleId="CommentaireCar">
    <w:name w:val="Commentaire Car"/>
    <w:basedOn w:val="Policepardfaut"/>
    <w:link w:val="Commentaire"/>
    <w:uiPriority w:val="99"/>
    <w:rsid w:val="00411979"/>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411979"/>
    <w:rPr>
      <w:b/>
      <w:bCs/>
    </w:rPr>
  </w:style>
  <w:style w:type="character" w:customStyle="1" w:styleId="ObjetducommentaireCar">
    <w:name w:val="Objet du commentaire Car"/>
    <w:basedOn w:val="CommentaireCar"/>
    <w:link w:val="Objetducommentaire"/>
    <w:uiPriority w:val="99"/>
    <w:semiHidden/>
    <w:rsid w:val="00411979"/>
    <w:rPr>
      <w:rFonts w:ascii="Arial" w:hAnsi="Arial"/>
      <w:b/>
      <w:bCs/>
      <w:lang w:eastAsia="fr-FR"/>
    </w:rPr>
  </w:style>
  <w:style w:type="paragraph" w:styleId="Rvision">
    <w:name w:val="Revision"/>
    <w:hidden/>
    <w:uiPriority w:val="99"/>
    <w:semiHidden/>
    <w:rsid w:val="00411979"/>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10309</Words>
  <Characters>56705</Characters>
  <Application>Microsoft Office Word</Application>
  <DocSecurity>0</DocSecurity>
  <Lines>472</Lines>
  <Paragraphs>133</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66881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Marie-France Lefebvre</dc:creator>
  <cp:keywords/>
  <dc:description/>
  <cp:lastModifiedBy>Paillé, Pryscilla</cp:lastModifiedBy>
  <cp:revision>6</cp:revision>
  <cp:lastPrinted>2026-05-25T12:21:00Z</cp:lastPrinted>
  <dcterms:created xsi:type="dcterms:W3CDTF">2026-05-25T12:22:00Z</dcterms:created>
  <dcterms:modified xsi:type="dcterms:W3CDTF">2026-05-25T17:58:00Z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